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lang w:val="en-US" w:eastAsia="zh-CN"/>
        </w:rPr>
        <w:t>2024</w:t>
      </w:r>
      <w:r>
        <w:rPr>
          <w:rFonts w:hint="eastAsia" w:ascii="方正小标宋简体" w:eastAsia="方正小标宋简体"/>
          <w:b/>
          <w:bCs/>
          <w:sz w:val="48"/>
          <w:szCs w:val="48"/>
          <w:highlight w:val="none"/>
        </w:rPr>
        <w:t>年度</w:t>
      </w: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rPr>
        <w:t>厦门市金林湾实验学校</w:t>
      </w:r>
    </w:p>
    <w:p>
      <w:pPr>
        <w:widowControl/>
        <w:jc w:val="center"/>
        <w:rPr>
          <w:rFonts w:hint="eastAsia" w:ascii="方正小标宋简体" w:eastAsia="方正小标宋简体"/>
          <w:b/>
          <w:bCs/>
          <w:sz w:val="48"/>
          <w:szCs w:val="48"/>
          <w:highlight w:val="none"/>
          <w:lang w:val="en-US" w:eastAsia="zh-CN"/>
        </w:rPr>
        <w:sectPr>
          <w:pgSz w:w="11906" w:h="16838"/>
          <w:pgMar w:top="1440" w:right="1080" w:bottom="1440" w:left="1080"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48"/>
          <w:szCs w:val="48"/>
          <w:highlight w:val="none"/>
          <w:lang w:val="en-US" w:eastAsia="zh-CN"/>
        </w:rPr>
        <w:t>单位</w:t>
      </w:r>
      <w:r>
        <w:rPr>
          <w:rFonts w:hint="eastAsia" w:ascii="方正小标宋简体" w:eastAsia="方正小标宋简体"/>
          <w:b/>
          <w:bCs/>
          <w:sz w:val="48"/>
          <w:szCs w:val="48"/>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仿宋" w:hAnsi="仿宋" w:eastAsia="仿宋" w:cs="仿宋"/>
          <w:b/>
          <w:bCs/>
          <w:kern w:val="2"/>
          <w:sz w:val="30"/>
          <w:szCs w:val="30"/>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 w:hAnsi="仿宋" w:eastAsia="仿宋" w:cs="仿宋"/>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第一部分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单位概况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_Toc256000093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一、单位主要职责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_Toc256000095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二、单位基本情况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_Toc256000096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三、单位主要工作总结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_Toc256000097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第二部分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2024年度决算表</w:t>
          </w:r>
          <w:r>
            <w:rPr>
              <w:rFonts w:hint="eastAsia" w:ascii="仿宋" w:hAnsi="仿宋" w:eastAsia="仿宋" w:cs="仿宋"/>
              <w:sz w:val="32"/>
              <w:szCs w:val="32"/>
            </w:rPr>
            <w:tab/>
          </w:r>
          <w:r>
            <w:rPr>
              <w:rFonts w:hint="eastAsia" w:ascii="仿宋" w:hAnsi="仿宋" w:cs="仿宋"/>
              <w:sz w:val="32"/>
              <w:szCs w:val="32"/>
              <w:lang w:val="en-US" w:eastAsia="zh-CN"/>
            </w:rPr>
            <w:t xml:space="preserve">4 </w:t>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_Toc256000100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_Toc256000101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_Toc256000102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_Toc256000103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_Toc256000104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_Toc256000105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_Toc256000106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_Toc256000107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_Toc256000108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第三部分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2024年度决算情况说明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_Toc256000109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_Toc256000111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_Toc256000112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三、一般公共预算拨款支出决算情况说明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_Toc256000113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_Toc256000114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_Toc256000115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_Toc256000116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_Toc256000117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_Toc256000118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九、其他重要事项说明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_Toc256000119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第四部分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_Toc256000120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第五部分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附件</w:t>
          </w:r>
          <w:r>
            <w:rPr>
              <w:rFonts w:hint="eastAsia" w:ascii="仿宋" w:hAnsi="仿宋" w:eastAsia="仿宋" w:cs="仿宋"/>
              <w:sz w:val="32"/>
              <w:szCs w:val="32"/>
            </w:rPr>
            <w:tab/>
          </w:r>
          <w:r>
            <w:rPr>
              <w:rFonts w:hint="eastAsia" w:ascii="仿宋" w:hAnsi="仿宋" w:cs="仿宋"/>
              <w:sz w:val="32"/>
              <w:szCs w:val="32"/>
              <w:lang w:val="en-US" w:eastAsia="zh-CN"/>
            </w:rPr>
            <w:t>2</w:t>
          </w:r>
          <w:r>
            <w:rPr>
              <w:rFonts w:hint="eastAsia" w:ascii="仿宋" w:hAnsi="仿宋" w:eastAsia="仿宋" w:cs="仿宋"/>
              <w:sz w:val="32"/>
              <w:szCs w:val="32"/>
            </w:rPr>
            <w:fldChar w:fldCharType="end"/>
          </w:r>
          <w:r>
            <w:rPr>
              <w:rFonts w:hint="eastAsia" w:ascii="仿宋" w:hAnsi="仿宋" w:cs="仿宋"/>
              <w:sz w:val="32"/>
              <w:szCs w:val="32"/>
              <w:lang w:val="en-US" w:eastAsia="zh-CN"/>
            </w:rPr>
            <w:t>2</w:t>
          </w:r>
        </w:p>
        <w:p>
          <w:pPr>
            <w:adjustRightInd w:val="0"/>
            <w:snapToGrid w:val="0"/>
            <w:rPr>
              <w:rFonts w:hint="eastAsia" w:ascii="仿宋" w:hAnsi="仿宋" w:eastAsia="仿宋" w:cs="仿宋"/>
              <w:b w:val="0"/>
              <w:bCs/>
              <w:kern w:val="2"/>
              <w:sz w:val="30"/>
              <w:szCs w:val="30"/>
              <w:lang w:val="en-US" w:eastAsia="zh-CN" w:bidi="ar-SA"/>
            </w:rPr>
            <w:sectPr>
              <w:footerReference r:id="rId3" w:type="default"/>
              <w:pgSz w:w="11906" w:h="16838"/>
              <w:pgMar w:top="1440" w:right="1080" w:bottom="1440" w:left="1080"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4"/>
        <w:keepNext w:val="0"/>
        <w:keepLines w:val="0"/>
        <w:spacing w:before="100" w:after="100" w:line="360" w:lineRule="auto"/>
        <w:ind w:left="0" w:right="0" w:firstLine="0" w:firstLineChars="0"/>
        <w:jc w:val="center"/>
        <w:rPr>
          <w:rFonts w:ascii="Times New Roman" w:hAnsi="Times New Roman" w:eastAsia="Times New Roman" w:cs="Times New Roman"/>
          <w:b/>
          <w:bCs/>
          <w:kern w:val="0"/>
          <w:sz w:val="32"/>
          <w:szCs w:val="32"/>
        </w:rPr>
      </w:pPr>
      <w:bookmarkStart w:id="0" w:name="_Toc256000093"/>
      <w:bookmarkStart w:id="1" w:name="_Toc256000062"/>
      <w:bookmarkStart w:id="2" w:name="_Toc256000031"/>
      <w:bookmarkStart w:id="3" w:name="_Toc256000000"/>
      <w:bookmarkStart w:id="4" w:name="a000"/>
      <w:r>
        <w:rPr>
          <w:rFonts w:ascii="黑体" w:hAnsi="黑体" w:eastAsia="黑体" w:cs="黑体"/>
          <w:b/>
          <w:spacing w:val="0"/>
          <w:sz w:val="32"/>
          <w:szCs w:val="32"/>
        </w:rPr>
        <w:t>第一部分</w:t>
      </w:r>
      <w:bookmarkEnd w:id="0"/>
      <w:bookmarkEnd w:id="1"/>
      <w:bookmarkEnd w:id="2"/>
      <w:bookmarkEnd w:id="3"/>
      <w:bookmarkStart w:id="5" w:name="_Toc256000001"/>
      <w:bookmarkStart w:id="6" w:name="_Toc256000032"/>
      <w:bookmarkStart w:id="7" w:name="_Toc256000063"/>
      <w:bookmarkStart w:id="8" w:name="_Toc256000094"/>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pStyle w:val="6"/>
        <w:keepNext w:val="0"/>
        <w:keepLines w:val="0"/>
        <w:spacing w:before="100" w:after="100" w:line="360" w:lineRule="auto"/>
        <w:ind w:left="0" w:right="0" w:firstLine="643" w:firstLineChars="200"/>
        <w:rPr>
          <w:rFonts w:ascii="Times New Roman" w:hAnsi="Times New Roman" w:eastAsia="Times New Roman" w:cs="Times New Roman"/>
          <w:b/>
          <w:bCs/>
          <w:kern w:val="0"/>
          <w:sz w:val="28"/>
          <w:szCs w:val="28"/>
        </w:rPr>
      </w:pPr>
      <w:bookmarkStart w:id="9" w:name="_Toc256000064"/>
      <w:bookmarkStart w:id="10" w:name="_Toc256000002"/>
      <w:bookmarkStart w:id="11" w:name="_Toc256000033"/>
      <w:bookmarkStart w:id="12" w:name="_Toc256000095"/>
      <w:r>
        <w:rPr>
          <w:rFonts w:hint="eastAsia" w:ascii="黑体" w:hAnsi="黑体" w:eastAsia="黑体" w:cs="黑体"/>
          <w:b/>
          <w:spacing w:val="0"/>
          <w:lang w:val="en-US" w:eastAsia="zh-CN"/>
        </w:rPr>
        <w:t xml:space="preserve"> </w:t>
      </w:r>
      <w:r>
        <w:rPr>
          <w:rFonts w:ascii="黑体" w:hAnsi="黑体" w:eastAsia="黑体" w:cs="黑体"/>
          <w:b/>
          <w:spacing w:val="0"/>
        </w:rPr>
        <w:t>一、单位主要职责</w:t>
      </w:r>
      <w:bookmarkEnd w:id="9"/>
      <w:bookmarkEnd w:id="10"/>
      <w:bookmarkEnd w:id="11"/>
      <w:bookmarkEnd w:id="12"/>
    </w:p>
    <w:p>
      <w:pPr>
        <w:pStyle w:val="29"/>
        <w:widowControl/>
        <w:spacing w:before="100" w:after="100" w:line="360" w:lineRule="auto"/>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厦门市金林湾实验学校单位的主要职责是：</w:t>
      </w:r>
      <w:bookmarkStart w:id="13" w:name="_Toc5896"/>
    </w:p>
    <w:p>
      <w:pPr>
        <w:pStyle w:val="29"/>
        <w:widowControl/>
        <w:numPr>
          <w:ilvl w:val="0"/>
          <w:numId w:val="1"/>
        </w:numPr>
        <w:spacing w:before="100" w:after="100" w:line="360" w:lineRule="auto"/>
        <w:ind w:left="0" w:right="0" w:firstLine="640"/>
        <w:jc w:val="left"/>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实施小学、初中义务教育，促进基础教育发展。</w:t>
      </w:r>
      <w:bookmarkEnd w:id="13"/>
      <w:bookmarkStart w:id="14" w:name="_Toc2798"/>
    </w:p>
    <w:p>
      <w:pPr>
        <w:pStyle w:val="29"/>
        <w:widowControl/>
        <w:numPr>
          <w:ilvl w:val="0"/>
          <w:numId w:val="1"/>
        </w:numPr>
        <w:spacing w:before="100" w:after="100" w:line="360" w:lineRule="auto"/>
        <w:ind w:left="0" w:right="0" w:firstLine="640"/>
        <w:jc w:val="left"/>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实施小学、初中学历教育。</w:t>
      </w:r>
      <w:bookmarkEnd w:id="14"/>
      <w:bookmarkStart w:id="15" w:name="_Toc256000096"/>
      <w:bookmarkStart w:id="16" w:name="_Toc256000003"/>
      <w:bookmarkStart w:id="17" w:name="_Toc256000065"/>
      <w:bookmarkStart w:id="18" w:name="_Toc256000034"/>
    </w:p>
    <w:p>
      <w:pPr>
        <w:pStyle w:val="29"/>
        <w:widowControl/>
        <w:numPr>
          <w:ilvl w:val="0"/>
          <w:numId w:val="0"/>
        </w:numPr>
        <w:spacing w:before="100" w:after="100" w:line="360" w:lineRule="auto"/>
        <w:ind w:right="0" w:rightChars="0" w:firstLine="643" w:firstLineChars="200"/>
        <w:jc w:val="left"/>
        <w:rPr>
          <w:rFonts w:ascii="黑体" w:hAnsi="黑体" w:eastAsia="黑体" w:cs="黑体"/>
          <w:b/>
          <w:bCs/>
          <w:spacing w:val="0"/>
          <w:sz w:val="32"/>
          <w:szCs w:val="32"/>
          <w:lang w:val="en-US" w:eastAsia="zh-CN" w:bidi="ar-SA"/>
        </w:rPr>
      </w:pPr>
      <w:r>
        <w:rPr>
          <w:rFonts w:ascii="黑体" w:hAnsi="黑体" w:eastAsia="黑体" w:cs="黑体"/>
          <w:b/>
          <w:bCs/>
          <w:spacing w:val="0"/>
          <w:sz w:val="32"/>
          <w:szCs w:val="32"/>
          <w:lang w:val="en-US" w:eastAsia="zh-CN" w:bidi="ar-SA"/>
        </w:rPr>
        <w:t>二、单位基本情况</w:t>
      </w:r>
      <w:bookmarkEnd w:id="15"/>
      <w:bookmarkEnd w:id="16"/>
      <w:bookmarkEnd w:id="17"/>
      <w:bookmarkEnd w:id="18"/>
    </w:p>
    <w:p>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outlineLvl w:val="9"/>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5</w:t>
      </w:r>
      <w:r>
        <w:rPr>
          <w:rFonts w:ascii="仿宋" w:hAnsi="仿宋" w:eastAsia="仿宋" w:cs="仿宋"/>
          <w:spacing w:val="0"/>
          <w:kern w:val="0"/>
          <w:sz w:val="32"/>
          <w:szCs w:val="32"/>
        </w:rPr>
        <w:t>个内设机构，其中：列入2024年决算编制范围的单位详细情况见下表:</w:t>
      </w:r>
    </w:p>
    <w:tbl>
      <w:tblPr>
        <w:tblStyle w:val="23"/>
        <w:tblW w:w="8160" w:type="dxa"/>
        <w:jc w:val="center"/>
        <w:tblInd w:w="988"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426"/>
        <w:gridCol w:w="5734"/>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blHeader/>
          <w:jc w:val="center"/>
        </w:trPr>
        <w:tc>
          <w:tcPr>
            <w:tcW w:w="2426"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5734"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595" w:hRule="atLeast"/>
          <w:tblHeader/>
          <w:jc w:val="center"/>
        </w:trPr>
        <w:tc>
          <w:tcPr>
            <w:tcW w:w="2426"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2"/>
                <w:szCs w:val="32"/>
                <w:lang w:val="en-US" w:eastAsia="zh-CN"/>
              </w:rPr>
            </w:pPr>
            <w:bookmarkStart w:id="19" w:name="_Toc256000035"/>
            <w:bookmarkStart w:id="20" w:name="_Toc256000066"/>
            <w:bookmarkStart w:id="21" w:name="_Toc256000004"/>
            <w:bookmarkStart w:id="22" w:name="_Toc256000097"/>
            <w:r>
              <w:rPr>
                <w:rFonts w:hint="eastAsia" w:ascii="仿宋" w:hAnsi="仿宋" w:eastAsia="仿宋" w:cs="仿宋"/>
                <w:b w:val="0"/>
                <w:bCs w:val="0"/>
                <w:i w:val="0"/>
                <w:iCs w:val="0"/>
                <w:smallCaps w:val="0"/>
                <w:color w:val="000000"/>
                <w:spacing w:val="0"/>
                <w:kern w:val="0"/>
                <w:sz w:val="32"/>
                <w:szCs w:val="32"/>
                <w:lang w:val="en-US" w:eastAsia="zh-CN"/>
              </w:rPr>
              <w:t>1</w:t>
            </w:r>
          </w:p>
        </w:tc>
        <w:tc>
          <w:tcPr>
            <w:tcW w:w="5734"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厦门市金林湾实验学校</w:t>
            </w:r>
          </w:p>
        </w:tc>
      </w:tr>
    </w:tbl>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9"/>
      <w:bookmarkEnd w:id="20"/>
      <w:bookmarkEnd w:id="21"/>
      <w:bookmarkEnd w:id="22"/>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2024年，厦门市金林湾实验学校单位主要任务是：</w:t>
      </w:r>
      <w:r>
        <w:rPr>
          <w:rFonts w:hint="eastAsia" w:ascii="仿宋" w:hAnsi="仿宋" w:eastAsia="仿宋" w:cs="仿宋"/>
          <w:spacing w:val="0"/>
          <w:kern w:val="0"/>
          <w:sz w:val="32"/>
          <w:szCs w:val="32"/>
        </w:rPr>
        <w:t>全面贯彻党的教育方针, 坚持立德树人根本任务，为党育人，</w:t>
      </w:r>
      <w:r>
        <w:rPr>
          <w:rFonts w:hint="eastAsia" w:ascii="仿宋_GB2312" w:hAnsi="宋体" w:eastAsia="仿宋_GB2312"/>
          <w:sz w:val="32"/>
        </w:rPr>
        <w:t>为国育才</w:t>
      </w:r>
      <w:r>
        <w:rPr>
          <w:rFonts w:hint="eastAsia" w:ascii="仿宋_GB2312" w:hAnsi="宋体" w:eastAsia="仿宋_GB2312"/>
          <w:sz w:val="32"/>
          <w:lang w:eastAsia="zh-CN"/>
        </w:rPr>
        <w:t>。</w:t>
      </w:r>
      <w:r>
        <w:rPr>
          <w:rFonts w:ascii="仿宋" w:hAnsi="仿宋" w:eastAsia="仿宋" w:cs="仿宋"/>
          <w:spacing w:val="0"/>
          <w:kern w:val="0"/>
          <w:sz w:val="32"/>
          <w:szCs w:val="32"/>
        </w:rPr>
        <w:t>围绕上述任务，重点完成了以下工作：</w:t>
      </w:r>
    </w:p>
    <w:p>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臻金党建，引领臻善教育</w:t>
      </w:r>
    </w:p>
    <w:p>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围绕“金领航·金服务·金梦想”党建品牌理念，牢牢把握党组织建设引领学校教育教学这条主线，不断促进学校优质、教师提升和学生成长。</w:t>
      </w:r>
      <w:r>
        <w:rPr>
          <w:rFonts w:ascii="仿宋_GB2312" w:hAnsi="仿宋_GB2312" w:eastAsia="仿宋_GB2312" w:cs="仿宋_GB2312"/>
          <w:sz w:val="32"/>
          <w:szCs w:val="32"/>
        </w:rPr>
        <w:t>深化“金帆领航”，</w:t>
      </w:r>
      <w:r>
        <w:rPr>
          <w:rFonts w:hint="eastAsia" w:ascii="仿宋_GB2312" w:hAnsi="仿宋_GB2312" w:eastAsia="仿宋_GB2312" w:cs="仿宋_GB2312"/>
          <w:sz w:val="32"/>
          <w:szCs w:val="32"/>
        </w:rPr>
        <w:t>推进</w:t>
      </w:r>
      <w:r>
        <w:rPr>
          <w:rFonts w:ascii="仿宋_GB2312" w:hAnsi="仿宋_GB2312" w:eastAsia="仿宋_GB2312" w:cs="仿宋_GB2312"/>
          <w:sz w:val="32"/>
          <w:szCs w:val="32"/>
        </w:rPr>
        <w:t>“臻善教育”模式，践行“全人教育”理念，推进“金质服务”，坚守为党育人、为国育才的初心使命，办好人民满意的高品质教育，成就“金梦想”。</w:t>
      </w:r>
    </w:p>
    <w:p>
      <w:pPr>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臻佳政务，管理提质增效</w:t>
      </w:r>
    </w:p>
    <w:p>
      <w:pPr>
        <w:spacing w:line="560" w:lineRule="exact"/>
        <w:ind w:firstLine="640" w:firstLineChars="200"/>
        <w:jc w:val="both"/>
        <w:rPr>
          <w:rFonts w:hint="eastAsia" w:ascii="仿宋_GB2312" w:hAnsi="仿宋_GB2312" w:eastAsia="仿宋_GB2312" w:cs="仿宋_GB2312"/>
          <w:sz w:val="32"/>
          <w:szCs w:val="32"/>
        </w:rPr>
      </w:pPr>
      <w:r>
        <w:rPr>
          <w:rFonts w:ascii="仿宋_GB2312" w:hAnsi="仿宋_GB2312" w:eastAsia="仿宋_GB2312" w:cs="仿宋_GB2312"/>
          <w:sz w:val="32"/>
          <w:szCs w:val="32"/>
        </w:rPr>
        <w:t xml:space="preserve">在“评价赋能 </w:t>
      </w:r>
      <w:r>
        <w:rPr>
          <w:rFonts w:hint="eastAsia" w:ascii="仿宋_GB2312" w:hAnsi="仿宋_GB2312" w:eastAsia="仿宋_GB2312" w:cs="仿宋_GB2312"/>
          <w:sz w:val="32"/>
          <w:szCs w:val="32"/>
          <w:lang w:eastAsia="zh-CN"/>
        </w:rPr>
        <w:t>高质量</w:t>
      </w:r>
      <w:bookmarkStart w:id="119" w:name="_GoBack"/>
      <w:bookmarkEnd w:id="119"/>
      <w:r>
        <w:rPr>
          <w:rFonts w:ascii="仿宋_GB2312" w:hAnsi="仿宋_GB2312" w:eastAsia="仿宋_GB2312" w:cs="仿宋_GB2312"/>
          <w:sz w:val="32"/>
          <w:szCs w:val="32"/>
        </w:rPr>
        <w:t>发展”的“臻善综合评价年”发展思路指引下，全面实施“臻佳”现代化管理，凝心聚力，服务给力，协调得力，显著提升了管理效能，为学校的高质量发展提供了坚实保障。</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（三）臻品德育，博雅弘毅臻善</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德育为先，坚持五育融合，营造“三全育人”的良好局面，构建臻品德育课程，研学课程的职业生涯体验，“九年一贯制”思政一体化课程，主题式多样化课程，开发“红领巾争章”“共青团集钻”“七彩班级评比”“七彩岗位实践”综合评价超市系统，让学科老师、班主任、段长、家长全面参与学生评价，学生以现实表现通过量化积分、可视化展示建立他评和自评机制，并可用积分兑换学校文创产品，建立了良好的校本学生激励文化。构建“3D”育人维度即家校社协同的育人路径，让每个孩子绽放光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（四）臻优教务，臻善课程育素养</w:t>
      </w:r>
    </w:p>
    <w:p>
      <w:pPr>
        <w:pStyle w:val="2"/>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学校臻盈丰富的臻善课程育人，不断实现国家课程校本化。湖里区“全国义务教育教学实验区”专项课题--《融合坚守创新--九年一贯制“臻善”课程构建实施的研究》立项研究，“基础课程、拓展课程</w:t>
      </w:r>
      <w:r>
        <w:rPr>
          <w:rFonts w:hint="default" w:ascii="仿宋" w:hAnsi="仿宋" w:eastAsia="仿宋" w:cs="仿宋"/>
          <w:spacing w:val="0"/>
          <w:kern w:val="0"/>
          <w:sz w:val="32"/>
          <w:szCs w:val="32"/>
          <w:lang w:val="en-US" w:eastAsia="zh-CN" w:bidi="ar-SA"/>
        </w:rPr>
        <w:t>”</w:t>
      </w:r>
      <w:r>
        <w:rPr>
          <w:rFonts w:hint="eastAsia" w:ascii="仿宋" w:hAnsi="仿宋" w:eastAsia="仿宋" w:cs="仿宋"/>
          <w:spacing w:val="0"/>
          <w:kern w:val="0"/>
          <w:sz w:val="32"/>
          <w:szCs w:val="32"/>
          <w:lang w:val="en-US" w:eastAsia="zh-CN" w:bidi="ar-SA"/>
        </w:rPr>
        <w:t>系列化，“备教学评一体化”“臻慧数字化赋能”“臻真AI教研”为支撑，落实好国家课程方案。</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（五）臻真教研，教科研强师赋能</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紧扣“臻真研训、深化‘臻善’、强师赋能”的核心目标，全力推进教师专业成长，构建“臻心”教师研修课程，分层架构，层级推进，迭代升级，研训到位，完善教师发展中心。聚焦“学为中心”，指向学科“科学思维”，深化“一组一方案”“一科一模式”，让“臻善课堂”落地见效。以课题为抓手，从学校大课题到学科组子课题，再到教师个人课题，构建课题网络，推进“多样化”研究，不断打造一支高素质、高水平的优质教师队伍。</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（六）臻尚团队，育新时代好队员</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臻金党建带好臻尚团队，“心向党，争做新时代好队员好团员”，以“博雅·弘毅·臻善”三大系列为载体，加强队员团员自信自强自律。围绕“红领巾臻尚章”“共青团臻善钻”，落实评价一体化，促进团、队工作再上新台阶。</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（七）臻诚后勤，用心保障优服务</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后勤不后”，“用力”争一流，“用脑”创优质，“用心”求卓越。总务处充分发挥职能，协同物业、食堂等多个后勤部门竭力为全体师生服务。借助臻慧智能平台，及时发现问题，保驾护航，做学校高品质发展的坚强后盾。</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（八）臻强保卫，多措并举护平安</w:t>
      </w:r>
    </w:p>
    <w:p>
      <w:pPr>
        <w:spacing w:line="560" w:lineRule="exact"/>
        <w:ind w:firstLine="640" w:firstLineChars="200"/>
        <w:jc w:val="both"/>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安全无小事、事事要安全”。落实常态安全教育，筑牢校园安全防线。安全教育播报，志鹏播报课程，禁毒教育课程，公共安全课程，并分年级设置“湾仔小卫士”，分班级设置“班级安全员”，充分发挥同伴互助，学生管理作用，多元做好安全教育。完善消防安全设施设备巡查、维护、隐患排查整改等常态化机制，强化“宁可千日无险、绝不一日无防”的安全意识形态。</w:t>
      </w:r>
    </w:p>
    <w:p>
      <w:pPr>
        <w:pStyle w:val="2"/>
        <w:rPr>
          <w:rFonts w:hint="eastAsia" w:ascii="仿宋" w:hAnsi="仿宋" w:eastAsia="仿宋" w:cs="仿宋"/>
          <w:spacing w:val="0"/>
          <w:kern w:val="0"/>
          <w:sz w:val="32"/>
          <w:szCs w:val="32"/>
          <w:lang w:val="en-US" w:eastAsia="zh-CN" w:bidi="ar-SA"/>
        </w:rPr>
      </w:pPr>
    </w:p>
    <w:p>
      <w:pPr>
        <w:pStyle w:val="2"/>
        <w:rPr>
          <w:rFonts w:hint="eastAsia" w:ascii="仿宋" w:hAnsi="仿宋" w:eastAsia="仿宋" w:cs="仿宋"/>
          <w:spacing w:val="0"/>
          <w:kern w:val="0"/>
          <w:sz w:val="32"/>
          <w:szCs w:val="32"/>
          <w:lang w:val="en-US" w:eastAsia="zh-CN" w:bidi="ar-SA"/>
        </w:rPr>
      </w:pPr>
    </w:p>
    <w:p>
      <w:pPr>
        <w:pStyle w:val="2"/>
        <w:rPr>
          <w:rFonts w:hint="eastAsia" w:ascii="仿宋" w:hAnsi="仿宋" w:eastAsia="仿宋" w:cs="仿宋"/>
          <w:spacing w:val="0"/>
          <w:kern w:val="0"/>
          <w:sz w:val="32"/>
          <w:szCs w:val="32"/>
          <w:lang w:val="en-US" w:eastAsia="zh-CN" w:bidi="ar-SA"/>
        </w:rPr>
        <w:sectPr>
          <w:footerReference r:id="rId4" w:type="default"/>
          <w:pgSz w:w="11906" w:h="16838"/>
          <w:pgMar w:top="1440" w:right="1080" w:bottom="1440" w:left="1080" w:header="720" w:footer="720" w:gutter="0"/>
          <w:pgNumType w:start="1"/>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numPr>
          <w:ilvl w:val="0"/>
          <w:numId w:val="0"/>
        </w:numPr>
        <w:spacing w:before="100" w:after="100" w:line="240" w:lineRule="auto"/>
        <w:ind w:leftChars="0" w:right="0" w:rightChars="0"/>
        <w:jc w:val="center"/>
        <w:rPr>
          <w:rFonts w:ascii="黑体" w:hAnsi="黑体" w:eastAsia="黑体" w:cs="黑体"/>
          <w:b/>
          <w:spacing w:val="0"/>
          <w:sz w:val="36"/>
          <w:szCs w:val="36"/>
        </w:rPr>
      </w:pPr>
      <w:bookmarkStart w:id="23" w:name="_Toc256000099"/>
      <w:bookmarkStart w:id="24" w:name="_Toc256000037"/>
      <w:bookmarkStart w:id="25" w:name="_Toc256000068"/>
      <w:bookmarkStart w:id="26" w:name="_Toc256000006"/>
      <w:r>
        <w:rPr>
          <w:rFonts w:hint="eastAsia" w:ascii="黑体" w:hAnsi="黑体" w:eastAsia="黑体" w:cs="黑体"/>
          <w:b/>
          <w:spacing w:val="0"/>
          <w:sz w:val="32"/>
          <w:szCs w:val="32"/>
          <w:lang w:val="en-US" w:eastAsia="zh-CN"/>
        </w:rPr>
        <w:t xml:space="preserve">第二部分 </w:t>
      </w:r>
      <w:r>
        <w:rPr>
          <w:rFonts w:ascii="黑体" w:hAnsi="黑体" w:eastAsia="黑体" w:cs="黑体"/>
          <w:b/>
          <w:spacing w:val="0"/>
          <w:sz w:val="32"/>
          <w:szCs w:val="32"/>
        </w:rPr>
        <w:t>2024年度决算表</w:t>
      </w:r>
      <w:bookmarkEnd w:id="23"/>
      <w:bookmarkEnd w:id="24"/>
      <w:bookmarkEnd w:id="25"/>
      <w:bookmarkEnd w:id="2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27" w:name="_Toc256000038"/>
      <w:bookmarkStart w:id="28" w:name="_Toc256000069"/>
      <w:bookmarkStart w:id="29" w:name="_Toc256000007"/>
      <w:bookmarkStart w:id="30" w:name="_Toc256000100"/>
      <w:r>
        <w:rPr>
          <w:rFonts w:ascii="黑体" w:hAnsi="黑体" w:eastAsia="黑体" w:cs="黑体"/>
          <w:b/>
          <w:spacing w:val="0"/>
        </w:rPr>
        <w:t>一、收入支出决算总表</w:t>
      </w:r>
      <w:bookmarkEnd w:id="27"/>
      <w:bookmarkEnd w:id="28"/>
      <w:bookmarkEnd w:id="29"/>
      <w:bookmarkEnd w:id="3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685" w:type="dxa"/>
        <w:jc w:val="center"/>
        <w:tblInd w:w="0" w:type="dxa"/>
        <w:tblLayout w:type="fixed"/>
        <w:tblCellMar>
          <w:top w:w="15" w:type="dxa"/>
          <w:left w:w="15" w:type="dxa"/>
          <w:bottom w:w="15" w:type="dxa"/>
          <w:right w:w="15" w:type="dxa"/>
        </w:tblCellMar>
      </w:tblPr>
      <w:tblGrid>
        <w:gridCol w:w="3040"/>
        <w:gridCol w:w="540"/>
        <w:gridCol w:w="1035"/>
        <w:gridCol w:w="3030"/>
        <w:gridCol w:w="720"/>
        <w:gridCol w:w="1320"/>
      </w:tblGrid>
      <w:tr>
        <w:tblPrEx>
          <w:tblLayout w:type="fixed"/>
          <w:tblCellMar>
            <w:top w:w="15" w:type="dxa"/>
            <w:left w:w="15" w:type="dxa"/>
            <w:bottom w:w="15" w:type="dxa"/>
            <w:right w:w="15" w:type="dxa"/>
          </w:tblCellMar>
        </w:tblPrEx>
        <w:trPr>
          <w:tblHeader/>
          <w:jc w:val="center"/>
        </w:trPr>
        <w:tc>
          <w:tcPr>
            <w:tcW w:w="9685"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blHeader/>
          <w:jc w:val="center"/>
        </w:trPr>
        <w:tc>
          <w:tcPr>
            <w:tcW w:w="358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21"/>
                <w:szCs w:val="21"/>
              </w:rPr>
            </w:pPr>
          </w:p>
        </w:tc>
        <w:tc>
          <w:tcPr>
            <w:tcW w:w="10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21"/>
                <w:szCs w:val="21"/>
              </w:rPr>
            </w:pPr>
          </w:p>
        </w:tc>
        <w:tc>
          <w:tcPr>
            <w:tcW w:w="30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21"/>
                <w:szCs w:val="21"/>
              </w:rPr>
            </w:pPr>
          </w:p>
        </w:tc>
        <w:tc>
          <w:tcPr>
            <w:tcW w:w="7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21"/>
                <w:szCs w:val="21"/>
              </w:rPr>
            </w:pPr>
          </w:p>
        </w:tc>
        <w:tc>
          <w:tcPr>
            <w:tcW w:w="13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jc w:val="center"/>
        </w:trPr>
        <w:tc>
          <w:tcPr>
            <w:tcW w:w="4615"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30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204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jc w:val="center"/>
        </w:trPr>
        <w:tc>
          <w:tcPr>
            <w:tcW w:w="461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507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5,901.29</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0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30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3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r>
      <w:tr>
        <w:tblPrEx>
          <w:tblLayout w:type="fixed"/>
          <w:tblCellMar>
            <w:top w:w="15" w:type="dxa"/>
            <w:left w:w="15" w:type="dxa"/>
            <w:bottom w:w="15" w:type="dxa"/>
            <w:right w:w="15" w:type="dxa"/>
          </w:tblCellMar>
        </w:tblPrEx>
        <w:trPr>
          <w:jc w:val="center"/>
        </w:trPr>
        <w:tc>
          <w:tcPr>
            <w:tcW w:w="9685"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jc w:val="center"/>
        </w:trPr>
        <w:tc>
          <w:tcPr>
            <w:tcW w:w="9685"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pStyle w:val="30"/>
        <w:widowControl/>
        <w:spacing w:before="100" w:after="100"/>
        <w:ind w:right="0" w:firstLine="643" w:firstLineChars="200"/>
        <w:jc w:val="left"/>
        <w:rPr>
          <w:rFonts w:ascii="黑体" w:hAnsi="黑体" w:eastAsia="黑体" w:cs="黑体"/>
          <w:b/>
          <w:bCs/>
          <w:spacing w:val="0"/>
          <w:sz w:val="32"/>
          <w:szCs w:val="32"/>
          <w:lang w:val="en-US" w:eastAsia="zh-CN" w:bidi="ar-SA"/>
        </w:rPr>
      </w:pPr>
      <w:bookmarkStart w:id="31" w:name="_Toc256000070"/>
      <w:bookmarkStart w:id="32" w:name="_Toc256000008"/>
      <w:bookmarkStart w:id="33" w:name="_Toc256000039"/>
      <w:bookmarkStart w:id="34" w:name="_Toc256000101"/>
      <w:r>
        <w:rPr>
          <w:rFonts w:ascii="黑体" w:hAnsi="黑体" w:eastAsia="黑体" w:cs="黑体"/>
          <w:b/>
          <w:bCs/>
          <w:spacing w:val="0"/>
          <w:sz w:val="32"/>
          <w:szCs w:val="32"/>
          <w:lang w:val="en-US" w:eastAsia="zh-CN" w:bidi="ar-SA"/>
        </w:rPr>
        <w:t>二、收入决算表</w:t>
      </w:r>
      <w:bookmarkEnd w:id="31"/>
      <w:bookmarkEnd w:id="32"/>
      <w:bookmarkEnd w:id="33"/>
      <w:bookmarkEnd w:id="3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1076"/>
        <w:gridCol w:w="1741"/>
        <w:gridCol w:w="1265"/>
        <w:gridCol w:w="1265"/>
        <w:gridCol w:w="1028"/>
        <w:gridCol w:w="1"/>
        <w:gridCol w:w="611"/>
        <w:gridCol w:w="873"/>
        <w:gridCol w:w="1163"/>
        <w:gridCol w:w="763"/>
      </w:tblGrid>
      <w:tr>
        <w:tblPrEx>
          <w:tblLayout w:type="fixed"/>
          <w:tblCellMar>
            <w:top w:w="15" w:type="dxa"/>
            <w:left w:w="15" w:type="dxa"/>
            <w:bottom w:w="15" w:type="dxa"/>
            <w:right w:w="15" w:type="dxa"/>
          </w:tblCellMar>
        </w:tblPrEx>
        <w:trPr>
          <w:tblHeader/>
        </w:trPr>
        <w:tc>
          <w:tcPr>
            <w:tcW w:w="978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trPr>
        <w:tc>
          <w:tcPr>
            <w:tcW w:w="10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7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6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1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347"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1640"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8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p>
        </w:tc>
        <w:tc>
          <w:tcPr>
            <w:tcW w:w="192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28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26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26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p>
        </w:tc>
        <w:tc>
          <w:tcPr>
            <w:tcW w:w="1029"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6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8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1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7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10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7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26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6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029" w:type="dxa"/>
            <w:gridSpan w:val="2"/>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611"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87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76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76"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741"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6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6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029" w:type="dxa"/>
            <w:gridSpan w:val="2"/>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611"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87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16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763"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8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28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4,831.15</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4,831.15</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438.76</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438.76</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0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7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02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7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978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6"/>
        <w:keepNext w:val="0"/>
        <w:keepLines w:val="0"/>
        <w:spacing w:before="100" w:after="100" w:line="240" w:lineRule="auto"/>
        <w:ind w:left="0" w:leftChars="0" w:right="0" w:firstLine="643" w:firstLineChars="200"/>
        <w:rPr>
          <w:rFonts w:ascii="黑体" w:hAnsi="黑体" w:eastAsia="黑体" w:cs="黑体"/>
          <w:b/>
          <w:spacing w:val="0"/>
        </w:rPr>
      </w:pPr>
      <w:bookmarkStart w:id="35" w:name="_Toc256000071"/>
      <w:bookmarkStart w:id="36" w:name="_Toc256000102"/>
      <w:bookmarkStart w:id="37" w:name="_Toc256000009"/>
      <w:bookmarkStart w:id="38" w:name="_Toc256000040"/>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35"/>
      <w:bookmarkEnd w:id="36"/>
      <w:bookmarkEnd w:id="37"/>
      <w:bookmarkEnd w:id="3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293"/>
        <w:gridCol w:w="293"/>
        <w:gridCol w:w="293"/>
        <w:gridCol w:w="2587"/>
        <w:gridCol w:w="1277"/>
        <w:gridCol w:w="1229"/>
        <w:gridCol w:w="954"/>
        <w:gridCol w:w="921"/>
        <w:gridCol w:w="695"/>
        <w:gridCol w:w="1244"/>
      </w:tblGrid>
      <w:tr>
        <w:tblPrEx>
          <w:tblLayout w:type="fixed"/>
          <w:tblCellMar>
            <w:top w:w="15" w:type="dxa"/>
            <w:left w:w="15" w:type="dxa"/>
            <w:bottom w:w="15" w:type="dxa"/>
            <w:right w:w="15" w:type="dxa"/>
          </w:tblCellMar>
        </w:tblPrEx>
        <w:trPr>
          <w:tblHeader/>
        </w:trPr>
        <w:tc>
          <w:tcPr>
            <w:tcW w:w="978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29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9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9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5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743"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218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9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3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4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27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2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6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12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879"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5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277"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29"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69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879" w:type="dxa"/>
            <w:gridSpan w:val="3"/>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2587"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77"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29"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695"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c>
          <w:tcPr>
            <w:tcW w:w="1244" w:type="dxa"/>
            <w:vMerge w:val="continue"/>
            <w:tcBorders>
              <w:top w:val="single" w:color="000000" w:sz="6" w:space="0"/>
              <w:left w:val="single" w:color="000000" w:sz="6" w:space="0"/>
              <w:bottom w:val="single" w:color="000000" w:sz="6" w:space="0"/>
              <w:right w:val="single" w:color="000000" w:sz="6" w:space="0"/>
            </w:tcBorders>
            <w:vAlign w:val="center"/>
          </w:tcPr>
          <w:p>
            <w:pPr>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4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4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5,382.49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537.13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4,520.96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518.8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4,831.15</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4,520.96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438.76</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128.56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87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5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2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2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2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978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pStyle w:val="30"/>
        <w:widowControl/>
        <w:spacing w:before="100" w:after="100"/>
        <w:ind w:left="0" w:right="0" w:firstLine="0"/>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bookmarkStart w:id="39" w:name="_Toc256000010"/>
      <w:bookmarkStart w:id="40" w:name="_Toc256000041"/>
      <w:bookmarkStart w:id="41" w:name="_Toc256000103"/>
      <w:bookmarkStart w:id="42" w:name="_Toc256000072"/>
    </w:p>
    <w:p>
      <w:pPr>
        <w:pStyle w:val="30"/>
        <w:widowControl/>
        <w:spacing w:before="100" w:after="100"/>
        <w:ind w:left="0" w:right="0" w:firstLine="0"/>
        <w:jc w:val="left"/>
        <w:rPr>
          <w:rFonts w:ascii="Times New Roman" w:hAnsi="Times New Roman" w:eastAsia="Times New Roman" w:cs="Times New Roman"/>
          <w:kern w:val="0"/>
          <w:sz w:val="32"/>
          <w:szCs w:val="32"/>
        </w:rPr>
      </w:pPr>
    </w:p>
    <w:p>
      <w:pPr>
        <w:pStyle w:val="30"/>
        <w:widowControl/>
        <w:spacing w:before="100" w:after="100"/>
        <w:ind w:left="0" w:right="0" w:firstLine="0"/>
        <w:jc w:val="left"/>
        <w:rPr>
          <w:rFonts w:ascii="Times New Roman" w:hAnsi="Times New Roman" w:eastAsia="Times New Roman" w:cs="Times New Roman"/>
          <w:kern w:val="0"/>
          <w:sz w:val="32"/>
          <w:szCs w:val="32"/>
        </w:rPr>
      </w:pPr>
    </w:p>
    <w:p>
      <w:pPr>
        <w:pStyle w:val="30"/>
        <w:widowControl/>
        <w:spacing w:before="100" w:after="100"/>
        <w:ind w:left="0" w:right="0" w:firstLine="0"/>
        <w:jc w:val="left"/>
        <w:rPr>
          <w:rFonts w:ascii="Times New Roman" w:hAnsi="Times New Roman" w:eastAsia="Times New Roman" w:cs="Times New Roman"/>
          <w:kern w:val="0"/>
          <w:sz w:val="32"/>
          <w:szCs w:val="32"/>
        </w:rPr>
      </w:pPr>
    </w:p>
    <w:p>
      <w:pPr>
        <w:pStyle w:val="30"/>
        <w:widowControl/>
        <w:spacing w:before="100" w:after="100"/>
        <w:ind w:left="0" w:right="0" w:firstLine="0"/>
        <w:jc w:val="left"/>
        <w:rPr>
          <w:rFonts w:ascii="Times New Roman" w:hAnsi="Times New Roman" w:eastAsia="Times New Roman" w:cs="Times New Roman"/>
          <w:kern w:val="0"/>
          <w:sz w:val="32"/>
          <w:szCs w:val="32"/>
        </w:rPr>
      </w:pPr>
    </w:p>
    <w:p>
      <w:pPr>
        <w:pStyle w:val="30"/>
        <w:widowControl/>
        <w:spacing w:before="100" w:after="100"/>
        <w:ind w:left="0" w:right="0" w:firstLine="0"/>
        <w:jc w:val="left"/>
        <w:rPr>
          <w:rFonts w:ascii="Times New Roman" w:hAnsi="Times New Roman" w:eastAsia="Times New Roman" w:cs="Times New Roman"/>
          <w:kern w:val="0"/>
          <w:sz w:val="32"/>
          <w:szCs w:val="32"/>
        </w:rPr>
      </w:pPr>
    </w:p>
    <w:p>
      <w:pPr>
        <w:pStyle w:val="30"/>
        <w:widowControl/>
        <w:spacing w:before="100" w:after="100"/>
        <w:ind w:left="0" w:right="0" w:firstLine="643" w:firstLineChars="2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四、财政拨款收入支出决算总表</w:t>
      </w:r>
      <w:bookmarkEnd w:id="39"/>
      <w:bookmarkEnd w:id="40"/>
      <w:bookmarkEnd w:id="41"/>
      <w:bookmarkEnd w:id="4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801" w:type="dxa"/>
        <w:tblInd w:w="0" w:type="dxa"/>
        <w:tblLayout w:type="fixed"/>
        <w:tblCellMar>
          <w:top w:w="15" w:type="dxa"/>
          <w:left w:w="15" w:type="dxa"/>
          <w:bottom w:w="15" w:type="dxa"/>
          <w:right w:w="15" w:type="dxa"/>
        </w:tblCellMar>
      </w:tblPr>
      <w:tblGrid>
        <w:gridCol w:w="1482"/>
        <w:gridCol w:w="387"/>
        <w:gridCol w:w="955"/>
        <w:gridCol w:w="2561"/>
        <w:gridCol w:w="645"/>
        <w:gridCol w:w="1005"/>
        <w:gridCol w:w="936"/>
        <w:gridCol w:w="840"/>
        <w:gridCol w:w="990"/>
      </w:tblGrid>
      <w:tr>
        <w:tblPrEx>
          <w:tblLayout w:type="fixed"/>
          <w:tblCellMar>
            <w:top w:w="15" w:type="dxa"/>
            <w:left w:w="15" w:type="dxa"/>
            <w:bottom w:w="15" w:type="dxa"/>
            <w:right w:w="15" w:type="dxa"/>
          </w:tblCellMar>
        </w:tblPrEx>
        <w:trPr>
          <w:tblHeader/>
        </w:trPr>
        <w:tc>
          <w:tcPr>
            <w:tcW w:w="9801"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186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5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0" w:hRule="atLeast"/>
          <w:tblHeader/>
        </w:trPr>
        <w:tc>
          <w:tcPr>
            <w:tcW w:w="538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单位：厦门市金林湾实验学校</w:t>
            </w:r>
          </w:p>
        </w:tc>
        <w:tc>
          <w:tcPr>
            <w:tcW w:w="165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9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p>
        </w:tc>
        <w:tc>
          <w:tcPr>
            <w:tcW w:w="183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c>
          <w:tcPr>
            <w:tcW w:w="282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977"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5,901.29</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5,901.29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14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3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25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6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5,919.62</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5,901.29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9801"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3" w:name="_Toc256000104"/>
      <w:bookmarkStart w:id="44" w:name="_Toc256000042"/>
      <w:bookmarkStart w:id="45" w:name="_Toc256000073"/>
      <w:bookmarkStart w:id="46" w:name="_Toc256000011"/>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五、一般公共预算财政拨款支出决算表</w:t>
      </w:r>
      <w:bookmarkEnd w:id="43"/>
      <w:bookmarkEnd w:id="44"/>
      <w:bookmarkEnd w:id="45"/>
      <w:bookmarkEnd w:id="4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368"/>
        <w:gridCol w:w="368"/>
        <w:gridCol w:w="369"/>
        <w:gridCol w:w="4198"/>
        <w:gridCol w:w="1031"/>
        <w:gridCol w:w="1"/>
        <w:gridCol w:w="1336"/>
        <w:gridCol w:w="1"/>
        <w:gridCol w:w="2114"/>
      </w:tblGrid>
      <w:tr>
        <w:tblPrEx>
          <w:tblLayout w:type="fixed"/>
          <w:tblCellMar>
            <w:top w:w="15" w:type="dxa"/>
            <w:left w:w="15" w:type="dxa"/>
            <w:bottom w:w="15" w:type="dxa"/>
            <w:right w:w="15" w:type="dxa"/>
          </w:tblCellMar>
        </w:tblPrEx>
        <w:trPr>
          <w:tblHeader/>
        </w:trPr>
        <w:tc>
          <w:tcPr>
            <w:tcW w:w="978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3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19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3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6335"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133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21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530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483"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105"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419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37"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115"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10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19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3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15"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105"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19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530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5,901.29</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5,382.49</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518.8</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5,039.76</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4,520.96</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518.8</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4,831.15</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4,520.96</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2,827.5</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1,564.9</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438.76</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128.56</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208.6</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622.94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89.14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226.24</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76.51</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0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41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3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21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宋体" w:hAnsi="宋体" w:cs="宋体"/>
          <w:spacing w:val="0"/>
          <w:kern w:val="0"/>
          <w:sz w:val="24"/>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7" w:name="_Toc256000105"/>
      <w:bookmarkStart w:id="48" w:name="_Toc256000043"/>
      <w:bookmarkStart w:id="49" w:name="_Toc256000074"/>
      <w:bookmarkStart w:id="50" w:name="_Toc256000012"/>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六、一般公共预算财政拨款基本支出决算表</w:t>
      </w:r>
      <w:bookmarkEnd w:id="47"/>
      <w:bookmarkEnd w:id="48"/>
      <w:bookmarkEnd w:id="49"/>
      <w:bookmarkEnd w:id="5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1034"/>
        <w:gridCol w:w="1458"/>
        <w:gridCol w:w="1032"/>
        <w:gridCol w:w="1034"/>
        <w:gridCol w:w="1200"/>
        <w:gridCol w:w="822"/>
        <w:gridCol w:w="1034"/>
        <w:gridCol w:w="1331"/>
        <w:gridCol w:w="841"/>
      </w:tblGrid>
      <w:tr>
        <w:tblPrEx>
          <w:tblLayout w:type="fixed"/>
          <w:tblCellMar>
            <w:top w:w="15" w:type="dxa"/>
            <w:left w:w="15" w:type="dxa"/>
            <w:bottom w:w="15" w:type="dxa"/>
            <w:right w:w="15" w:type="dxa"/>
          </w:tblCellMar>
        </w:tblPrEx>
        <w:trPr>
          <w:tblHeader/>
        </w:trPr>
        <w:tc>
          <w:tcPr>
            <w:tcW w:w="978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trPr>
        <w:tc>
          <w:tcPr>
            <w:tcW w:w="10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3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blHeader/>
        </w:trPr>
        <w:tc>
          <w:tcPr>
            <w:tcW w:w="4558"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12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8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7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10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4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2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33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trPr>
        <w:tc>
          <w:tcPr>
            <w:tcW w:w="10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45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4,695.45</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554.4</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593.33</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266.06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864.37</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11.46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1,520.05</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17.98</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290.45</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4.02</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349.74</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40.89</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184.07</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149.73</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113.77</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0.23</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368.01</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14.76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261.92</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114.66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36.27</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1.91</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13.18</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41.06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94.16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6.12</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4.69</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84.72</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31.76</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3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249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4,810.1</w:t>
            </w:r>
          </w:p>
        </w:tc>
        <w:tc>
          <w:tcPr>
            <w:tcW w:w="409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17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572.38</w:t>
            </w:r>
          </w:p>
        </w:tc>
      </w:tr>
      <w:tr>
        <w:tblPrEx>
          <w:tblLayout w:type="fixed"/>
          <w:tblCellMar>
            <w:top w:w="15" w:type="dxa"/>
            <w:left w:w="15" w:type="dxa"/>
            <w:bottom w:w="15" w:type="dxa"/>
            <w:right w:w="15" w:type="dxa"/>
          </w:tblCellMar>
        </w:tblPrEx>
        <w:trPr>
          <w:tblHeader/>
        </w:trPr>
        <w:tc>
          <w:tcPr>
            <w:tcW w:w="978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51" w:name="_Toc256000013"/>
      <w:bookmarkStart w:id="52" w:name="_Toc256000075"/>
      <w:bookmarkStart w:id="53" w:name="_Toc256000106"/>
      <w:bookmarkStart w:id="54" w:name="_Toc256000044"/>
    </w:p>
    <w:p>
      <w:pPr>
        <w:pStyle w:val="5"/>
        <w:rPr>
          <w:rFonts w:ascii="黑体" w:hAnsi="黑体" w:eastAsia="黑体" w:cs="黑体"/>
          <w:b/>
          <w:spacing w:val="0"/>
        </w:rPr>
      </w:pPr>
    </w:p>
    <w:p>
      <w:pPr>
        <w:pStyle w:val="5"/>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5"/>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vanish/>
          <w:kern w:val="0"/>
          <w:sz w:val="24"/>
        </w:rPr>
      </w:pPr>
      <w:r>
        <w:rPr>
          <w:rFonts w:ascii="黑体" w:hAnsi="黑体" w:eastAsia="黑体" w:cs="黑体"/>
          <w:b/>
          <w:spacing w:val="0"/>
        </w:rPr>
        <w:t>七、一般公共预算财政拨款“三公”经费支出决算表</w:t>
      </w:r>
      <w:bookmarkEnd w:id="51"/>
      <w:bookmarkEnd w:id="52"/>
      <w:bookmarkEnd w:id="53"/>
      <w:bookmarkEnd w:id="54"/>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405"/>
        <w:gridCol w:w="1285"/>
        <w:gridCol w:w="405"/>
        <w:gridCol w:w="780"/>
        <w:gridCol w:w="929"/>
        <w:gridCol w:w="630"/>
        <w:gridCol w:w="860"/>
        <w:gridCol w:w="1285"/>
        <w:gridCol w:w="405"/>
        <w:gridCol w:w="779"/>
        <w:gridCol w:w="930"/>
        <w:gridCol w:w="1"/>
        <w:gridCol w:w="1092"/>
      </w:tblGrid>
      <w:tr>
        <w:tblPrEx>
          <w:tblLayout w:type="fixed"/>
          <w:tblCellMar>
            <w:top w:w="15" w:type="dxa"/>
            <w:left w:w="15" w:type="dxa"/>
            <w:bottom w:w="15" w:type="dxa"/>
            <w:right w:w="15" w:type="dxa"/>
          </w:tblCellMar>
        </w:tblPrEx>
        <w:trPr>
          <w:tblHeader/>
        </w:trPr>
        <w:tc>
          <w:tcPr>
            <w:tcW w:w="9786" w:type="dxa"/>
            <w:gridSpan w:val="13"/>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4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8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8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2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8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9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434"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214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4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23"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434"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5352"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4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1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6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8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11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10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4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8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6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931"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4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1"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3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93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0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tr>
        <w:tblPrEx>
          <w:tblLayout w:type="fixed"/>
          <w:tblCellMar>
            <w:top w:w="15" w:type="dxa"/>
            <w:left w:w="15" w:type="dxa"/>
            <w:bottom w:w="15" w:type="dxa"/>
            <w:right w:w="15" w:type="dxa"/>
          </w:tblCellMar>
        </w:tblPrEx>
        <w:tc>
          <w:tcPr>
            <w:tcW w:w="9786" w:type="dxa"/>
            <w:gridSpan w:val="13"/>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pStyle w:val="29"/>
        <w:keepNext w:val="0"/>
        <w:keepLines w:val="0"/>
        <w:pageBreakBefore w:val="0"/>
        <w:widowControl/>
        <w:kinsoku/>
        <w:wordWrap/>
        <w:overflowPunct/>
        <w:topLinePunct w:val="0"/>
        <w:autoSpaceDE/>
        <w:autoSpaceDN/>
        <w:bidi w:val="0"/>
        <w:adjustRightInd/>
        <w:snapToGrid/>
        <w:spacing w:before="240" w:after="240" w:line="360" w:lineRule="auto"/>
        <w:ind w:firstLine="640" w:firstLineChars="200"/>
        <w:jc w:val="left"/>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lang w:val="en-US" w:eastAsia="zh-CN"/>
        </w:rPr>
        <w:t>2024年度没有使用一般公共预算财政拨款安排的“三公”经费支出。</w:t>
      </w:r>
    </w:p>
    <w:p>
      <w:pPr>
        <w:widowControl/>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宋体" w:hAnsi="宋体" w:cs="宋体"/>
          <w:spacing w:val="0"/>
          <w:kern w:val="0"/>
          <w:sz w:val="32"/>
          <w:szCs w:val="32"/>
        </w:rPr>
      </w:pPr>
      <w:r>
        <w:rPr>
          <w:rFonts w:ascii="宋体" w:hAnsi="宋体" w:cs="宋体"/>
          <w:spacing w:val="0"/>
          <w:kern w:val="0"/>
          <w:sz w:val="32"/>
          <w:szCs w:val="32"/>
        </w:rPr>
        <w:t> </w:t>
      </w:r>
    </w:p>
    <w:p>
      <w:pPr>
        <w:pStyle w:val="29"/>
        <w:widowControl/>
        <w:spacing w:before="100" w:after="100"/>
        <w:ind w:left="0" w:right="0" w:firstLine="0"/>
        <w:jc w:val="left"/>
        <w:rPr>
          <w:rFonts w:ascii="宋体" w:hAnsi="宋体" w:cs="宋体"/>
          <w:spacing w:val="0"/>
          <w:kern w:val="0"/>
          <w:sz w:val="32"/>
          <w:szCs w:val="32"/>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bookmarkStart w:id="55" w:name="_Toc256000076"/>
      <w:bookmarkStart w:id="56" w:name="_Toc256000014"/>
      <w:bookmarkStart w:id="57" w:name="_Toc256000045"/>
      <w:bookmarkStart w:id="58" w:name="_Toc256000107"/>
      <w:r>
        <w:rPr>
          <w:rFonts w:ascii="黑体" w:hAnsi="黑体" w:eastAsia="黑体" w:cs="黑体"/>
          <w:b/>
          <w:spacing w:val="0"/>
        </w:rPr>
        <w:t>八、政府性基金预算财政拨款收入支出决算表</w:t>
      </w:r>
      <w:bookmarkEnd w:id="55"/>
      <w:bookmarkEnd w:id="56"/>
      <w:bookmarkEnd w:id="57"/>
      <w:bookmarkEnd w:id="5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1852"/>
        <w:gridCol w:w="1969"/>
        <w:gridCol w:w="1087"/>
        <w:gridCol w:w="901"/>
        <w:gridCol w:w="988"/>
        <w:gridCol w:w="708"/>
        <w:gridCol w:w="1"/>
        <w:gridCol w:w="901"/>
        <w:gridCol w:w="1379"/>
      </w:tblGrid>
      <w:tr>
        <w:tblPrEx>
          <w:tblLayout w:type="fixed"/>
          <w:tblCellMar>
            <w:top w:w="15" w:type="dxa"/>
            <w:left w:w="15" w:type="dxa"/>
            <w:bottom w:w="15" w:type="dxa"/>
            <w:right w:w="15" w:type="dxa"/>
          </w:tblCellMar>
        </w:tblPrEx>
        <w:trPr>
          <w:tblHeader/>
        </w:trPr>
        <w:tc>
          <w:tcPr>
            <w:tcW w:w="978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8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8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0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80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9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70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8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82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8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9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259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3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85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9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7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902"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3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8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9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2"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7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82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3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82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3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9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3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9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3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9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8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18.33</w:t>
            </w:r>
          </w:p>
        </w:tc>
        <w:tc>
          <w:tcPr>
            <w:tcW w:w="13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6"/>
        <w:keepNext w:val="0"/>
        <w:keepLines w:val="0"/>
        <w:spacing w:before="100" w:after="100" w:line="240" w:lineRule="auto"/>
        <w:ind w:left="0" w:right="0" w:firstLine="643" w:firstLineChars="200"/>
        <w:rPr>
          <w:rFonts w:ascii="Times New Roman" w:hAnsi="Times New Roman" w:eastAsia="Times New Roman" w:cs="Times New Roman"/>
          <w:vanish/>
          <w:kern w:val="0"/>
          <w:sz w:val="24"/>
        </w:rPr>
      </w:pPr>
      <w:bookmarkStart w:id="59" w:name="_Toc256000015"/>
      <w:bookmarkStart w:id="60" w:name="_Toc256000077"/>
      <w:bookmarkStart w:id="61" w:name="_Toc256000108"/>
      <w:bookmarkStart w:id="62" w:name="_Toc256000046"/>
      <w:r>
        <w:rPr>
          <w:rFonts w:ascii="黑体" w:hAnsi="黑体" w:eastAsia="黑体" w:cs="黑体"/>
          <w:b/>
          <w:spacing w:val="0"/>
        </w:rPr>
        <w:t>九、国有资本经营预算财政拨款支出决算表</w:t>
      </w:r>
      <w:bookmarkEnd w:id="59"/>
      <w:bookmarkEnd w:id="60"/>
      <w:bookmarkEnd w:id="61"/>
      <w:bookmarkEnd w:id="62"/>
      <w:r>
        <w:rPr>
          <w:rFonts w:ascii="Times New Roman" w:hAnsi="Times New Roman" w:eastAsia="Times New Roman" w:cs="Times New Roman"/>
          <w:vanish/>
          <w:kern w:val="0"/>
          <w:sz w:val="24"/>
        </w:rPr>
        <w:t>word horizontal layout</w:t>
      </w:r>
    </w:p>
    <w:tbl>
      <w:tblPr>
        <w:tblStyle w:val="23"/>
        <w:tblW w:w="9786" w:type="dxa"/>
        <w:tblInd w:w="0" w:type="dxa"/>
        <w:tblLayout w:type="fixed"/>
        <w:tblCellMar>
          <w:top w:w="15" w:type="dxa"/>
          <w:left w:w="15" w:type="dxa"/>
          <w:bottom w:w="15" w:type="dxa"/>
          <w:right w:w="15" w:type="dxa"/>
        </w:tblCellMar>
      </w:tblPr>
      <w:tblGrid>
        <w:gridCol w:w="2428"/>
        <w:gridCol w:w="2427"/>
        <w:gridCol w:w="1371"/>
        <w:gridCol w:w="1308"/>
        <w:gridCol w:w="2252"/>
      </w:tblGrid>
      <w:tr>
        <w:tblPrEx>
          <w:tblLayout w:type="fixed"/>
          <w:tblCellMar>
            <w:top w:w="15" w:type="dxa"/>
            <w:left w:w="15" w:type="dxa"/>
            <w:bottom w:w="15" w:type="dxa"/>
            <w:right w:w="15" w:type="dxa"/>
          </w:tblCellMar>
        </w:tblPrEx>
        <w:trPr>
          <w:tblHeader/>
        </w:trPr>
        <w:tc>
          <w:tcPr>
            <w:tcW w:w="978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24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4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7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85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单位：厦门市金林湾实验学校</w:t>
            </w:r>
          </w:p>
        </w:tc>
        <w:tc>
          <w:tcPr>
            <w:tcW w:w="137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3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2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8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93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24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4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25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24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4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7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2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4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4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7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25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8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3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8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2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8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9"/>
        <w:rPr>
          <w:rFonts w:ascii="仿宋" w:hAnsi="仿宋" w:eastAsia="仿宋" w:cs="仿宋"/>
          <w:kern w:val="0"/>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9"/>
        <w:rPr>
          <w:rFonts w:ascii="Times New Roman" w:hAnsi="Times New Roman" w:eastAsia="Times New Roman" w:cs="Times New Roman"/>
          <w:kern w:val="0"/>
          <w:sz w:val="24"/>
        </w:rPr>
      </w:pP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pStyle w:val="29"/>
        <w:widowControl/>
        <w:spacing w:before="240" w:after="240"/>
        <w:jc w:val="both"/>
        <w:rPr>
          <w:rFonts w:ascii="Times New Roman" w:hAnsi="Times New Roman" w:eastAsia="Times New Roman" w:cs="Times New Roman"/>
          <w:kern w:val="0"/>
          <w:sz w:val="24"/>
        </w:rPr>
        <w:sectPr>
          <w:footerReference r:id="rId5" w:type="default"/>
          <w:pgSz w:w="11906" w:h="16383"/>
          <w:pgMar w:top="1440" w:right="1080" w:bottom="1440" w:left="1080" w:header="720" w:footer="720" w:gutter="0"/>
          <w:cols w:space="720" w:num="1"/>
        </w:sectPr>
      </w:pPr>
    </w:p>
    <w:p>
      <w:pPr>
        <w:pStyle w:val="4"/>
        <w:keepNext w:val="0"/>
        <w:keepLines w:val="0"/>
        <w:spacing w:before="100" w:after="100" w:line="360" w:lineRule="auto"/>
        <w:ind w:left="0" w:right="0" w:firstLine="0" w:firstLineChars="0"/>
        <w:jc w:val="center"/>
        <w:rPr>
          <w:rFonts w:ascii="Times New Roman" w:hAnsi="Times New Roman" w:eastAsia="Times New Roman" w:cs="Times New Roman"/>
          <w:b/>
          <w:bCs/>
          <w:kern w:val="0"/>
          <w:sz w:val="32"/>
          <w:szCs w:val="32"/>
        </w:rPr>
      </w:pPr>
      <w:bookmarkStart w:id="63" w:name="_Toc256000016"/>
      <w:bookmarkStart w:id="64" w:name="_Toc256000047"/>
      <w:bookmarkStart w:id="65" w:name="_Toc256000109"/>
      <w:bookmarkStart w:id="66" w:name="_Toc256000078"/>
      <w:r>
        <w:rPr>
          <w:rFonts w:ascii="黑体" w:hAnsi="黑体" w:eastAsia="黑体" w:cs="黑体"/>
          <w:b/>
          <w:spacing w:val="0"/>
          <w:sz w:val="32"/>
          <w:szCs w:val="32"/>
        </w:rPr>
        <w:t>第三部分</w:t>
      </w:r>
      <w:bookmarkEnd w:id="63"/>
      <w:bookmarkEnd w:id="64"/>
      <w:bookmarkEnd w:id="65"/>
      <w:bookmarkEnd w:id="66"/>
      <w:bookmarkStart w:id="67" w:name="_Toc256000110"/>
      <w:bookmarkStart w:id="68" w:name="_Toc256000079"/>
      <w:bookmarkStart w:id="69" w:name="_Toc256000017"/>
      <w:bookmarkStart w:id="70" w:name="_Toc256000048"/>
      <w:r>
        <w:rPr>
          <w:rFonts w:hint="eastAsia" w:ascii="宋体" w:hAnsi="宋体" w:eastAsia="宋体" w:cs="宋体"/>
          <w:b/>
          <w:spacing w:val="0"/>
          <w:sz w:val="32"/>
          <w:szCs w:val="32"/>
          <w:lang w:val="en-US" w:eastAsia="zh-CN"/>
        </w:rPr>
        <w:t xml:space="preserve">  </w:t>
      </w:r>
      <w:r>
        <w:rPr>
          <w:rFonts w:ascii="黑体" w:hAnsi="黑体" w:eastAsia="黑体" w:cs="黑体"/>
          <w:b/>
          <w:spacing w:val="0"/>
          <w:sz w:val="32"/>
          <w:szCs w:val="32"/>
        </w:rPr>
        <w:t>2024年度决算情况说明</w:t>
      </w:r>
      <w:bookmarkEnd w:id="67"/>
      <w:bookmarkEnd w:id="68"/>
      <w:bookmarkEnd w:id="69"/>
      <w:bookmarkEnd w:id="70"/>
    </w:p>
    <w:p>
      <w:pPr>
        <w:pStyle w:val="6"/>
        <w:keepNext w:val="0"/>
        <w:keepLines w:val="0"/>
        <w:spacing w:before="100" w:after="100" w:line="360" w:lineRule="auto"/>
        <w:ind w:left="0" w:right="0" w:firstLine="640" w:firstLineChars="0"/>
        <w:rPr>
          <w:rFonts w:ascii="Times New Roman" w:hAnsi="Times New Roman" w:eastAsia="Times New Roman" w:cs="Times New Roman"/>
          <w:b/>
          <w:bCs/>
          <w:kern w:val="0"/>
          <w:sz w:val="28"/>
          <w:szCs w:val="28"/>
        </w:rPr>
      </w:pPr>
      <w:bookmarkStart w:id="71" w:name="_Toc256000018"/>
      <w:bookmarkStart w:id="72" w:name="_Toc256000049"/>
      <w:bookmarkStart w:id="73" w:name="_Toc256000111"/>
      <w:bookmarkStart w:id="74" w:name="_Toc256000080"/>
      <w:r>
        <w:rPr>
          <w:rFonts w:ascii="黑体" w:hAnsi="黑体" w:eastAsia="黑体" w:cs="黑体"/>
          <w:b/>
          <w:spacing w:val="0"/>
        </w:rPr>
        <w:t>一、收入支出决算总体情况说明</w:t>
      </w:r>
      <w:bookmarkEnd w:id="71"/>
      <w:bookmarkEnd w:id="72"/>
      <w:bookmarkEnd w:id="73"/>
      <w:bookmarkEnd w:id="74"/>
    </w:p>
    <w:p>
      <w:pPr>
        <w:pStyle w:val="29"/>
        <w:widowControl/>
        <w:spacing w:before="100" w:after="100" w:line="360" w:lineRule="auto"/>
        <w:ind w:left="0"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（一）收入支出决算总体情况说明</w:t>
      </w:r>
    </w:p>
    <w:p>
      <w:pPr>
        <w:pStyle w:val="29"/>
        <w:widowControl/>
        <w:spacing w:before="240" w:after="240" w:line="360" w:lineRule="auto"/>
        <w:ind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2024年度本单位收入总计5919.62万元，支出总计5919.62万元，与上年决算数相比，各增加428.64万元，各增长7.81%。</w:t>
      </w:r>
      <w:r>
        <w:rPr>
          <w:rFonts w:ascii="仿宋" w:hAnsi="仿宋" w:eastAsia="仿宋" w:cs="仿宋"/>
          <w:kern w:val="0"/>
          <w:sz w:val="32"/>
          <w:szCs w:val="32"/>
        </w:rPr>
        <w:t>主要是</w:t>
      </w:r>
      <w:r>
        <w:rPr>
          <w:rFonts w:hint="eastAsia" w:ascii="仿宋" w:hAnsi="仿宋" w:eastAsia="仿宋" w:cs="仿宋"/>
          <w:kern w:val="0"/>
          <w:sz w:val="32"/>
          <w:szCs w:val="32"/>
          <w:lang w:eastAsia="zh-CN"/>
        </w:rPr>
        <w:t>学生数和教师数增加等</w:t>
      </w:r>
      <w:r>
        <w:rPr>
          <w:rFonts w:ascii="仿宋" w:hAnsi="仿宋" w:eastAsia="仿宋" w:cs="仿宋"/>
          <w:kern w:val="0"/>
          <w:sz w:val="32"/>
          <w:szCs w:val="32"/>
        </w:rPr>
        <w:t>。</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（二）收入决算情况说明</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2024年度收入5919.62万元，比上年决算数</w:t>
      </w:r>
      <w:r>
        <w:rPr>
          <w:rFonts w:hint="eastAsia" w:ascii="仿宋_GB2312" w:hAnsi="仿宋_GB2312" w:eastAsia="仿宋_GB2312" w:cs="仿宋_GB2312"/>
          <w:kern w:val="0"/>
          <w:sz w:val="32"/>
          <w:szCs w:val="32"/>
        </w:rPr>
        <w:t>增加</w:t>
      </w:r>
      <w:r>
        <w:rPr>
          <w:rFonts w:hint="eastAsia" w:ascii="仿宋_GB2312" w:hAnsi="仿宋_GB2312" w:eastAsia="仿宋_GB2312" w:cs="仿宋_GB2312"/>
          <w:spacing w:val="0"/>
          <w:kern w:val="0"/>
          <w:sz w:val="32"/>
          <w:szCs w:val="32"/>
        </w:rPr>
        <w:t>428.64万元，</w:t>
      </w:r>
      <w:r>
        <w:rPr>
          <w:rFonts w:hint="eastAsia" w:ascii="仿宋_GB2312" w:hAnsi="仿宋_GB2312" w:eastAsia="仿宋_GB2312" w:cs="仿宋_GB2312"/>
          <w:kern w:val="0"/>
          <w:sz w:val="32"/>
          <w:szCs w:val="32"/>
        </w:rPr>
        <w:t>增长</w:t>
      </w:r>
      <w:r>
        <w:rPr>
          <w:rFonts w:hint="eastAsia" w:ascii="仿宋_GB2312" w:hAnsi="仿宋_GB2312" w:eastAsia="仿宋_GB2312" w:cs="仿宋_GB2312"/>
          <w:spacing w:val="0"/>
          <w:kern w:val="0"/>
          <w:sz w:val="32"/>
          <w:szCs w:val="32"/>
        </w:rPr>
        <w:t>7.81%，具体情况如下：</w:t>
      </w:r>
    </w:p>
    <w:p>
      <w:pPr>
        <w:pStyle w:val="29"/>
        <w:widowControl/>
        <w:spacing w:before="100" w:after="100" w:line="360" w:lineRule="auto"/>
        <w:ind w:left="160" w:right="0" w:firstLine="48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1.一般公共预算财政拨款收入5901.29万元。</w:t>
      </w:r>
    </w:p>
    <w:p>
      <w:pPr>
        <w:pStyle w:val="29"/>
        <w:widowControl/>
        <w:spacing w:before="100" w:after="100" w:line="360" w:lineRule="auto"/>
        <w:ind w:left="160" w:right="0" w:firstLine="48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2.政府性基金预算财政拨款收入18.33万元。</w:t>
      </w:r>
    </w:p>
    <w:p>
      <w:pPr>
        <w:pStyle w:val="29"/>
        <w:widowControl/>
        <w:spacing w:before="100" w:after="100" w:line="360" w:lineRule="auto"/>
        <w:ind w:left="160" w:right="0" w:firstLine="48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3.国有资本经营预算财政拨款收入0万元。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4.上级补助收入0万元。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5.事业收入0万元。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6.经营收入0万元。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7.附属单位上缴收入0万元。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8.其他收入0万元。</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（三）支出决算情况说明</w:t>
      </w:r>
    </w:p>
    <w:p>
      <w:pPr>
        <w:pStyle w:val="29"/>
        <w:widowControl/>
        <w:spacing w:before="100" w:after="100" w:line="360" w:lineRule="auto"/>
        <w:ind w:left="0" w:right="0" w:firstLine="640"/>
        <w:jc w:val="both"/>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2024年度支出5919.62万元，比上年决算数增加428.64万元，增长7.81%，具体情况如下：</w:t>
      </w:r>
    </w:p>
    <w:p>
      <w:pPr>
        <w:pStyle w:val="29"/>
        <w:widowControl/>
        <w:spacing w:before="100" w:after="100" w:line="360" w:lineRule="auto"/>
        <w:ind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1.基本支出5382.49万元。其中，人员支出4810.10万元，公用支出572.38万元。</w:t>
      </w:r>
    </w:p>
    <w:p>
      <w:pPr>
        <w:pStyle w:val="29"/>
        <w:widowControl/>
        <w:spacing w:before="240" w:after="240" w:line="360" w:lineRule="auto"/>
        <w:ind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2.项目支出537.13万元。</w:t>
      </w:r>
    </w:p>
    <w:p>
      <w:pPr>
        <w:pStyle w:val="29"/>
        <w:widowControl/>
        <w:spacing w:before="100" w:after="100" w:line="360" w:lineRule="auto"/>
        <w:ind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3.上缴上级支出0万元。</w:t>
      </w:r>
    </w:p>
    <w:p>
      <w:pPr>
        <w:pStyle w:val="29"/>
        <w:widowControl/>
        <w:spacing w:before="100" w:after="100" w:line="360" w:lineRule="auto"/>
        <w:ind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4.经营支出0万元。</w:t>
      </w:r>
    </w:p>
    <w:p>
      <w:pPr>
        <w:pStyle w:val="29"/>
        <w:widowControl/>
        <w:spacing w:before="100" w:after="100" w:line="360" w:lineRule="auto"/>
        <w:ind w:right="0" w:firstLine="640"/>
        <w:jc w:val="left"/>
        <w:rPr>
          <w:rFonts w:hint="eastAsia" w:ascii="仿宋_GB2312" w:hAnsi="仿宋_GB2312" w:eastAsia="仿宋_GB2312" w:cs="仿宋_GB2312"/>
          <w:kern w:val="0"/>
          <w:sz w:val="24"/>
        </w:rPr>
      </w:pPr>
      <w:r>
        <w:rPr>
          <w:rFonts w:hint="eastAsia" w:ascii="仿宋_GB2312" w:hAnsi="仿宋_GB2312" w:eastAsia="仿宋_GB2312" w:cs="仿宋_GB2312"/>
          <w:spacing w:val="0"/>
          <w:kern w:val="0"/>
          <w:sz w:val="32"/>
          <w:szCs w:val="32"/>
        </w:rPr>
        <w:t>5.对附属单位补助支出0万元。</w:t>
      </w:r>
    </w:p>
    <w:p>
      <w:pPr>
        <w:pStyle w:val="6"/>
        <w:keepNext w:val="0"/>
        <w:keepLines w:val="0"/>
        <w:spacing w:before="100" w:after="100" w:line="360" w:lineRule="auto"/>
        <w:ind w:right="0"/>
        <w:rPr>
          <w:rFonts w:ascii="Times New Roman" w:hAnsi="Times New Roman" w:eastAsia="Times New Roman" w:cs="Times New Roman"/>
          <w:b/>
          <w:bCs/>
          <w:kern w:val="0"/>
          <w:sz w:val="28"/>
          <w:szCs w:val="28"/>
        </w:rPr>
      </w:pPr>
      <w:bookmarkStart w:id="75" w:name="_Toc256000019"/>
      <w:bookmarkStart w:id="76" w:name="_Toc256000081"/>
      <w:bookmarkStart w:id="77" w:name="_Toc256000050"/>
      <w:bookmarkStart w:id="78" w:name="_Toc256000112"/>
      <w:r>
        <w:rPr>
          <w:rFonts w:ascii="黑体" w:hAnsi="黑体" w:eastAsia="黑体" w:cs="黑体"/>
          <w:b/>
          <w:spacing w:val="0"/>
        </w:rPr>
        <w:t>二、财政拨款收入支出决算总体情况说明</w:t>
      </w:r>
      <w:bookmarkEnd w:id="75"/>
      <w:bookmarkEnd w:id="76"/>
      <w:bookmarkEnd w:id="77"/>
      <w:bookmarkEnd w:id="78"/>
    </w:p>
    <w:p>
      <w:pPr>
        <w:pStyle w:val="29"/>
        <w:widowControl/>
        <w:spacing w:before="100" w:after="100" w:line="360" w:lineRule="auto"/>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2024年度财政拨款收入总计5919.62万元，支出总计5919.62万元，与上年决算数相比，各增加428.64万元，增长7.81%，主要是：</w:t>
      </w:r>
      <w:r>
        <w:rPr>
          <w:rFonts w:hint="eastAsia" w:ascii="仿宋" w:hAnsi="仿宋" w:eastAsia="仿宋" w:cs="仿宋"/>
          <w:kern w:val="0"/>
          <w:sz w:val="32"/>
          <w:szCs w:val="32"/>
          <w:lang w:eastAsia="zh-CN"/>
        </w:rPr>
        <w:t>学生数和教师数增加等</w:t>
      </w:r>
      <w:r>
        <w:rPr>
          <w:rFonts w:ascii="仿宋" w:hAnsi="仿宋" w:eastAsia="仿宋" w:cs="仿宋"/>
          <w:kern w:val="0"/>
          <w:sz w:val="32"/>
          <w:szCs w:val="32"/>
        </w:rPr>
        <w:t>。</w:t>
      </w:r>
    </w:p>
    <w:p>
      <w:pPr>
        <w:pStyle w:val="6"/>
        <w:keepNext w:val="0"/>
        <w:keepLines w:val="0"/>
        <w:spacing w:before="100" w:after="100" w:line="360" w:lineRule="auto"/>
        <w:ind w:left="0" w:right="0" w:firstLine="640" w:firstLineChars="0"/>
        <w:rPr>
          <w:rFonts w:ascii="Times New Roman" w:hAnsi="Times New Roman" w:eastAsia="Times New Roman" w:cs="Times New Roman"/>
          <w:b/>
          <w:bCs/>
          <w:kern w:val="0"/>
          <w:sz w:val="28"/>
          <w:szCs w:val="28"/>
        </w:rPr>
      </w:pPr>
      <w:bookmarkStart w:id="79" w:name="_Toc256000051"/>
      <w:bookmarkStart w:id="80" w:name="_Toc256000020"/>
      <w:bookmarkStart w:id="81" w:name="_Toc256000113"/>
      <w:bookmarkStart w:id="82" w:name="_Toc256000082"/>
      <w:r>
        <w:rPr>
          <w:rFonts w:ascii="黑体" w:hAnsi="黑体" w:eastAsia="黑体" w:cs="黑体"/>
          <w:b/>
          <w:spacing w:val="0"/>
        </w:rPr>
        <w:t>三、一般公共预算拨款支出决算情况说明</w:t>
      </w:r>
      <w:bookmarkEnd w:id="79"/>
      <w:bookmarkEnd w:id="80"/>
      <w:bookmarkEnd w:id="81"/>
      <w:bookmarkEnd w:id="82"/>
    </w:p>
    <w:p>
      <w:pPr>
        <w:pStyle w:val="29"/>
        <w:widowControl/>
        <w:spacing w:before="100" w:after="100" w:line="360" w:lineRule="auto"/>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2024年一般公共预算支出5901.29万元，比上年决算数增加443.23万元，增长8.12%，具体情况如下(按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9"/>
        <w:widowControl/>
        <w:spacing w:before="100" w:after="100" w:line="360" w:lineRule="auto"/>
        <w:ind w:left="0" w:right="0" w:firstLine="640" w:firstLineChars="200"/>
        <w:jc w:val="both"/>
        <w:rPr>
          <w:rFonts w:ascii="仿宋" w:hAnsi="仿宋" w:eastAsia="仿宋" w:cs="仿宋"/>
          <w:kern w:val="0"/>
          <w:sz w:val="32"/>
          <w:szCs w:val="32"/>
        </w:rPr>
      </w:pPr>
      <w:r>
        <w:rPr>
          <w:rFonts w:ascii="仿宋" w:hAnsi="仿宋" w:eastAsia="仿宋" w:cs="仿宋"/>
          <w:spacing w:val="0"/>
          <w:kern w:val="0"/>
          <w:sz w:val="32"/>
          <w:szCs w:val="32"/>
        </w:rPr>
        <w:t>（一）2050202 小学教育2,827.50万元，较上年决算数增加421.76万元，增长17.53%。主要原因是</w:t>
      </w:r>
      <w:r>
        <w:rPr>
          <w:rFonts w:hint="eastAsia" w:ascii="仿宋" w:hAnsi="仿宋" w:eastAsia="仿宋" w:cs="仿宋"/>
          <w:kern w:val="0"/>
          <w:sz w:val="32"/>
          <w:szCs w:val="32"/>
          <w:lang w:eastAsia="zh-CN"/>
        </w:rPr>
        <w:t>学生数和教师数增加等</w:t>
      </w:r>
      <w:r>
        <w:rPr>
          <w:rFonts w:ascii="仿宋" w:hAnsi="仿宋" w:eastAsia="仿宋" w:cs="仿宋"/>
          <w:kern w:val="0"/>
          <w:sz w:val="32"/>
          <w:szCs w:val="32"/>
        </w:rPr>
        <w:t>。</w:t>
      </w:r>
    </w:p>
    <w:p>
      <w:pPr>
        <w:pStyle w:val="29"/>
        <w:widowControl/>
        <w:spacing w:before="100" w:after="100" w:line="360" w:lineRule="auto"/>
        <w:ind w:left="0"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（二）2050203 初中教育1,564.90万元，较上年决算数减少83.16万元，下降5.05%。主要原因是</w:t>
      </w:r>
      <w:r>
        <w:rPr>
          <w:rFonts w:hint="eastAsia" w:ascii="仿宋" w:hAnsi="仿宋" w:eastAsia="仿宋" w:cs="仿宋"/>
          <w:spacing w:val="0"/>
          <w:kern w:val="0"/>
          <w:sz w:val="32"/>
          <w:szCs w:val="32"/>
          <w:lang w:eastAsia="zh-CN"/>
        </w:rPr>
        <w:t>项目经费减少等。</w:t>
      </w:r>
    </w:p>
    <w:p>
      <w:pPr>
        <w:pStyle w:val="29"/>
        <w:widowControl/>
        <w:spacing w:before="100" w:after="100" w:line="360" w:lineRule="auto"/>
        <w:ind w:left="0"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（三）2050299 其他普通教育支出438.76万元，较上年决算数减少8.81万元，下降1.97%。主要原因是</w:t>
      </w:r>
      <w:r>
        <w:rPr>
          <w:rFonts w:hint="eastAsia" w:ascii="仿宋" w:hAnsi="仿宋" w:eastAsia="仿宋" w:cs="仿宋"/>
          <w:spacing w:val="0"/>
          <w:kern w:val="0"/>
          <w:sz w:val="32"/>
          <w:szCs w:val="32"/>
          <w:lang w:eastAsia="zh-CN"/>
        </w:rPr>
        <w:t>项目经费减少等。</w:t>
      </w:r>
    </w:p>
    <w:p>
      <w:pPr>
        <w:pStyle w:val="29"/>
        <w:widowControl/>
        <w:spacing w:before="100" w:after="100" w:line="360" w:lineRule="auto"/>
        <w:ind w:left="0" w:right="0" w:firstLine="640" w:firstLineChars="200"/>
        <w:jc w:val="both"/>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（四）2050999 其他教育费附加安排的支出208.60万元，较上年决算数增加64.77万元，增长45.03%。主要原因是</w:t>
      </w:r>
      <w:r>
        <w:rPr>
          <w:rFonts w:hint="eastAsia" w:ascii="仿宋" w:hAnsi="仿宋" w:eastAsia="仿宋" w:cs="仿宋"/>
          <w:spacing w:val="0"/>
          <w:kern w:val="0"/>
          <w:sz w:val="32"/>
          <w:szCs w:val="32"/>
          <w:lang w:eastAsia="zh-CN"/>
        </w:rPr>
        <w:t>项目经费增加等。</w:t>
      </w:r>
      <w:r>
        <w:rPr>
          <w:rFonts w:hint="eastAsia" w:ascii="仿宋" w:hAnsi="仿宋" w:eastAsia="仿宋" w:cs="仿宋"/>
          <w:spacing w:val="0"/>
          <w:kern w:val="0"/>
          <w:sz w:val="32"/>
          <w:szCs w:val="32"/>
          <w:lang w:val="en-US" w:eastAsia="zh-CN"/>
        </w:rPr>
        <w:t xml:space="preserve">  </w:t>
      </w:r>
    </w:p>
    <w:p>
      <w:pPr>
        <w:pStyle w:val="29"/>
        <w:widowControl/>
        <w:spacing w:before="100" w:after="100" w:line="360" w:lineRule="auto"/>
        <w:ind w:left="0"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（五）2080502 事业单位离退休89.14万元，较上年决算数减少35.90万元，下降28.71%。主要原因是</w:t>
      </w:r>
      <w:r>
        <w:rPr>
          <w:rFonts w:hint="eastAsia" w:ascii="仿宋" w:hAnsi="仿宋" w:eastAsia="仿宋" w:cs="仿宋"/>
          <w:spacing w:val="0"/>
          <w:kern w:val="0"/>
          <w:sz w:val="32"/>
          <w:szCs w:val="32"/>
          <w:lang w:eastAsia="zh-CN"/>
        </w:rPr>
        <w:t>退休人员变动等。</w:t>
      </w:r>
    </w:p>
    <w:p>
      <w:pPr>
        <w:pStyle w:val="29"/>
        <w:widowControl/>
        <w:spacing w:before="100" w:after="100" w:line="360" w:lineRule="auto"/>
        <w:ind w:right="0" w:firstLine="640" w:firstLineChars="200"/>
        <w:jc w:val="both"/>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（六）2080505 机关事业单位基本养老保险缴费支出349.74万元，较上年决算数增加29.36万元，增长9.16%。</w:t>
      </w:r>
      <w:r>
        <w:rPr>
          <w:rFonts w:hint="eastAsia" w:ascii="仿宋" w:hAnsi="仿宋" w:eastAsia="仿宋" w:cs="仿宋"/>
          <w:kern w:val="0"/>
          <w:sz w:val="32"/>
          <w:szCs w:val="32"/>
          <w:shd w:val="clear" w:color="auto" w:fill="FFFFFF"/>
        </w:rPr>
        <w:t>主要原因是人员变动等。</w:t>
      </w:r>
    </w:p>
    <w:p>
      <w:pPr>
        <w:pStyle w:val="29"/>
        <w:widowControl/>
        <w:spacing w:before="100" w:after="100" w:line="360" w:lineRule="auto"/>
        <w:ind w:right="0" w:firstLine="640" w:firstLineChars="200"/>
        <w:jc w:val="both"/>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（七）2080506 机关事业单位职业年金缴费支出184.07万元，较上年决算数增加23.88万元，增长14.91%。</w:t>
      </w:r>
      <w:r>
        <w:rPr>
          <w:rFonts w:hint="eastAsia" w:ascii="仿宋" w:hAnsi="仿宋" w:eastAsia="仿宋" w:cs="仿宋"/>
          <w:kern w:val="0"/>
          <w:sz w:val="32"/>
          <w:szCs w:val="32"/>
          <w:shd w:val="clear" w:color="auto" w:fill="FFFFFF"/>
        </w:rPr>
        <w:t>主要原因是人员变动等。</w:t>
      </w:r>
    </w:p>
    <w:p>
      <w:pPr>
        <w:pStyle w:val="29"/>
        <w:widowControl/>
        <w:spacing w:before="100" w:after="100" w:line="360" w:lineRule="auto"/>
        <w:ind w:right="0" w:firstLine="640" w:firstLineChars="200"/>
        <w:jc w:val="both"/>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（八）2101102 事业单位医疗149.73万元，较上年决算数增加12.57万元，增长9.16%。</w:t>
      </w:r>
      <w:r>
        <w:rPr>
          <w:rFonts w:hint="eastAsia" w:ascii="仿宋" w:hAnsi="仿宋" w:eastAsia="仿宋" w:cs="仿宋"/>
          <w:kern w:val="0"/>
          <w:sz w:val="32"/>
          <w:szCs w:val="32"/>
          <w:shd w:val="clear" w:color="auto" w:fill="FFFFFF"/>
        </w:rPr>
        <w:t>主要原因是人员变动等。</w:t>
      </w:r>
    </w:p>
    <w:p>
      <w:pPr>
        <w:pStyle w:val="29"/>
        <w:widowControl/>
        <w:spacing w:before="100" w:after="100" w:line="360" w:lineRule="auto"/>
        <w:ind w:right="0" w:firstLine="640" w:firstLineChars="200"/>
        <w:jc w:val="both"/>
        <w:rPr>
          <w:rFonts w:hint="eastAsia" w:ascii="仿宋" w:hAnsi="仿宋" w:eastAsia="仿宋" w:cs="仿宋"/>
          <w:kern w:val="0"/>
          <w:sz w:val="32"/>
          <w:szCs w:val="32"/>
          <w:shd w:val="clear" w:color="auto" w:fill="FFFFFF"/>
        </w:rPr>
      </w:pPr>
      <w:r>
        <w:rPr>
          <w:rFonts w:ascii="仿宋" w:hAnsi="仿宋" w:eastAsia="仿宋" w:cs="仿宋"/>
          <w:spacing w:val="0"/>
          <w:kern w:val="0"/>
          <w:sz w:val="32"/>
          <w:szCs w:val="32"/>
        </w:rPr>
        <w:t>（九）2101199 其他行政事业单位医疗支出76.51万元，较上年决算数增加6.42万元，增长9.16%。</w:t>
      </w:r>
      <w:r>
        <w:rPr>
          <w:rFonts w:hint="eastAsia" w:ascii="仿宋" w:hAnsi="仿宋" w:eastAsia="仿宋" w:cs="仿宋"/>
          <w:kern w:val="0"/>
          <w:sz w:val="32"/>
          <w:szCs w:val="32"/>
          <w:shd w:val="clear" w:color="auto" w:fill="FFFFFF"/>
        </w:rPr>
        <w:t>主要原因是人员变动等。</w:t>
      </w:r>
    </w:p>
    <w:p>
      <w:pPr>
        <w:pStyle w:val="29"/>
        <w:widowControl/>
        <w:spacing w:before="100" w:after="100" w:line="360" w:lineRule="auto"/>
        <w:ind w:right="0" w:firstLine="640" w:firstLineChars="20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（十）2210203 购房补贴12.35万元，较上年决算数增加12.35万元，增长100%。主要原因是购房补贴</w:t>
      </w:r>
      <w:r>
        <w:rPr>
          <w:rFonts w:hint="eastAsia" w:ascii="仿宋" w:hAnsi="仿宋" w:eastAsia="仿宋" w:cs="仿宋"/>
          <w:spacing w:val="0"/>
          <w:kern w:val="0"/>
          <w:sz w:val="32"/>
          <w:szCs w:val="32"/>
          <w:lang w:eastAsia="zh-CN"/>
        </w:rPr>
        <w:t>项目增加。</w:t>
      </w:r>
    </w:p>
    <w:p>
      <w:pPr>
        <w:pStyle w:val="6"/>
        <w:keepNext w:val="0"/>
        <w:keepLines w:val="0"/>
        <w:spacing w:before="100" w:after="100" w:line="360" w:lineRule="auto"/>
        <w:ind w:left="0" w:right="0" w:firstLine="640" w:firstLineChars="0"/>
        <w:jc w:val="both"/>
        <w:rPr>
          <w:rFonts w:ascii="黑体" w:hAnsi="黑体" w:eastAsia="黑体" w:cs="黑体"/>
          <w:b/>
          <w:spacing w:val="0"/>
        </w:rPr>
      </w:pPr>
      <w:bookmarkStart w:id="83" w:name="_Toc256000083"/>
      <w:bookmarkStart w:id="84" w:name="_Toc256000021"/>
      <w:bookmarkStart w:id="85" w:name="_Toc256000052"/>
      <w:bookmarkStart w:id="86" w:name="_Toc256000114"/>
    </w:p>
    <w:p>
      <w:pPr>
        <w:pStyle w:val="6"/>
        <w:keepNext w:val="0"/>
        <w:keepLines w:val="0"/>
        <w:spacing w:before="100" w:after="100" w:line="360" w:lineRule="auto"/>
        <w:ind w:left="0" w:right="0" w:firstLine="640" w:firstLineChars="0"/>
        <w:jc w:val="both"/>
        <w:rPr>
          <w:rFonts w:ascii="黑体" w:hAnsi="黑体" w:eastAsia="黑体" w:cs="黑体"/>
          <w:b/>
          <w:spacing w:val="0"/>
        </w:rPr>
      </w:pPr>
    </w:p>
    <w:p>
      <w:pPr>
        <w:pStyle w:val="6"/>
        <w:keepNext w:val="0"/>
        <w:keepLines w:val="0"/>
        <w:spacing w:before="100" w:after="100" w:line="360" w:lineRule="auto"/>
        <w:ind w:left="0" w:right="0" w:firstLine="640" w:firstLineChars="0"/>
        <w:jc w:val="both"/>
        <w:rPr>
          <w:rFonts w:ascii="Times New Roman" w:hAnsi="Times New Roman" w:eastAsia="Times New Roman" w:cs="Times New Roman"/>
          <w:b/>
          <w:bCs/>
          <w:kern w:val="0"/>
          <w:sz w:val="28"/>
          <w:szCs w:val="28"/>
        </w:rPr>
      </w:pPr>
      <w:r>
        <w:rPr>
          <w:rFonts w:ascii="黑体" w:hAnsi="黑体" w:eastAsia="黑体" w:cs="黑体"/>
          <w:b/>
          <w:spacing w:val="0"/>
        </w:rPr>
        <w:t>四、政府性基金预算财政拨款支出决算情况说明</w:t>
      </w:r>
      <w:bookmarkEnd w:id="83"/>
      <w:bookmarkEnd w:id="84"/>
      <w:bookmarkEnd w:id="85"/>
      <w:bookmarkEnd w:id="86"/>
    </w:p>
    <w:p>
      <w:pPr>
        <w:pStyle w:val="29"/>
        <w:widowControl/>
        <w:spacing w:before="100" w:after="100" w:line="360" w:lineRule="auto"/>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2024年度政府性基金支出18.33万元，比上年决算数减少14.59万元，下降44.32%，具体情况如下(按项级科目统计)：</w:t>
      </w:r>
    </w:p>
    <w:p>
      <w:pPr>
        <w:pStyle w:val="29"/>
        <w:widowControl/>
        <w:spacing w:before="100" w:after="100" w:line="360" w:lineRule="auto"/>
        <w:ind w:left="0" w:right="0" w:firstLine="640" w:firstLineChars="20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2296003用于体育事业的彩票公益金支出18.33万元，较上年决算数减少14.59万元，下降44.32%。主要原因是</w:t>
      </w:r>
      <w:r>
        <w:rPr>
          <w:rFonts w:hint="eastAsia" w:ascii="仿宋" w:hAnsi="仿宋" w:eastAsia="仿宋" w:cs="仿宋"/>
          <w:spacing w:val="0"/>
          <w:kern w:val="0"/>
          <w:sz w:val="32"/>
          <w:szCs w:val="32"/>
          <w:lang w:eastAsia="zh-CN"/>
        </w:rPr>
        <w:t>项目经费减少。</w:t>
      </w:r>
    </w:p>
    <w:p>
      <w:pPr>
        <w:pStyle w:val="6"/>
        <w:keepNext w:val="0"/>
        <w:keepLines w:val="0"/>
        <w:spacing w:before="100" w:after="100" w:line="360" w:lineRule="auto"/>
        <w:ind w:left="0" w:right="0" w:firstLine="640" w:firstLineChars="0"/>
        <w:jc w:val="both"/>
        <w:rPr>
          <w:rFonts w:ascii="Times New Roman" w:hAnsi="Times New Roman" w:eastAsia="Times New Roman" w:cs="Times New Roman"/>
          <w:b/>
          <w:bCs/>
          <w:kern w:val="0"/>
          <w:sz w:val="28"/>
          <w:szCs w:val="28"/>
        </w:rPr>
      </w:pPr>
      <w:bookmarkStart w:id="87" w:name="_Toc256000084"/>
      <w:bookmarkStart w:id="88" w:name="_Toc256000053"/>
      <w:bookmarkStart w:id="89" w:name="_Toc256000115"/>
      <w:bookmarkStart w:id="90" w:name="_Toc256000022"/>
      <w:r>
        <w:rPr>
          <w:rFonts w:ascii="黑体" w:hAnsi="黑体" w:eastAsia="黑体" w:cs="黑体"/>
          <w:b/>
          <w:spacing w:val="0"/>
        </w:rPr>
        <w:t>五、国有资本经营预算财政拨款支出决算情况说明</w:t>
      </w:r>
      <w:bookmarkEnd w:id="87"/>
      <w:bookmarkEnd w:id="88"/>
      <w:bookmarkEnd w:id="89"/>
      <w:bookmarkEnd w:id="90"/>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widowControl/>
        <w:spacing w:before="100" w:after="100" w:line="360" w:lineRule="auto"/>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1" w:firstLineChars="0"/>
        <w:textAlignment w:val="auto"/>
        <w:rPr>
          <w:rFonts w:ascii="Times New Roman" w:hAnsi="Times New Roman" w:eastAsia="Times New Roman" w:cs="Times New Roman"/>
          <w:b/>
          <w:bCs/>
          <w:kern w:val="0"/>
          <w:sz w:val="28"/>
          <w:szCs w:val="28"/>
        </w:rPr>
      </w:pPr>
      <w:bookmarkStart w:id="91" w:name="_Toc256000054"/>
      <w:bookmarkStart w:id="92" w:name="_Toc256000023"/>
      <w:bookmarkStart w:id="93" w:name="_Toc256000085"/>
      <w:bookmarkStart w:id="94" w:name="_Toc256000116"/>
      <w:r>
        <w:rPr>
          <w:rFonts w:ascii="黑体" w:hAnsi="黑体" w:eastAsia="黑体" w:cs="黑体"/>
          <w:b/>
          <w:spacing w:val="0"/>
        </w:rPr>
        <w:t>六、一般公共预算财政拨款基本支出决算情况说明</w:t>
      </w:r>
      <w:bookmarkEnd w:id="91"/>
      <w:bookmarkEnd w:id="92"/>
      <w:bookmarkEnd w:id="93"/>
      <w:bookmarkEnd w:id="94"/>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2024年度一般公共预算财政拨款基本支出5382.49万元，其中：</w:t>
      </w:r>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4810.10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572.38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5" w:name="_Toc256000024"/>
      <w:bookmarkStart w:id="96" w:name="_Toc256000055"/>
      <w:bookmarkStart w:id="97" w:name="_Toc256000086"/>
      <w:bookmarkStart w:id="98" w:name="_Toc256000117"/>
      <w:r>
        <w:rPr>
          <w:rFonts w:ascii="黑体" w:hAnsi="黑体" w:eastAsia="黑体" w:cs="黑体"/>
          <w:b/>
          <w:spacing w:val="0"/>
        </w:rPr>
        <w:t>七、一般公共预算拨款“三公”经费支出决算情况说明</w:t>
      </w:r>
      <w:bookmarkEnd w:id="95"/>
      <w:bookmarkEnd w:id="96"/>
      <w:bookmarkEnd w:id="97"/>
      <w:bookmarkEnd w:id="98"/>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年度一般公共预算拨款“三公”经费支出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主要原因是本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没有使用“三公”经费支出</w:t>
      </w:r>
      <w:r>
        <w:rPr>
          <w:rFonts w:ascii="仿宋" w:hAnsi="仿宋" w:eastAsia="仿宋" w:cs="仿宋"/>
          <w:kern w:val="0"/>
          <w:sz w:val="32"/>
          <w:szCs w:val="32"/>
        </w:rPr>
        <w:t>。具体情况如下：</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（一）因公出国（境）费支出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与全年预算（或上年决算）持平。全年安排本</w:t>
      </w:r>
      <w:r>
        <w:rPr>
          <w:rFonts w:hint="eastAsia" w:ascii="仿宋" w:hAnsi="仿宋" w:eastAsia="仿宋" w:cs="仿宋"/>
          <w:kern w:val="0"/>
          <w:sz w:val="32"/>
          <w:szCs w:val="32"/>
          <w:lang w:eastAsia="zh-CN"/>
        </w:rPr>
        <w:t>单位</w:t>
      </w:r>
      <w:r>
        <w:rPr>
          <w:rFonts w:ascii="仿宋" w:hAnsi="仿宋" w:eastAsia="仿宋" w:cs="仿宋"/>
          <w:kern w:val="0"/>
          <w:sz w:val="32"/>
          <w:szCs w:val="32"/>
        </w:rPr>
        <w:t>组织的出国团组0个，参加其他</w:t>
      </w:r>
      <w:r>
        <w:rPr>
          <w:rFonts w:hint="eastAsia" w:ascii="仿宋" w:hAnsi="仿宋" w:eastAsia="仿宋" w:cs="仿宋"/>
          <w:kern w:val="0"/>
          <w:sz w:val="32"/>
          <w:szCs w:val="32"/>
          <w:lang w:eastAsia="zh-CN"/>
        </w:rPr>
        <w:t>单位</w:t>
      </w:r>
      <w:r>
        <w:rPr>
          <w:rFonts w:ascii="仿宋" w:hAnsi="仿宋" w:eastAsia="仿宋" w:cs="仿宋"/>
          <w:kern w:val="0"/>
          <w:sz w:val="32"/>
          <w:szCs w:val="32"/>
        </w:rPr>
        <w:t>出国团组</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个；全年因公出国（境）累计0人次。</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没有组织出国团组及参加其他</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出国团组。</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（二）公务用车购置及运行费支出0万元，完成全年预算的0%；较上年增加0万元，增长 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ascii="仿宋" w:hAnsi="仿宋" w:eastAsia="仿宋" w:cs="仿宋"/>
          <w:kern w:val="0"/>
          <w:sz w:val="32"/>
          <w:szCs w:val="32"/>
        </w:rPr>
        <w:t>其中：</w:t>
      </w:r>
    </w:p>
    <w:p>
      <w:pPr>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240" w:beforeAutospacing="0" w:after="240" w:afterAutospacing="0" w:line="360" w:lineRule="auto"/>
        <w:ind w:left="0" w:right="0" w:firstLine="640"/>
        <w:jc w:val="both"/>
        <w:textAlignment w:val="auto"/>
        <w:rPr>
          <w:rFonts w:hint="eastAsia" w:ascii="仿宋" w:hAnsi="仿宋" w:eastAsia="仿宋" w:cs="仿宋"/>
          <w:sz w:val="32"/>
          <w:szCs w:val="32"/>
          <w:shd w:val="clear" w:color="auto" w:fill="FFFFFF"/>
          <w:lang w:eastAsia="zh-CN"/>
        </w:rPr>
      </w:pPr>
      <w:r>
        <w:rPr>
          <w:rFonts w:ascii="仿宋" w:hAnsi="仿宋" w:eastAsia="仿宋" w:cs="仿宋"/>
          <w:kern w:val="0"/>
          <w:sz w:val="32"/>
          <w:szCs w:val="32"/>
        </w:rPr>
        <w:t>公务用车购置费支出0万元，完成全年预算的0%；较上年增加0万元，增长0%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年公务用车购置0辆，</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没有购置公务用车。</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公务用车运行费支出0万元，完成全年预算的0%；较上年增加0万元，增长0%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没有公务用车运行维护费的支出。</w:t>
      </w:r>
      <w:r>
        <w:rPr>
          <w:rFonts w:ascii="仿宋" w:hAnsi="仿宋" w:eastAsia="仿宋" w:cs="仿宋"/>
          <w:kern w:val="0"/>
          <w:sz w:val="32"/>
          <w:szCs w:val="32"/>
        </w:rPr>
        <w:t>截至202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年12月31日，本</w:t>
      </w:r>
      <w:r>
        <w:rPr>
          <w:rFonts w:hint="eastAsia" w:ascii="仿宋" w:hAnsi="仿宋" w:eastAsia="仿宋" w:cs="仿宋"/>
          <w:kern w:val="0"/>
          <w:sz w:val="32"/>
          <w:szCs w:val="32"/>
          <w:lang w:eastAsia="zh-CN"/>
        </w:rPr>
        <w:t>单位</w:t>
      </w:r>
      <w:r>
        <w:rPr>
          <w:rFonts w:ascii="仿宋" w:hAnsi="仿宋" w:eastAsia="仿宋" w:cs="仿宋"/>
          <w:kern w:val="0"/>
          <w:sz w:val="32"/>
          <w:szCs w:val="32"/>
        </w:rPr>
        <w:t>公务用车保有量为0辆。</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（三）公务接待费支出0万元，完成全年预算的0%；较上年增加0万元，增长0%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没有公务接待活动</w:t>
      </w:r>
      <w:r>
        <w:rPr>
          <w:rFonts w:ascii="仿宋" w:hAnsi="仿宋" w:eastAsia="仿宋" w:cs="仿宋"/>
          <w:kern w:val="0"/>
          <w:sz w:val="32"/>
          <w:szCs w:val="32"/>
        </w:rPr>
        <w:t>。累计接待0批次、0人次。</w:t>
      </w:r>
    </w:p>
    <w:p>
      <w:pPr>
        <w:pStyle w:val="6"/>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9" w:name="_Toc256000087"/>
      <w:bookmarkStart w:id="100" w:name="_Toc256000118"/>
      <w:bookmarkStart w:id="101" w:name="_Toc256000056"/>
      <w:bookmarkStart w:id="102" w:name="_Toc256000025"/>
      <w:r>
        <w:rPr>
          <w:rFonts w:ascii="黑体" w:hAnsi="黑体" w:eastAsia="黑体" w:cs="黑体"/>
          <w:b/>
          <w:spacing w:val="0"/>
        </w:rPr>
        <w:t>八、预算绩效情况说明</w:t>
      </w:r>
      <w:bookmarkEnd w:id="99"/>
      <w:bookmarkEnd w:id="100"/>
      <w:bookmarkEnd w:id="101"/>
      <w:bookmarkEnd w:id="102"/>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lang w:val="en-US" w:eastAsia="zh-CN"/>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highlight w:val="none"/>
          <w:lang w:val="en-US" w:eastAsia="zh-CN"/>
        </w:rPr>
        <w:t>3.83</w:t>
      </w:r>
      <w:r>
        <w:rPr>
          <w:rFonts w:ascii="仿宋" w:hAnsi="仿宋" w:eastAsia="仿宋" w:cs="仿宋"/>
          <w:spacing w:val="0"/>
          <w:kern w:val="0"/>
          <w:sz w:val="32"/>
          <w:szCs w:val="32"/>
        </w:rPr>
        <w:t>万元。（《项目支出绩效自评表》详见附件）</w:t>
      </w:r>
    </w:p>
    <w:p>
      <w:pPr>
        <w:pStyle w:val="6"/>
        <w:keepNext w:val="0"/>
        <w:keepLines w:val="0"/>
        <w:spacing w:before="100" w:after="100" w:line="360" w:lineRule="auto"/>
        <w:ind w:left="0" w:right="0" w:firstLine="640" w:firstLineChars="0"/>
        <w:rPr>
          <w:rFonts w:ascii="Times New Roman" w:hAnsi="Times New Roman" w:eastAsia="Times New Roman" w:cs="Times New Roman"/>
          <w:b/>
          <w:bCs/>
          <w:kern w:val="0"/>
          <w:sz w:val="28"/>
          <w:szCs w:val="28"/>
        </w:rPr>
      </w:pPr>
      <w:bookmarkStart w:id="103" w:name="_Toc256000088"/>
      <w:bookmarkStart w:id="104" w:name="_Toc256000026"/>
      <w:bookmarkStart w:id="105" w:name="_Toc256000057"/>
      <w:bookmarkStart w:id="106" w:name="_Toc256000119"/>
      <w:r>
        <w:rPr>
          <w:rFonts w:ascii="黑体" w:hAnsi="黑体" w:eastAsia="黑体" w:cs="黑体"/>
          <w:b/>
          <w:spacing w:val="0"/>
        </w:rPr>
        <w:t>九、其他重要事项说明</w:t>
      </w:r>
      <w:bookmarkEnd w:id="103"/>
      <w:bookmarkEnd w:id="104"/>
      <w:bookmarkEnd w:id="105"/>
      <w:bookmarkEnd w:id="106"/>
    </w:p>
    <w:p>
      <w:pPr>
        <w:pStyle w:val="29"/>
        <w:widowControl/>
        <w:spacing w:before="100" w:after="100" w:line="360" w:lineRule="auto"/>
        <w:ind w:left="0" w:right="0" w:firstLine="643"/>
        <w:jc w:val="left"/>
        <w:rPr>
          <w:rFonts w:hint="eastAsia" w:ascii="仿宋" w:hAnsi="仿宋" w:eastAsia="仿宋" w:cs="仿宋"/>
          <w:b/>
          <w:bCs/>
          <w:kern w:val="0"/>
          <w:sz w:val="32"/>
          <w:szCs w:val="32"/>
        </w:rPr>
      </w:pPr>
      <w:r>
        <w:rPr>
          <w:rFonts w:hint="eastAsia" w:ascii="仿宋" w:hAnsi="仿宋" w:eastAsia="仿宋" w:cs="仿宋"/>
          <w:b/>
          <w:bCs/>
          <w:spacing w:val="0"/>
          <w:kern w:val="0"/>
          <w:sz w:val="32"/>
          <w:szCs w:val="32"/>
        </w:rPr>
        <w:t>（一）机关运行经费 </w:t>
      </w:r>
    </w:p>
    <w:p>
      <w:pPr>
        <w:pStyle w:val="29"/>
        <w:widowControl/>
        <w:spacing w:before="100" w:after="100" w:line="360" w:lineRule="auto"/>
        <w:ind w:left="0" w:right="0" w:firstLine="643"/>
        <w:jc w:val="left"/>
        <w:rPr>
          <w:rFonts w:ascii="仿宋" w:hAnsi="仿宋" w:eastAsia="仿宋" w:cs="仿宋"/>
          <w:spacing w:val="0"/>
          <w:kern w:val="0"/>
          <w:sz w:val="32"/>
          <w:szCs w:val="32"/>
        </w:rPr>
      </w:pPr>
      <w:r>
        <w:rPr>
          <w:rFonts w:ascii="仿宋" w:hAnsi="仿宋" w:eastAsia="仿宋" w:cs="仿宋"/>
          <w:spacing w:val="0"/>
          <w:kern w:val="0"/>
          <w:sz w:val="32"/>
          <w:szCs w:val="32"/>
        </w:rPr>
        <w:t>2024年度机关运行经费支出0万元，比上年决算数增加0万元，增长0%，主要原因是:本单位为事业单位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100" w:after="100" w:line="360" w:lineRule="auto"/>
        <w:ind w:left="0" w:right="0" w:firstLine="643"/>
        <w:jc w:val="left"/>
        <w:rPr>
          <w:rFonts w:hint="eastAsia" w:ascii="仿宋" w:hAnsi="仿宋" w:eastAsia="仿宋" w:cs="仿宋"/>
          <w:b/>
          <w:bCs/>
          <w:kern w:val="0"/>
          <w:sz w:val="32"/>
          <w:szCs w:val="32"/>
        </w:rPr>
      </w:pPr>
      <w:r>
        <w:rPr>
          <w:rStyle w:val="31"/>
          <w:rFonts w:hint="eastAsia" w:ascii="仿宋" w:hAnsi="仿宋" w:eastAsia="仿宋" w:cs="仿宋"/>
          <w:b/>
          <w:bCs/>
          <w:spacing w:val="0"/>
          <w:kern w:val="0"/>
          <w:sz w:val="32"/>
          <w:szCs w:val="32"/>
        </w:rPr>
        <w:t>（二）政府采购情况</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本单位2024年度没有政府采购支出。</w:t>
      </w:r>
    </w:p>
    <w:p>
      <w:pPr>
        <w:pStyle w:val="29"/>
        <w:widowControl/>
        <w:spacing w:before="100" w:after="100" w:line="360" w:lineRule="auto"/>
        <w:ind w:left="0" w:right="0" w:firstLine="707"/>
        <w:jc w:val="left"/>
        <w:rPr>
          <w:rFonts w:hint="eastAsia" w:ascii="仿宋" w:hAnsi="仿宋" w:eastAsia="仿宋" w:cs="仿宋"/>
          <w:b/>
          <w:bCs/>
          <w:kern w:val="0"/>
          <w:sz w:val="32"/>
          <w:szCs w:val="32"/>
        </w:rPr>
      </w:pPr>
      <w:r>
        <w:rPr>
          <w:rStyle w:val="31"/>
          <w:rFonts w:hint="eastAsia" w:ascii="仿宋" w:hAnsi="仿宋" w:eastAsia="仿宋" w:cs="仿宋"/>
          <w:b/>
          <w:bCs/>
          <w:spacing w:val="0"/>
          <w:kern w:val="0"/>
          <w:sz w:val="32"/>
          <w:szCs w:val="32"/>
        </w:rPr>
        <w:t>（三）国有资产占用使用情况</w:t>
      </w:r>
      <w:r>
        <w:rPr>
          <w:rFonts w:hint="eastAsia" w:ascii="仿宋" w:hAnsi="仿宋" w:eastAsia="仿宋" w:cs="仿宋"/>
          <w:b/>
          <w:bCs/>
          <w:spacing w:val="0"/>
          <w:kern w:val="0"/>
          <w:sz w:val="32"/>
          <w:szCs w:val="32"/>
        </w:rPr>
        <w:t> </w:t>
      </w:r>
    </w:p>
    <w:p>
      <w:pPr>
        <w:pStyle w:val="29"/>
        <w:widowControl/>
        <w:spacing w:before="100" w:after="100" w:line="360" w:lineRule="auto"/>
        <w:ind w:left="0" w:right="0" w:firstLine="704"/>
        <w:jc w:val="both"/>
        <w:rPr>
          <w:rFonts w:hint="eastAsia" w:ascii="仿宋" w:hAnsi="仿宋" w:eastAsia="仿宋" w:cs="仿宋"/>
          <w:b w:val="0"/>
          <w:bCs w:val="0"/>
          <w:kern w:val="0"/>
          <w:sz w:val="32"/>
          <w:szCs w:val="32"/>
        </w:rPr>
      </w:pPr>
      <w:r>
        <w:rPr>
          <w:rFonts w:hint="eastAsia" w:ascii="仿宋" w:hAnsi="仿宋" w:eastAsia="仿宋" w:cs="仿宋"/>
          <w:b w:val="0"/>
          <w:bCs w:val="0"/>
          <w:spacing w:val="0"/>
          <w:kern w:val="0"/>
          <w:sz w:val="32"/>
          <w:szCs w:val="32"/>
        </w:rPr>
        <w:t xml:space="preserve">截至2024年12月31日，本单位共有车辆0辆，其中：副部（省）级以上领导用车0辆、主要领导干部用车0辆、机要通信用车0辆、应急保障用车0辆、执法执勤用车0辆、特种专业技术用车0辆、离退休干部用车0辆、其他用车0辆；单位价值100万元以上设备（不含车辆）0台（套）。   </w:t>
      </w:r>
    </w:p>
    <w:p>
      <w:pPr>
        <w:spacing w:line="360" w:lineRule="auto"/>
        <w:rPr>
          <w:rFonts w:hint="eastAsia" w:ascii="仿宋" w:hAnsi="仿宋" w:eastAsia="仿宋" w:cs="仿宋"/>
          <w:b w:val="0"/>
          <w:bCs w:val="0"/>
          <w:sz w:val="32"/>
          <w:szCs w:val="32"/>
        </w:rPr>
        <w:sectPr>
          <w:footerReference r:id="rId6" w:type="default"/>
          <w:pgSz w:w="11906" w:h="16838"/>
          <w:pgMar w:top="1440" w:right="1080" w:bottom="1440" w:left="108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07" w:name="_Toc256000027"/>
      <w:bookmarkStart w:id="108" w:name="_Toc256000120"/>
      <w:bookmarkStart w:id="109" w:name="_Toc256000058"/>
      <w:bookmarkStart w:id="110" w:name="_Toc256000089"/>
      <w:r>
        <w:rPr>
          <w:rFonts w:ascii="黑体" w:hAnsi="黑体" w:eastAsia="黑体" w:cs="黑体"/>
          <w:b/>
          <w:spacing w:val="0"/>
          <w:sz w:val="36"/>
          <w:szCs w:val="36"/>
        </w:rPr>
        <w:t>第四部分</w:t>
      </w:r>
      <w:bookmarkEnd w:id="107"/>
      <w:bookmarkEnd w:id="108"/>
      <w:bookmarkEnd w:id="109"/>
      <w:bookmarkEnd w:id="110"/>
      <w:bookmarkStart w:id="111" w:name="_Toc256000121"/>
      <w:bookmarkStart w:id="112" w:name="_Toc256000028"/>
      <w:bookmarkStart w:id="113" w:name="_Toc256000059"/>
      <w:bookmarkStart w:id="114" w:name="_Toc256000090"/>
      <w:r>
        <w:rPr>
          <w:rFonts w:hint="eastAsia" w:ascii="黑体" w:hAnsi="黑体" w:eastAsia="黑体" w:cs="黑体"/>
          <w:b/>
          <w:spacing w:val="0"/>
          <w:sz w:val="36"/>
          <w:szCs w:val="36"/>
          <w:lang w:val="en-US" w:eastAsia="zh-CN"/>
        </w:rPr>
        <w:t xml:space="preserve">  </w:t>
      </w:r>
      <w:r>
        <w:rPr>
          <w:rFonts w:ascii="黑体" w:hAnsi="黑体" w:eastAsia="黑体" w:cs="黑体"/>
          <w:b/>
          <w:spacing w:val="0"/>
          <w:sz w:val="36"/>
          <w:szCs w:val="36"/>
        </w:rPr>
        <w:t>名词解释</w:t>
      </w:r>
      <w:bookmarkEnd w:id="111"/>
      <w:bookmarkEnd w:id="112"/>
      <w:bookmarkEnd w:id="113"/>
      <w:bookmarkEnd w:id="114"/>
    </w:p>
    <w:p>
      <w:pPr>
        <w:widowControl/>
        <w:spacing w:before="240" w:after="240" w:line="360" w:lineRule="auto"/>
        <w:ind w:firstLine="643" w:firstLineChars="20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360" w:lineRule="auto"/>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9"/>
        <w:widowControl/>
        <w:spacing w:before="100" w:after="100" w:line="360" w:lineRule="auto"/>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9"/>
        <w:widowControl/>
        <w:spacing w:before="100" w:after="100" w:line="360" w:lineRule="auto"/>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9"/>
        <w:widowControl/>
        <w:spacing w:before="100" w:after="100" w:line="360" w:lineRule="auto"/>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9"/>
        <w:widowControl/>
        <w:spacing w:before="100" w:after="100" w:line="360" w:lineRule="auto"/>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360" w:lineRule="auto"/>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Times New Roman" w:hAnsi="Times New Roman" w:eastAsia="Times New Roman" w:cs="Times New Roman"/>
          <w:kern w:val="0"/>
          <w:sz w:val="24"/>
        </w:rPr>
      </w:pPr>
    </w:p>
    <w:p>
      <w:pPr>
        <w:sectPr>
          <w:footerReference r:id="rId7" w:type="default"/>
          <w:pgSz w:w="11906" w:h="16838"/>
          <w:pgMar w:top="1440" w:right="1080" w:bottom="1440" w:left="108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numPr>
          <w:ilvl w:val="0"/>
          <w:numId w:val="2"/>
        </w:numPr>
        <w:spacing w:before="299" w:after="299" w:line="240" w:lineRule="auto"/>
        <w:ind w:firstLine="0" w:firstLineChars="0"/>
        <w:jc w:val="center"/>
        <w:rPr>
          <w:rFonts w:ascii="黑体" w:hAnsi="黑体" w:eastAsia="黑体" w:cs="黑体"/>
          <w:b/>
          <w:sz w:val="36"/>
          <w:szCs w:val="36"/>
        </w:rPr>
      </w:pPr>
      <w:bookmarkStart w:id="115" w:name="_Toc256000061"/>
      <w:bookmarkStart w:id="116" w:name="_Toc256000030"/>
      <w:bookmarkStart w:id="117" w:name="_Toc256000092"/>
      <w:bookmarkStart w:id="118" w:name="_Toc256000123"/>
      <w:r>
        <w:rPr>
          <w:rFonts w:hint="eastAsia" w:ascii="黑体" w:hAnsi="黑体" w:eastAsia="黑体" w:cs="黑体"/>
          <w:b/>
          <w:sz w:val="36"/>
          <w:szCs w:val="36"/>
          <w:lang w:val="en-US" w:eastAsia="zh-CN"/>
        </w:rPr>
        <w:t xml:space="preserve"> </w:t>
      </w:r>
      <w:r>
        <w:rPr>
          <w:rFonts w:ascii="黑体" w:hAnsi="黑体" w:eastAsia="黑体" w:cs="黑体"/>
          <w:b/>
          <w:sz w:val="36"/>
          <w:szCs w:val="36"/>
        </w:rPr>
        <w:t>附件</w:t>
      </w:r>
      <w:bookmarkEnd w:id="4"/>
      <w:bookmarkEnd w:id="115"/>
      <w:bookmarkEnd w:id="116"/>
      <w:bookmarkEnd w:id="117"/>
      <w:bookmarkEnd w:id="118"/>
    </w:p>
    <w:tbl>
      <w:tblPr>
        <w:tblStyle w:val="23"/>
        <w:tblW w:w="97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11"/>
        <w:gridCol w:w="919"/>
        <w:gridCol w:w="1871"/>
        <w:gridCol w:w="1800"/>
        <w:gridCol w:w="465"/>
        <w:gridCol w:w="750"/>
        <w:gridCol w:w="600"/>
        <w:gridCol w:w="855"/>
        <w:gridCol w:w="675"/>
        <w:gridCol w:w="465"/>
        <w:gridCol w:w="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768"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768"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5" w:hRule="atLeast"/>
        </w:trPr>
        <w:tc>
          <w:tcPr>
            <w:tcW w:w="5101" w:type="dxa"/>
            <w:gridSpan w:val="4"/>
            <w:tcBorders>
              <w:bottom w:val="single" w:color="000000" w:sz="4" w:space="0"/>
            </w:tcBorders>
            <w:shd w:val="clear" w:color="auto" w:fill="auto"/>
            <w:vAlign w:val="center"/>
          </w:tcPr>
          <w:p>
            <w:pPr>
              <w:jc w:val="left"/>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预算单位：</w:t>
            </w:r>
            <w:r>
              <w:rPr>
                <w:rFonts w:ascii="宋体" w:hAnsi="宋体" w:eastAsia="宋体" w:cs="宋体"/>
                <w:b w:val="0"/>
                <w:bCs w:val="0"/>
                <w:i w:val="0"/>
                <w:iCs w:val="0"/>
                <w:smallCaps w:val="0"/>
                <w:color w:val="000000"/>
                <w:kern w:val="0"/>
                <w:sz w:val="21"/>
                <w:szCs w:val="21"/>
              </w:rPr>
              <w:t>厦门市金林湾实验学校</w:t>
            </w:r>
          </w:p>
        </w:tc>
        <w:tc>
          <w:tcPr>
            <w:tcW w:w="465"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750"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600"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855"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997" w:type="dxa"/>
            <w:gridSpan w:val="3"/>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430"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886" w:type="dxa"/>
            <w:gridSpan w:val="4"/>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8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51" w:hRule="atLeast"/>
        </w:trPr>
        <w:tc>
          <w:tcPr>
            <w:tcW w:w="1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8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厦门市金林湾实验学校</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5" w:hRule="atLeast"/>
        </w:trPr>
        <w:tc>
          <w:tcPr>
            <w:tcW w:w="14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63.8</w:t>
            </w: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困难生未全部在校用餐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63.8</w:t>
            </w: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上年结转资金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4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80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45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80"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80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45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5" w:hRule="atLeast"/>
        </w:trPr>
        <w:tc>
          <w:tcPr>
            <w:tcW w:w="5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67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大于等于72人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大于等于66人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30"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5"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20" w:hRule="atLeast"/>
        </w:trPr>
        <w:tc>
          <w:tcPr>
            <w:tcW w:w="77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6" w:hRule="atLeast"/>
        </w:trPr>
        <w:tc>
          <w:tcPr>
            <w:tcW w:w="97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5"/>
        <w:numPr>
          <w:ilvl w:val="0"/>
          <w:numId w:val="0"/>
        </w:numPr>
        <w:jc w:val="both"/>
      </w:pPr>
    </w:p>
    <w:sectPr>
      <w:footerReference r:id="rId8" w:type="default"/>
      <w:pgSz w:w="11906" w:h="16838"/>
      <w:pgMar w:top="1440" w:right="1080" w:bottom="1440" w:left="1080"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cs="宋体"/>
        <w:sz w:val="18"/>
      </w:rPr>
    </w:pPr>
  </w:p>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1FC32"/>
    <w:multiLevelType w:val="singleLevel"/>
    <w:tmpl w:val="5151FC32"/>
    <w:lvl w:ilvl="0" w:tentative="0">
      <w:start w:val="5"/>
      <w:numFmt w:val="chineseCounting"/>
      <w:suff w:val="space"/>
      <w:lvlText w:val="第%1部分"/>
      <w:lvlJc w:val="left"/>
      <w:rPr>
        <w:rFonts w:hint="eastAsia"/>
      </w:rPr>
    </w:lvl>
  </w:abstractNum>
  <w:abstractNum w:abstractNumId="1">
    <w:nsid w:val="5F2D1D59"/>
    <w:multiLevelType w:val="singleLevel"/>
    <w:tmpl w:val="5F2D1D5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A6BD7"/>
    <w:rsid w:val="03C87E9C"/>
    <w:rsid w:val="0544795C"/>
    <w:rsid w:val="08E044B4"/>
    <w:rsid w:val="111C3FBA"/>
    <w:rsid w:val="126B57FF"/>
    <w:rsid w:val="13D86D6F"/>
    <w:rsid w:val="167937D1"/>
    <w:rsid w:val="17060773"/>
    <w:rsid w:val="21F65EE2"/>
    <w:rsid w:val="249E2D93"/>
    <w:rsid w:val="284E2C17"/>
    <w:rsid w:val="28A31B69"/>
    <w:rsid w:val="2B1352B7"/>
    <w:rsid w:val="2B33332A"/>
    <w:rsid w:val="2D17275A"/>
    <w:rsid w:val="2E09673B"/>
    <w:rsid w:val="306063EA"/>
    <w:rsid w:val="31125D67"/>
    <w:rsid w:val="31E212E5"/>
    <w:rsid w:val="33EC3EFC"/>
    <w:rsid w:val="3B7B56F5"/>
    <w:rsid w:val="3C477F4B"/>
    <w:rsid w:val="3C806B89"/>
    <w:rsid w:val="45AA22EC"/>
    <w:rsid w:val="48554C64"/>
    <w:rsid w:val="49753C29"/>
    <w:rsid w:val="4AD2023C"/>
    <w:rsid w:val="4FC73F65"/>
    <w:rsid w:val="50295917"/>
    <w:rsid w:val="50941880"/>
    <w:rsid w:val="551439E6"/>
    <w:rsid w:val="58F078E5"/>
    <w:rsid w:val="5A1E783C"/>
    <w:rsid w:val="5C852C16"/>
    <w:rsid w:val="5CC378A4"/>
    <w:rsid w:val="5DB40E54"/>
    <w:rsid w:val="5FEA2E93"/>
    <w:rsid w:val="67957ADA"/>
    <w:rsid w:val="69B04B42"/>
    <w:rsid w:val="71A010A2"/>
    <w:rsid w:val="74851826"/>
    <w:rsid w:val="79A44FAD"/>
    <w:rsid w:val="7BF77DD3"/>
    <w:rsid w:val="7E6511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46</Pages>
  <Words>1221</Words>
  <Characters>1387</Characters>
  <Lines>1</Lines>
  <Paragraphs>1</Paragraphs>
  <TotalTime>1</TotalTime>
  <ScaleCrop>false</ScaleCrop>
  <LinksUpToDate>false</LinksUpToDate>
  <CharactersWithSpaces>1586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2026-02-12T01:09:34Z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52D2AAFE3EA74489AEE21C3BF576D8DA_13</vt:lpwstr>
  </property>
  <property fmtid="{D5CDD505-2E9C-101B-9397-08002B2CF9AE}" pid="3" name="KSOProductBuildVer">
    <vt:lpwstr>2052-11.8.2.8053</vt:lpwstr>
  </property>
  <property fmtid="{D5CDD505-2E9C-101B-9397-08002B2CF9AE}" pid="4" name="KSOTemplateDocerSaveRecord">
    <vt:lpwstr>eyJoZGlkIjoiZjVlMDEyOTBlNWM1NDY2NGNiNDc4ZjEyNGMxMjE2ZmUiLCJ1c2VySWQiOiIxMDM5ODAwMjA2In0=</vt:lpwstr>
  </property>
</Properties>
</file>