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pP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pPr>
      <w:r>
        <w:rPr>
          <w:rFonts w:hint="eastAsia" w:ascii="黑体" w:hAnsi="宋体" w:eastAsia="黑体" w:cs="黑体"/>
          <w:kern w:val="0"/>
          <w:sz w:val="44"/>
          <w:szCs w:val="44"/>
          <w:shd w:val="clear" w:fill="FFFFFF"/>
          <w:lang w:val="en-US" w:eastAsia="zh-CN" w:bidi="ar"/>
        </w:rPr>
        <w:t>2024年度</w:t>
      </w:r>
    </w:p>
    <w:p>
      <w:pPr>
        <w:keepNext w:val="0"/>
        <w:keepLines w:val="0"/>
        <w:widowControl/>
        <w:suppressLineNumbers w:val="0"/>
        <w:shd w:val="clear" w:fill="FFFFFF"/>
        <w:spacing w:before="240" w:beforeAutospacing="0" w:after="240" w:afterAutospacing="0"/>
        <w:ind w:left="0" w:right="0"/>
        <w:jc w:val="center"/>
        <w:rPr>
          <w:rFonts w:hint="eastAsia" w:ascii="黑体" w:hAnsi="宋体" w:eastAsia="黑体" w:cs="黑体"/>
          <w:kern w:val="0"/>
          <w:sz w:val="44"/>
          <w:szCs w:val="44"/>
          <w:shd w:val="clear" w:fill="FFFFFF"/>
          <w:lang w:val="en-US" w:eastAsia="zh-CN" w:bidi="ar"/>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黑体" w:hAnsi="宋体" w:eastAsia="黑体" w:cs="黑体"/>
          <w:kern w:val="0"/>
          <w:sz w:val="44"/>
          <w:szCs w:val="44"/>
          <w:shd w:val="clear" w:fill="FFFFFF"/>
          <w:lang w:val="en-US" w:eastAsia="zh-CN" w:bidi="ar"/>
        </w:rPr>
        <w:t>厦门市高崎小学单位决算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2"/>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2"/>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2"/>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2"/>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2"/>
              <w:rFonts w:ascii="黑体" w:hAnsi="黑体" w:eastAsia="黑体" w:cs="黑体"/>
            </w:rPr>
            <w:t>三、单位主要工作总结</w:t>
          </w:r>
          <w:r>
            <w:tab/>
          </w:r>
          <w:r>
            <w:fldChar w:fldCharType="begin"/>
          </w:r>
          <w:r>
            <w:instrText xml:space="preserve"> PAGEREF _Toc256000097 \h </w:instrText>
          </w:r>
          <w:r>
            <w:fldChar w:fldCharType="separate"/>
          </w:r>
          <w:r>
            <w:t>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2"/>
              <w:rFonts w:ascii="黑体" w:hAnsi="黑体" w:eastAsia="黑体" w:cs="黑体"/>
            </w:rPr>
            <w:t>第二部分</w:t>
          </w:r>
          <w:r>
            <w:tab/>
          </w:r>
          <w:r>
            <w:rPr>
              <w:rFonts w:hint="eastAsia"/>
              <w:lang w:val="en-US" w:eastAsia="zh-CN"/>
            </w:rPr>
            <w:t>6</w:t>
          </w:r>
          <w:r>
            <w:fldChar w:fldCharType="end"/>
          </w:r>
        </w:p>
        <w:p>
          <w:pPr>
            <w:pStyle w:val="18"/>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2"/>
              <w:rFonts w:ascii="黑体" w:hAnsi="黑体" w:eastAsia="黑体" w:cs="黑体"/>
            </w:rPr>
            <w:t>2024年度决算表</w:t>
          </w:r>
          <w:r>
            <w:tab/>
          </w:r>
          <w:r>
            <w:rPr>
              <w:rFonts w:hint="eastAsia"/>
              <w:lang w:val="en-US" w:eastAsia="zh-CN"/>
            </w:rPr>
            <w:t>6</w:t>
          </w:r>
          <w:r>
            <w:fldChar w:fldCharType="end"/>
          </w:r>
        </w:p>
        <w:p>
          <w:pPr>
            <w:pStyle w:val="11"/>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2"/>
              <w:rFonts w:ascii="黑体" w:hAnsi="黑体" w:eastAsia="黑体" w:cs="黑体"/>
            </w:rPr>
            <w:t>一、收入支出决算总表</w:t>
          </w:r>
          <w:r>
            <w:tab/>
          </w:r>
          <w:r>
            <w:rPr>
              <w:rFonts w:hint="eastAsia"/>
              <w:lang w:val="en-US" w:eastAsia="zh-CN"/>
            </w:rPr>
            <w:t>6</w:t>
          </w:r>
          <w:r>
            <w:fldChar w:fldCharType="end"/>
          </w:r>
        </w:p>
        <w:p>
          <w:pPr>
            <w:pStyle w:val="11"/>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2"/>
              <w:rFonts w:ascii="黑体" w:hAnsi="黑体" w:eastAsia="黑体" w:cs="黑体"/>
            </w:rPr>
            <w:t>二、收入决算表</w:t>
          </w:r>
          <w:r>
            <w:tab/>
          </w:r>
          <w:r>
            <w:rPr>
              <w:rFonts w:hint="eastAsia"/>
              <w:lang w:val="en-US" w:eastAsia="zh-CN"/>
            </w:rPr>
            <w:t>7</w:t>
          </w:r>
          <w:r>
            <w:fldChar w:fldCharType="end"/>
          </w:r>
        </w:p>
        <w:p>
          <w:pPr>
            <w:pStyle w:val="11"/>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2"/>
              <w:rFonts w:ascii="黑体" w:hAnsi="黑体" w:eastAsia="黑体" w:cs="黑体"/>
            </w:rPr>
            <w:t>三、支出决算表</w:t>
          </w:r>
          <w:r>
            <w:tab/>
          </w:r>
          <w:r>
            <w:rPr>
              <w:rFonts w:hint="eastAsia"/>
              <w:lang w:val="en-US" w:eastAsia="zh-CN"/>
            </w:rPr>
            <w:t>8</w:t>
          </w:r>
          <w:r>
            <w:fldChar w:fldCharType="end"/>
          </w:r>
        </w:p>
        <w:p>
          <w:pPr>
            <w:pStyle w:val="11"/>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2"/>
              <w:rFonts w:ascii="黑体" w:hAnsi="黑体" w:eastAsia="黑体" w:cs="黑体"/>
            </w:rPr>
            <w:t>四、财政拨款收入支出决算总表</w:t>
          </w:r>
          <w:r>
            <w:tab/>
          </w:r>
          <w:r>
            <w:rPr>
              <w:rFonts w:hint="eastAsia"/>
              <w:lang w:val="en-US" w:eastAsia="zh-CN"/>
            </w:rPr>
            <w:t>9</w:t>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"_Toc256000104" </w:instrText>
          </w:r>
          <w:r>
            <w:fldChar w:fldCharType="separate"/>
          </w:r>
          <w:r>
            <w:rPr>
              <w:rStyle w:val="22"/>
              <w:rFonts w:ascii="黑体" w:hAnsi="黑体" w:eastAsia="黑体" w:cs="黑体"/>
            </w:rPr>
            <w:t>五、一般公共预算财政拨款支出决算表</w:t>
          </w:r>
          <w:r>
            <w:tab/>
          </w:r>
          <w:r>
            <w:rPr>
              <w:rFonts w:hint="eastAsia"/>
              <w:lang w:val="en-US" w:eastAsia="zh-CN"/>
            </w:rPr>
            <w:t>1</w:t>
          </w:r>
          <w:r>
            <w:fldChar w:fldCharType="end"/>
          </w:r>
          <w:r>
            <w:rPr>
              <w:rFonts w:hint="eastAsia"/>
              <w:lang w:val="en-US" w:eastAsia="zh-CN"/>
            </w:rPr>
            <w:t>1</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"_Toc256000105" </w:instrText>
          </w:r>
          <w:r>
            <w:fldChar w:fldCharType="separate"/>
          </w:r>
          <w:r>
            <w:rPr>
              <w:rStyle w:val="22"/>
              <w:rFonts w:ascii="黑体" w:hAnsi="黑体" w:eastAsia="黑体" w:cs="黑体"/>
            </w:rPr>
            <w:t>六、一般公共预算财政拨款基本支出决算表</w:t>
          </w:r>
          <w:r>
            <w:tab/>
          </w:r>
          <w:r>
            <w:rPr>
              <w:rFonts w:hint="eastAsia"/>
              <w:lang w:val="en-US" w:eastAsia="zh-CN"/>
            </w:rPr>
            <w:t>1</w:t>
          </w:r>
          <w:r>
            <w:fldChar w:fldCharType="end"/>
          </w:r>
          <w:r>
            <w:rPr>
              <w:rFonts w:hint="eastAsia"/>
              <w:lang w:val="en-US" w:eastAsia="zh-CN"/>
            </w:rPr>
            <w:t>2</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"_Toc256000106" </w:instrText>
          </w:r>
          <w:r>
            <w:fldChar w:fldCharType="separate"/>
          </w:r>
          <w:r>
            <w:rPr>
              <w:rStyle w:val="22"/>
              <w:rFonts w:ascii="黑体" w:hAnsi="黑体" w:eastAsia="黑体" w:cs="黑体"/>
            </w:rPr>
            <w:t>七、一般公共预算财政拨款“三公”经费支出决算表</w:t>
          </w:r>
          <w:r>
            <w:tab/>
          </w:r>
          <w:r>
            <w:rPr>
              <w:rFonts w:hint="eastAsia"/>
              <w:lang w:val="en-US" w:eastAsia="zh-CN"/>
            </w:rPr>
            <w:t>1</w:t>
          </w:r>
          <w:r>
            <w:fldChar w:fldCharType="end"/>
          </w:r>
          <w:r>
            <w:rPr>
              <w:rFonts w:hint="eastAsia"/>
              <w:lang w:val="en-US" w:eastAsia="zh-CN"/>
            </w:rPr>
            <w:t>3</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"_Toc256000107" </w:instrText>
          </w:r>
          <w:r>
            <w:fldChar w:fldCharType="separate"/>
          </w:r>
          <w:r>
            <w:rPr>
              <w:rStyle w:val="22"/>
              <w:rFonts w:ascii="黑体" w:hAnsi="黑体" w:eastAsia="黑体" w:cs="黑体"/>
            </w:rPr>
            <w:t>八、政府性基金预算财政拨款收入支出决算表</w:t>
          </w:r>
          <w:r>
            <w:tab/>
          </w:r>
          <w:r>
            <w:rPr>
              <w:rFonts w:hint="eastAsia"/>
              <w:lang w:val="en-US" w:eastAsia="zh-CN"/>
            </w:rPr>
            <w:t>1</w:t>
          </w:r>
          <w:r>
            <w:fldChar w:fldCharType="end"/>
          </w:r>
          <w:r>
            <w:rPr>
              <w:rFonts w:hint="eastAsia"/>
              <w:lang w:val="en-US" w:eastAsia="zh-CN"/>
            </w:rPr>
            <w:t>4</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"_Toc256000108" </w:instrText>
          </w:r>
          <w:r>
            <w:fldChar w:fldCharType="separate"/>
          </w:r>
          <w:r>
            <w:rPr>
              <w:rStyle w:val="22"/>
              <w:rFonts w:ascii="黑体" w:hAnsi="黑体" w:eastAsia="黑体" w:cs="黑体"/>
            </w:rPr>
            <w:t>九、国有资本经营预算财政拨款支出决算表</w:t>
          </w:r>
          <w:r>
            <w:tab/>
          </w:r>
          <w:r>
            <w:rPr>
              <w:rFonts w:hint="eastAsia"/>
              <w:lang w:val="en-US" w:eastAsia="zh-CN"/>
            </w:rPr>
            <w:t>1</w:t>
          </w:r>
          <w:r>
            <w:fldChar w:fldCharType="end"/>
          </w:r>
          <w:r>
            <w:rPr>
              <w:rFonts w:hint="eastAsia"/>
              <w:lang w:val="en-US" w:eastAsia="zh-CN"/>
            </w:rPr>
            <w:t>4</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"_Toc256000109" </w:instrText>
          </w:r>
          <w:r>
            <w:fldChar w:fldCharType="separate"/>
          </w:r>
          <w:r>
            <w:rPr>
              <w:rStyle w:val="22"/>
              <w:rFonts w:ascii="黑体" w:hAnsi="黑体" w:eastAsia="黑体" w:cs="黑体"/>
            </w:rPr>
            <w:t>第三部分</w:t>
          </w:r>
          <w:r>
            <w:tab/>
          </w:r>
          <w:r>
            <w:rPr>
              <w:rFonts w:hint="eastAsia"/>
              <w:lang w:val="en-US" w:eastAsia="zh-CN"/>
            </w:rPr>
            <w:t>1</w:t>
          </w:r>
          <w:r>
            <w:fldChar w:fldCharType="end"/>
          </w:r>
          <w:r>
            <w:rPr>
              <w:rFonts w:hint="eastAsia"/>
              <w:lang w:val="en-US" w:eastAsia="zh-CN"/>
            </w:rPr>
            <w:t>5</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"_Toc256000110" </w:instrText>
          </w:r>
          <w:r>
            <w:fldChar w:fldCharType="separate"/>
          </w:r>
          <w:r>
            <w:rPr>
              <w:rStyle w:val="22"/>
              <w:rFonts w:ascii="黑体" w:hAnsi="黑体" w:eastAsia="黑体" w:cs="黑体"/>
            </w:rPr>
            <w:t>2024年度决算情况说明</w:t>
          </w:r>
          <w:r>
            <w:tab/>
          </w:r>
          <w:r>
            <w:rPr>
              <w:rFonts w:hint="eastAsia"/>
              <w:lang w:val="en-US" w:eastAsia="zh-CN"/>
            </w:rPr>
            <w:t>1</w:t>
          </w:r>
          <w:r>
            <w:fldChar w:fldCharType="end"/>
          </w:r>
          <w:r>
            <w:rPr>
              <w:rFonts w:hint="eastAsia"/>
              <w:lang w:val="en-US" w:eastAsia="zh-CN"/>
            </w:rPr>
            <w:t>5</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"_Toc256000111" </w:instrText>
          </w:r>
          <w:r>
            <w:fldChar w:fldCharType="separate"/>
          </w:r>
          <w:r>
            <w:rPr>
              <w:rStyle w:val="22"/>
              <w:rFonts w:ascii="黑体" w:hAnsi="黑体" w:eastAsia="黑体" w:cs="黑体"/>
            </w:rPr>
            <w:t>一、收入支出决算总体情况说明</w:t>
          </w:r>
          <w:r>
            <w:tab/>
          </w:r>
          <w:r>
            <w:rPr>
              <w:rFonts w:hint="eastAsia"/>
              <w:lang w:val="en-US" w:eastAsia="zh-CN"/>
            </w:rPr>
            <w:t>1</w:t>
          </w:r>
          <w:r>
            <w:fldChar w:fldCharType="end"/>
          </w:r>
          <w:r>
            <w:rPr>
              <w:rFonts w:hint="eastAsia"/>
              <w:lang w:val="en-US" w:eastAsia="zh-CN"/>
            </w:rPr>
            <w:t>5</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"_Toc256000112" </w:instrText>
          </w:r>
          <w:r>
            <w:fldChar w:fldCharType="separate"/>
          </w:r>
          <w:r>
            <w:rPr>
              <w:rStyle w:val="22"/>
              <w:rFonts w:ascii="黑体" w:hAnsi="黑体" w:eastAsia="黑体" w:cs="黑体"/>
            </w:rPr>
            <w:t>二、财政拨款收入支出决算总体情况说明</w:t>
          </w:r>
          <w:r>
            <w:tab/>
          </w:r>
          <w:r>
            <w:rPr>
              <w:rFonts w:hint="eastAsia"/>
              <w:lang w:val="en-US" w:eastAsia="zh-CN"/>
            </w:rPr>
            <w:t>1</w:t>
          </w:r>
          <w:r>
            <w:fldChar w:fldCharType="end"/>
          </w:r>
          <w:r>
            <w:rPr>
              <w:rFonts w:hint="eastAsia"/>
              <w:lang w:val="en-US" w:eastAsia="zh-CN"/>
            </w:rPr>
            <w:t>6</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"_Toc256000113" </w:instrText>
          </w:r>
          <w:r>
            <w:fldChar w:fldCharType="separate"/>
          </w:r>
          <w:r>
            <w:rPr>
              <w:rStyle w:val="22"/>
              <w:rFonts w:ascii="黑体" w:hAnsi="黑体" w:eastAsia="黑体" w:cs="黑体"/>
            </w:rPr>
            <w:t>三、一般公共预算拨款支出决算情况说明</w:t>
          </w:r>
          <w:r>
            <w:tab/>
          </w:r>
          <w:r>
            <w:rPr>
              <w:rFonts w:hint="eastAsia"/>
              <w:lang w:val="en-US" w:eastAsia="zh-CN"/>
            </w:rPr>
            <w:t>1</w:t>
          </w:r>
          <w:r>
            <w:fldChar w:fldCharType="end"/>
          </w:r>
          <w:r>
            <w:rPr>
              <w:rFonts w:hint="eastAsia"/>
              <w:lang w:val="en-US" w:eastAsia="zh-CN"/>
            </w:rPr>
            <w:t>6</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"_Toc256000114" </w:instrText>
          </w:r>
          <w:r>
            <w:fldChar w:fldCharType="separate"/>
          </w:r>
          <w:r>
            <w:rPr>
              <w:rStyle w:val="22"/>
              <w:rFonts w:ascii="黑体" w:hAnsi="黑体" w:eastAsia="黑体" w:cs="黑体"/>
            </w:rPr>
            <w:t>四、政府性基金预算财政拨款支出决算情况说明</w:t>
          </w:r>
          <w:r>
            <w:tab/>
          </w:r>
          <w:r>
            <w:rPr>
              <w:rFonts w:hint="eastAsia"/>
              <w:lang w:val="en-US" w:eastAsia="zh-CN"/>
            </w:rPr>
            <w:t>1</w:t>
          </w:r>
          <w:r>
            <w:fldChar w:fldCharType="end"/>
          </w:r>
          <w:r>
            <w:rPr>
              <w:rFonts w:hint="eastAsia"/>
              <w:lang w:val="en-US" w:eastAsia="zh-CN"/>
            </w:rPr>
            <w:t>8</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"_Toc256000115" </w:instrText>
          </w:r>
          <w:r>
            <w:fldChar w:fldCharType="separate"/>
          </w:r>
          <w:r>
            <w:rPr>
              <w:rStyle w:val="22"/>
              <w:rFonts w:ascii="黑体" w:hAnsi="黑体" w:eastAsia="黑体" w:cs="黑体"/>
            </w:rPr>
            <w:t>五、国有资本经营预算财政拨款支出决算情况说明</w:t>
          </w:r>
          <w:r>
            <w:tab/>
          </w:r>
          <w:r>
            <w:rPr>
              <w:rFonts w:hint="eastAsia"/>
              <w:lang w:val="en-US" w:eastAsia="zh-CN"/>
            </w:rPr>
            <w:t>1</w:t>
          </w:r>
          <w:r>
            <w:fldChar w:fldCharType="end"/>
          </w:r>
          <w:r>
            <w:rPr>
              <w:rFonts w:hint="eastAsia"/>
              <w:lang w:val="en-US" w:eastAsia="zh-CN"/>
            </w:rPr>
            <w:t>8</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"_Toc256000116" </w:instrText>
          </w:r>
          <w:r>
            <w:fldChar w:fldCharType="separate"/>
          </w:r>
          <w:r>
            <w:rPr>
              <w:rStyle w:val="22"/>
              <w:rFonts w:ascii="黑体" w:hAnsi="黑体" w:eastAsia="黑体" w:cs="黑体"/>
            </w:rPr>
            <w:t>六、一般公共预算财政拨款基本支出决算情况说明</w:t>
          </w:r>
          <w:r>
            <w:tab/>
          </w:r>
          <w:r>
            <w:rPr>
              <w:rFonts w:hint="eastAsia"/>
              <w:lang w:val="en-US" w:eastAsia="zh-CN"/>
            </w:rPr>
            <w:t>1</w:t>
          </w:r>
          <w:r>
            <w:fldChar w:fldCharType="end"/>
          </w:r>
          <w:r>
            <w:rPr>
              <w:rFonts w:hint="eastAsia"/>
              <w:lang w:val="en-US" w:eastAsia="zh-CN"/>
            </w:rPr>
            <w:t>8</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"_Toc256000117" </w:instrText>
          </w:r>
          <w:r>
            <w:fldChar w:fldCharType="separate"/>
          </w:r>
          <w:r>
            <w:rPr>
              <w:rStyle w:val="22"/>
              <w:rFonts w:ascii="黑体" w:hAnsi="黑体" w:eastAsia="黑体" w:cs="黑体"/>
            </w:rPr>
            <w:t>七、一般公共预算拨款“三公”经费支出决算情况说明</w:t>
          </w:r>
          <w:r>
            <w:tab/>
          </w:r>
          <w:r>
            <w:rPr>
              <w:rFonts w:hint="eastAsia"/>
              <w:lang w:val="en-US" w:eastAsia="zh-CN"/>
            </w:rPr>
            <w:t>1</w:t>
          </w:r>
          <w:r>
            <w:fldChar w:fldCharType="end"/>
          </w:r>
          <w:r>
            <w:rPr>
              <w:rFonts w:hint="eastAsia"/>
              <w:lang w:val="en-US" w:eastAsia="zh-CN"/>
            </w:rPr>
            <w:t>9</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"_Toc256000118" </w:instrText>
          </w:r>
          <w:r>
            <w:fldChar w:fldCharType="separate"/>
          </w:r>
          <w:r>
            <w:rPr>
              <w:rStyle w:val="22"/>
              <w:rFonts w:ascii="黑体" w:hAnsi="黑体" w:eastAsia="黑体" w:cs="黑体"/>
            </w:rPr>
            <w:t>八、预算绩效情况说明</w:t>
          </w:r>
          <w:r>
            <w:tab/>
          </w:r>
          <w:r>
            <w:rPr>
              <w:rFonts w:hint="eastAsia"/>
              <w:lang w:val="en-US" w:eastAsia="zh-CN"/>
            </w:rPr>
            <w:t>2</w:t>
          </w:r>
          <w:r>
            <w:fldChar w:fldCharType="end"/>
          </w:r>
          <w:r>
            <w:rPr>
              <w:rFonts w:hint="eastAsia"/>
              <w:lang w:val="en-US" w:eastAsia="zh-CN"/>
            </w:rPr>
            <w:t>0</w:t>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"_Toc256000119" </w:instrText>
          </w:r>
          <w:r>
            <w:fldChar w:fldCharType="separate"/>
          </w:r>
          <w:r>
            <w:rPr>
              <w:rStyle w:val="22"/>
              <w:rFonts w:ascii="黑体" w:hAnsi="黑体" w:eastAsia="黑体" w:cs="黑体"/>
            </w:rPr>
            <w:t>九、其他重要事项说明</w:t>
          </w:r>
          <w:r>
            <w:tab/>
          </w:r>
          <w:r>
            <w:rPr>
              <w:rFonts w:hint="eastAsia"/>
              <w:lang w:val="en-US" w:eastAsia="zh-CN"/>
            </w:rPr>
            <w:t>2</w:t>
          </w:r>
          <w:r>
            <w:fldChar w:fldCharType="end"/>
          </w:r>
          <w:r>
            <w:rPr>
              <w:rFonts w:hint="eastAsia"/>
              <w:lang w:val="en-US" w:eastAsia="zh-CN"/>
            </w:rPr>
            <w:t>0</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"_Toc256000120" </w:instrText>
          </w:r>
          <w:r>
            <w:fldChar w:fldCharType="separate"/>
          </w:r>
          <w:r>
            <w:rPr>
              <w:rStyle w:val="22"/>
              <w:rFonts w:ascii="黑体" w:hAnsi="黑体" w:eastAsia="黑体" w:cs="黑体"/>
            </w:rPr>
            <w:t>第四部分</w:t>
          </w:r>
          <w:r>
            <w:tab/>
          </w:r>
          <w:r>
            <w:rPr>
              <w:rFonts w:hint="eastAsia"/>
              <w:lang w:val="en-US" w:eastAsia="zh-CN"/>
            </w:rPr>
            <w:t>2</w:t>
          </w:r>
          <w:r>
            <w:fldChar w:fldCharType="end"/>
          </w:r>
          <w:r>
            <w:rPr>
              <w:rFonts w:hint="eastAsia"/>
              <w:lang w:val="en-US" w:eastAsia="zh-CN"/>
            </w:rPr>
            <w:t>2</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"_Toc256000121" </w:instrText>
          </w:r>
          <w:r>
            <w:fldChar w:fldCharType="separate"/>
          </w:r>
          <w:r>
            <w:rPr>
              <w:rStyle w:val="22"/>
              <w:rFonts w:ascii="黑体" w:hAnsi="黑体" w:eastAsia="黑体" w:cs="黑体"/>
            </w:rPr>
            <w:t>名词解释</w:t>
          </w:r>
          <w:r>
            <w:tab/>
          </w:r>
          <w:r>
            <w:rPr>
              <w:rFonts w:hint="eastAsia"/>
              <w:lang w:val="en-US" w:eastAsia="zh-CN"/>
            </w:rPr>
            <w:t>2</w:t>
          </w:r>
          <w:r>
            <w:fldChar w:fldCharType="end"/>
          </w:r>
          <w:r>
            <w:rPr>
              <w:rFonts w:hint="eastAsia"/>
              <w:lang w:val="en-US" w:eastAsia="zh-CN"/>
            </w:rPr>
            <w:t>2</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"_Toc256000122" </w:instrText>
          </w:r>
          <w:r>
            <w:fldChar w:fldCharType="separate"/>
          </w:r>
          <w:r>
            <w:rPr>
              <w:rStyle w:val="22"/>
              <w:rFonts w:ascii="黑体" w:hAnsi="黑体" w:eastAsia="黑体" w:cs="黑体"/>
            </w:rPr>
            <w:t>第五部分</w:t>
          </w:r>
          <w:r>
            <w:tab/>
          </w:r>
          <w:r>
            <w:rPr>
              <w:rFonts w:hint="eastAsia"/>
              <w:lang w:val="en-US" w:eastAsia="zh-CN"/>
            </w:rPr>
            <w:t>2</w:t>
          </w:r>
          <w:r>
            <w:fldChar w:fldCharType="end"/>
          </w:r>
          <w:r>
            <w:rPr>
              <w:rFonts w:hint="eastAsia"/>
              <w:lang w:val="en-US" w:eastAsia="zh-CN"/>
            </w:rPr>
            <w:t>4</w:t>
          </w:r>
        </w:p>
        <w:p>
          <w:pPr>
            <w:pStyle w:val="18"/>
            <w:tabs>
              <w:tab w:val="right" w:leader="dot" w:pos="9730"/>
            </w:tabs>
            <w:rPr>
              <w:rFonts w:hint="eastAsia" w:eastAsia="仿宋" w:asciiTheme="minorHAnsi" w:hAnsiTheme="minorHAnsi"/>
              <w:sz w:val="22"/>
              <w:lang w:val="en-US" w:eastAsia="zh-CN"/>
            </w:rPr>
          </w:pPr>
          <w:r>
            <w:fldChar w:fldCharType="begin"/>
          </w:r>
          <w:r>
            <w:instrText xml:space="preserve"> HYPERLINK \l "_Toc256000123" </w:instrText>
          </w:r>
          <w:r>
            <w:fldChar w:fldCharType="separate"/>
          </w:r>
          <w:r>
            <w:rPr>
              <w:rStyle w:val="22"/>
              <w:rFonts w:ascii="黑体" w:hAnsi="黑体" w:eastAsia="黑体" w:cs="黑体"/>
            </w:rPr>
            <w:t>附件</w:t>
          </w:r>
          <w:r>
            <w:tab/>
          </w:r>
          <w:r>
            <w:rPr>
              <w:rFonts w:hint="eastAsia"/>
              <w:lang w:val="en-US" w:eastAsia="zh-CN"/>
            </w:rPr>
            <w:t>2</w:t>
          </w:r>
          <w:r>
            <w:fldChar w:fldCharType="end"/>
          </w:r>
          <w:r>
            <w:rPr>
              <w:rFonts w:hint="eastAsia"/>
              <w:lang w:val="en-US" w:eastAsia="zh-CN"/>
            </w:rPr>
            <w:t>4</w:t>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9"/>
        <w:widowControl/>
        <w:spacing w:before="100" w:after="100"/>
        <w:ind w:left="0" w:right="0" w:firstLine="3253" w:firstLineChars="900"/>
        <w:jc w:val="both"/>
        <w:rPr>
          <w:rFonts w:hint="eastAsia" w:ascii="黑体" w:hAnsi="宋体" w:eastAsia="黑体" w:cs="黑体"/>
          <w:b/>
          <w:bCs/>
          <w:kern w:val="0"/>
          <w:sz w:val="36"/>
          <w:szCs w:val="36"/>
          <w:shd w:val="clear" w:fill="FFFFFF"/>
          <w:lang w:bidi="ar"/>
        </w:rPr>
      </w:pPr>
      <w:bookmarkStart w:id="0" w:name="_Toc256000062"/>
      <w:bookmarkStart w:id="1" w:name="_Toc256000000"/>
      <w:bookmarkStart w:id="2" w:name="_Toc256000093"/>
      <w:bookmarkStart w:id="3" w:name="_Toc256000031"/>
      <w:bookmarkStart w:id="4" w:name="a000"/>
      <w:r>
        <w:rPr>
          <w:rFonts w:hint="eastAsia" w:ascii="黑体" w:hAnsi="宋体" w:eastAsia="黑体" w:cs="黑体"/>
          <w:b/>
          <w:bCs/>
          <w:kern w:val="0"/>
          <w:sz w:val="36"/>
          <w:szCs w:val="36"/>
          <w:shd w:val="clear" w:fill="FFFFFF"/>
          <w:lang w:bidi="ar"/>
        </w:rPr>
        <w:t>第一部分</w:t>
      </w:r>
      <w:bookmarkEnd w:id="0"/>
      <w:bookmarkEnd w:id="1"/>
      <w:bookmarkEnd w:id="2"/>
      <w:bookmarkEnd w:id="3"/>
      <w:bookmarkStart w:id="5" w:name="_Toc256000001"/>
      <w:bookmarkStart w:id="6" w:name="_Toc256000094"/>
      <w:bookmarkStart w:id="7" w:name="_Toc256000032"/>
      <w:bookmarkStart w:id="8" w:name="_Toc256000063"/>
      <w:r>
        <w:rPr>
          <w:rFonts w:hint="eastAsia" w:ascii="黑体" w:hAnsi="宋体" w:eastAsia="黑体" w:cs="黑体"/>
          <w:b/>
          <w:bCs/>
          <w:kern w:val="0"/>
          <w:sz w:val="36"/>
          <w:szCs w:val="36"/>
          <w:shd w:val="clear" w:fill="FFFFFF"/>
          <w:lang w:val="en-US" w:eastAsia="zh-CN" w:bidi="ar"/>
        </w:rPr>
        <w:t xml:space="preserve">  </w:t>
      </w:r>
      <w:r>
        <w:rPr>
          <w:rFonts w:hint="eastAsia" w:ascii="黑体" w:hAnsi="宋体" w:eastAsia="黑体" w:cs="黑体"/>
          <w:b/>
          <w:bCs/>
          <w:kern w:val="0"/>
          <w:sz w:val="36"/>
          <w:szCs w:val="36"/>
          <w:shd w:val="clear" w:fill="FFFFFF"/>
          <w:lang w:eastAsia="zh-CN" w:bidi="ar"/>
        </w:rPr>
        <w:t>单位</w:t>
      </w:r>
      <w:r>
        <w:rPr>
          <w:rFonts w:hint="eastAsia" w:ascii="黑体" w:hAnsi="宋体" w:eastAsia="黑体" w:cs="黑体"/>
          <w:b/>
          <w:bCs/>
          <w:kern w:val="0"/>
          <w:sz w:val="36"/>
          <w:szCs w:val="36"/>
          <w:shd w:val="clear" w:fill="FFFFFF"/>
          <w:lang w:bidi="ar"/>
        </w:rPr>
        <w:t>概况</w:t>
      </w:r>
      <w:bookmarkEnd w:id="5"/>
      <w:bookmarkEnd w:id="6"/>
      <w:bookmarkEnd w:id="7"/>
      <w:bookmarkEnd w:id="8"/>
    </w:p>
    <w:p>
      <w:pPr>
        <w:pStyle w:val="6"/>
        <w:keepNext w:val="0"/>
        <w:keepLines w:val="0"/>
        <w:pageBreakBefore w:val="0"/>
        <w:kinsoku/>
        <w:wordWrap/>
        <w:overflowPunct/>
        <w:topLinePunct w:val="0"/>
        <w:autoSpaceDE/>
        <w:autoSpaceDN/>
        <w:bidi w:val="0"/>
        <w:adjustRightInd/>
        <w:snapToGrid/>
        <w:spacing w:before="100" w:after="100" w:line="500" w:lineRule="exact"/>
        <w:ind w:left="0" w:right="0" w:firstLine="0" w:firstLineChars="0"/>
        <w:jc w:val="both"/>
        <w:textAlignment w:val="auto"/>
        <w:rPr>
          <w:rFonts w:ascii="黑体" w:hAnsi="黑体" w:eastAsia="黑体" w:cs="黑体"/>
          <w:b/>
          <w:spacing w:val="0"/>
        </w:rPr>
      </w:pPr>
      <w:bookmarkStart w:id="9" w:name="_Toc256000064"/>
      <w:bookmarkStart w:id="10" w:name="_Toc256000002"/>
      <w:bookmarkStart w:id="11" w:name="_Toc256000095"/>
      <w:bookmarkStart w:id="12" w:name="_Toc256000033"/>
    </w:p>
    <w:p>
      <w:pPr>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500" w:lineRule="exact"/>
        <w:ind w:left="0" w:right="0" w:firstLine="640"/>
        <w:jc w:val="both"/>
        <w:textAlignment w:val="auto"/>
        <w:rPr>
          <w:rFonts w:hint="eastAsia" w:ascii="黑体" w:hAnsi="宋体" w:eastAsia="黑体" w:cs="黑体"/>
          <w:b/>
          <w:bCs/>
          <w:kern w:val="0"/>
          <w:sz w:val="32"/>
          <w:szCs w:val="32"/>
          <w:shd w:val="clear" w:fill="FFFFFF"/>
        </w:rPr>
      </w:pPr>
      <w:r>
        <w:rPr>
          <w:rFonts w:hint="eastAsia" w:ascii="黑体" w:hAnsi="宋体" w:eastAsia="黑体" w:cs="黑体"/>
          <w:b/>
          <w:bCs/>
          <w:kern w:val="0"/>
          <w:sz w:val="32"/>
          <w:szCs w:val="32"/>
          <w:shd w:val="clear" w:fill="FFFFFF"/>
        </w:rPr>
        <w:t>一、单位主要职责</w:t>
      </w:r>
      <w:bookmarkEnd w:id="9"/>
      <w:bookmarkEnd w:id="10"/>
      <w:bookmarkEnd w:id="11"/>
      <w:bookmarkEnd w:id="12"/>
    </w:p>
    <w:p>
      <w:pPr>
        <w:pStyle w:val="29"/>
        <w:keepNext w:val="0"/>
        <w:keepLines w:val="0"/>
        <w:pageBreakBefore w:val="0"/>
        <w:widowControl/>
        <w:kinsoku/>
        <w:wordWrap/>
        <w:overflowPunct/>
        <w:topLinePunct w:val="0"/>
        <w:autoSpaceDE/>
        <w:autoSpaceDN/>
        <w:bidi w:val="0"/>
        <w:adjustRightInd/>
        <w:snapToGrid/>
        <w:spacing w:before="100" w:after="100" w:line="500" w:lineRule="exact"/>
        <w:ind w:left="0" w:right="0" w:firstLine="640"/>
        <w:jc w:val="both"/>
        <w:textAlignment w:val="auto"/>
        <w:rPr>
          <w:rFonts w:hint="default" w:ascii="仿宋_GB2312" w:hAnsi="仿宋" w:eastAsia="仿宋_GB2312" w:cs="仿宋_GB2312"/>
          <w:color w:val="000000"/>
          <w:kern w:val="0"/>
          <w:sz w:val="32"/>
          <w:szCs w:val="32"/>
          <w:lang w:val="en-US" w:eastAsia="zh-CN" w:bidi="ar-SA"/>
        </w:rPr>
      </w:pPr>
      <w:r>
        <w:rPr>
          <w:rFonts w:hint="default" w:ascii="仿宋_GB2312" w:hAnsi="仿宋" w:eastAsia="仿宋_GB2312" w:cs="仿宋_GB2312"/>
          <w:color w:val="000000"/>
          <w:kern w:val="0"/>
          <w:sz w:val="32"/>
          <w:szCs w:val="32"/>
          <w:lang w:val="en-US" w:eastAsia="zh-CN" w:bidi="ar-SA"/>
        </w:rPr>
        <w:t>厦门市高崎小学单位的主要职责是：</w:t>
      </w:r>
    </w:p>
    <w:p>
      <w:pPr>
        <w:pStyle w:val="29"/>
        <w:keepNext w:val="0"/>
        <w:keepLines w:val="0"/>
        <w:pageBreakBefore w:val="0"/>
        <w:widowControl/>
        <w:kinsoku/>
        <w:wordWrap/>
        <w:overflowPunct/>
        <w:topLinePunct w:val="0"/>
        <w:autoSpaceDE/>
        <w:autoSpaceDN/>
        <w:bidi w:val="0"/>
        <w:adjustRightInd/>
        <w:snapToGrid/>
        <w:spacing w:before="240" w:after="240" w:line="500" w:lineRule="exact"/>
        <w:ind w:firstLine="640"/>
        <w:jc w:val="both"/>
        <w:textAlignment w:val="auto"/>
        <w:rPr>
          <w:rFonts w:hint="eastAsia"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（一）实施小学义务教育。</w:t>
      </w:r>
    </w:p>
    <w:p>
      <w:pPr>
        <w:pStyle w:val="29"/>
        <w:keepNext w:val="0"/>
        <w:keepLines w:val="0"/>
        <w:pageBreakBefore w:val="0"/>
        <w:widowControl/>
        <w:kinsoku/>
        <w:wordWrap/>
        <w:overflowPunct/>
        <w:topLinePunct w:val="0"/>
        <w:autoSpaceDE/>
        <w:autoSpaceDN/>
        <w:bidi w:val="0"/>
        <w:adjustRightInd/>
        <w:snapToGrid/>
        <w:spacing w:before="240" w:after="240" w:line="500" w:lineRule="exact"/>
        <w:ind w:firstLine="640"/>
        <w:jc w:val="both"/>
        <w:textAlignment w:val="auto"/>
        <w:rPr>
          <w:rFonts w:hint="eastAsia"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（二）促进基础教育发展。</w:t>
      </w:r>
    </w:p>
    <w:p>
      <w:pPr>
        <w:pStyle w:val="29"/>
        <w:keepNext w:val="0"/>
        <w:keepLines w:val="0"/>
        <w:pageBreakBefore w:val="0"/>
        <w:widowControl/>
        <w:kinsoku/>
        <w:wordWrap/>
        <w:overflowPunct/>
        <w:topLinePunct w:val="0"/>
        <w:autoSpaceDE/>
        <w:autoSpaceDN/>
        <w:bidi w:val="0"/>
        <w:adjustRightInd/>
        <w:snapToGrid/>
        <w:spacing w:before="100" w:after="100" w:line="500" w:lineRule="exact"/>
        <w:ind w:left="0" w:right="0" w:firstLine="640"/>
        <w:jc w:val="both"/>
        <w:textAlignment w:val="auto"/>
        <w:rPr>
          <w:rFonts w:hint="default"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（三）促进小学学历教育</w:t>
      </w:r>
    </w:p>
    <w:p>
      <w:pPr>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500" w:lineRule="exact"/>
        <w:ind w:left="0" w:right="0" w:firstLine="640"/>
        <w:jc w:val="both"/>
        <w:textAlignment w:val="auto"/>
        <w:rPr>
          <w:rFonts w:hint="eastAsia" w:ascii="黑体" w:hAnsi="宋体" w:eastAsia="黑体" w:cs="黑体"/>
          <w:b/>
          <w:bCs/>
          <w:kern w:val="0"/>
          <w:sz w:val="32"/>
          <w:szCs w:val="32"/>
          <w:shd w:val="clear" w:fill="FFFFFF"/>
        </w:rPr>
      </w:pPr>
      <w:bookmarkStart w:id="13" w:name="_Toc256000065"/>
      <w:bookmarkStart w:id="14" w:name="_Toc256000034"/>
      <w:bookmarkStart w:id="15" w:name="_Toc256000096"/>
      <w:bookmarkStart w:id="16" w:name="_Toc256000003"/>
      <w:r>
        <w:rPr>
          <w:rFonts w:hint="eastAsia" w:ascii="黑体" w:hAnsi="宋体" w:eastAsia="黑体" w:cs="黑体"/>
          <w:b/>
          <w:bCs/>
          <w:kern w:val="0"/>
          <w:sz w:val="32"/>
          <w:szCs w:val="32"/>
          <w:shd w:val="clear" w:fill="FFFFFF"/>
        </w:rPr>
        <w:t>二、单位基本情况</w:t>
      </w:r>
      <w:bookmarkEnd w:id="13"/>
      <w:bookmarkEnd w:id="14"/>
      <w:bookmarkEnd w:id="15"/>
      <w:bookmarkEnd w:id="16"/>
    </w:p>
    <w:p>
      <w:pPr>
        <w:pStyle w:val="29"/>
        <w:keepNext w:val="0"/>
        <w:keepLines w:val="0"/>
        <w:pageBreakBefore w:val="0"/>
        <w:widowControl/>
        <w:kinsoku/>
        <w:wordWrap/>
        <w:overflowPunct/>
        <w:topLinePunct w:val="0"/>
        <w:autoSpaceDE/>
        <w:autoSpaceDN/>
        <w:bidi w:val="0"/>
        <w:adjustRightInd/>
        <w:snapToGrid/>
        <w:spacing w:before="240" w:after="240" w:line="500" w:lineRule="exact"/>
        <w:ind w:firstLine="640"/>
        <w:jc w:val="both"/>
        <w:textAlignment w:val="auto"/>
        <w:rPr>
          <w:rFonts w:hint="eastAsia" w:ascii="仿宋_GB2312" w:hAnsi="仿宋" w:eastAsia="仿宋_GB2312" w:cs="仿宋_GB2312"/>
          <w:color w:val="000000"/>
          <w:kern w:val="0"/>
          <w:sz w:val="32"/>
          <w:szCs w:val="32"/>
          <w:lang w:val="en-US" w:eastAsia="zh-CN" w:bidi="ar-SA"/>
        </w:rPr>
      </w:pPr>
      <w:r>
        <w:rPr>
          <w:rFonts w:ascii="仿宋" w:hAnsi="仿宋" w:eastAsia="仿宋" w:cs="仿宋"/>
          <w:color w:val="auto"/>
          <w:spacing w:val="0"/>
          <w:kern w:val="0"/>
          <w:sz w:val="32"/>
          <w:szCs w:val="32"/>
        </w:rPr>
        <w:t>从决算单位构成看，本单位包括</w:t>
      </w:r>
      <w:r>
        <w:rPr>
          <w:rFonts w:hint="eastAsia" w:ascii="仿宋" w:hAnsi="仿宋" w:eastAsia="仿宋" w:cs="仿宋"/>
          <w:color w:val="auto"/>
          <w:spacing w:val="0"/>
          <w:kern w:val="0"/>
          <w:sz w:val="32"/>
          <w:szCs w:val="32"/>
          <w:lang w:val="en-US" w:eastAsia="zh-CN"/>
        </w:rPr>
        <w:t>3</w:t>
      </w:r>
      <w:r>
        <w:rPr>
          <w:rFonts w:ascii="仿宋" w:hAnsi="仿宋" w:eastAsia="仿宋" w:cs="仿宋"/>
          <w:color w:val="auto"/>
          <w:spacing w:val="0"/>
          <w:kern w:val="0"/>
          <w:sz w:val="32"/>
          <w:szCs w:val="32"/>
        </w:rPr>
        <w:t>个内设机构，其中：列入2024年决算编制范围的单位详细情况见下表</w:t>
      </w:r>
      <w:r>
        <w:rPr>
          <w:rFonts w:hint="eastAsia" w:ascii="仿宋_GB2312" w:hAnsi="仿宋" w:eastAsia="仿宋_GB2312" w:cs="仿宋_GB2312"/>
          <w:color w:val="000000"/>
          <w:kern w:val="0"/>
          <w:sz w:val="32"/>
          <w:szCs w:val="32"/>
          <w:lang w:val="en-US" w:eastAsia="zh-CN" w:bidi="ar-SA"/>
        </w:rPr>
        <w:t>:</w:t>
      </w:r>
    </w:p>
    <w:tbl>
      <w:tblPr>
        <w:tblStyle w:val="23"/>
        <w:tblW w:w="8127" w:type="dxa"/>
        <w:jc w:val="center"/>
        <w:tblInd w:w="2333"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560"/>
        <w:gridCol w:w="556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256" w:hRule="atLeast"/>
          <w:tblHeader/>
          <w:jc w:val="center"/>
        </w:trPr>
        <w:tc>
          <w:tcPr>
            <w:tcW w:w="2560" w:type="dxa"/>
            <w:tcBorders>
              <w:bottom w:val="single" w:color="auto" w:sz="4" w:space="0"/>
              <w:righ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eastAsia" w:ascii="仿宋" w:hAnsi="仿宋" w:eastAsia="仿宋" w:cs="仿宋"/>
                <w:kern w:val="0"/>
                <w:sz w:val="32"/>
                <w:szCs w:val="32"/>
                <w:shd w:val="clear" w:fill="FFFFFF"/>
                <w:lang w:eastAsia="zh-CN"/>
              </w:rPr>
            </w:pPr>
            <w:r>
              <w:rPr>
                <w:rFonts w:hint="eastAsia" w:ascii="仿宋" w:hAnsi="仿宋" w:eastAsia="仿宋" w:cs="仿宋"/>
                <w:kern w:val="0"/>
                <w:sz w:val="32"/>
                <w:szCs w:val="32"/>
                <w:shd w:val="clear" w:fill="FFFFFF"/>
                <w:lang w:eastAsia="zh-CN"/>
              </w:rPr>
              <w:t>序号</w:t>
            </w:r>
          </w:p>
        </w:tc>
        <w:tc>
          <w:tcPr>
            <w:tcW w:w="5567" w:type="dxa"/>
            <w:tcBorders>
              <w:left w:val="inset" w:color="808080" w:sz="6" w:space="0"/>
              <w:bottom w:val="single" w:color="auto" w:sz="4"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default" w:ascii="仿宋" w:hAnsi="仿宋" w:eastAsia="仿宋" w:cs="仿宋"/>
                <w:kern w:val="0"/>
                <w:sz w:val="32"/>
                <w:szCs w:val="32"/>
                <w:shd w:val="clear" w:fill="FFFFFF"/>
                <w:lang w:val="en-US" w:eastAsia="zh-CN"/>
              </w:rPr>
            </w:pPr>
            <w:r>
              <w:rPr>
                <w:rFonts w:hint="eastAsia" w:ascii="仿宋" w:hAnsi="仿宋" w:eastAsia="仿宋" w:cs="仿宋"/>
                <w:kern w:val="0"/>
                <w:sz w:val="32"/>
                <w:szCs w:val="32"/>
                <w:shd w:val="clear" w:fill="FFFFFF"/>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248" w:hRule="atLeast"/>
          <w:tblHeader/>
          <w:jc w:val="center"/>
        </w:trPr>
        <w:tc>
          <w:tcPr>
            <w:tcW w:w="2560" w:type="dxa"/>
            <w:tcBorders>
              <w:top w:val="single" w:color="auto" w:sz="4" w:space="0"/>
              <w:righ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default" w:ascii="仿宋" w:hAnsi="仿宋" w:eastAsia="仿宋" w:cs="仿宋"/>
                <w:kern w:val="0"/>
                <w:sz w:val="32"/>
                <w:szCs w:val="32"/>
                <w:shd w:val="clear" w:fill="FFFFFF"/>
                <w:lang w:val="en-US" w:eastAsia="zh-CN"/>
              </w:rPr>
            </w:pPr>
            <w:r>
              <w:rPr>
                <w:rFonts w:hint="eastAsia" w:ascii="仿宋" w:hAnsi="仿宋" w:eastAsia="仿宋" w:cs="仿宋"/>
                <w:kern w:val="0"/>
                <w:sz w:val="32"/>
                <w:szCs w:val="32"/>
                <w:shd w:val="clear" w:fill="FFFFFF"/>
                <w:lang w:val="en-US" w:eastAsia="zh-CN"/>
              </w:rPr>
              <w:t>1</w:t>
            </w:r>
          </w:p>
        </w:tc>
        <w:tc>
          <w:tcPr>
            <w:tcW w:w="5567" w:type="dxa"/>
            <w:tcBorders>
              <w:top w:val="single" w:color="auto" w:sz="4" w:space="0"/>
              <w:left w:val="inset" w:color="80808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line="600" w:lineRule="atLeast"/>
              <w:ind w:left="0" w:right="0"/>
              <w:jc w:val="center"/>
              <w:rPr>
                <w:rFonts w:hint="default" w:ascii="仿宋" w:hAnsi="仿宋" w:eastAsia="仿宋" w:cs="仿宋"/>
                <w:kern w:val="0"/>
                <w:sz w:val="32"/>
                <w:szCs w:val="32"/>
                <w:shd w:val="clear" w:fill="FFFFFF"/>
                <w:lang w:val="en-US" w:eastAsia="zh-CN"/>
              </w:rPr>
            </w:pPr>
            <w:r>
              <w:rPr>
                <w:rFonts w:hint="eastAsia" w:ascii="仿宋" w:hAnsi="仿宋" w:eastAsia="仿宋" w:cs="仿宋"/>
                <w:kern w:val="0"/>
                <w:sz w:val="32"/>
                <w:szCs w:val="32"/>
                <w:shd w:val="clear" w:fill="FFFFFF"/>
                <w:lang w:val="en-US" w:eastAsia="zh-CN"/>
              </w:rPr>
              <w:t>厦门市高崎小学</w:t>
            </w:r>
          </w:p>
        </w:tc>
      </w:tr>
    </w:tbl>
    <w:p>
      <w:pPr>
        <w:keepNext w:val="0"/>
        <w:keepLines w:val="0"/>
        <w:widowControl/>
        <w:suppressLineNumbers w:val="0"/>
        <w:shd w:val="clear" w:fill="FFFFFF"/>
        <w:spacing w:before="240" w:beforeAutospacing="0" w:after="240" w:afterAutospacing="0" w:line="600" w:lineRule="atLeast"/>
        <w:ind w:left="0" w:right="0" w:firstLine="640"/>
        <w:jc w:val="both"/>
        <w:rPr>
          <w:rFonts w:hint="eastAsia" w:ascii="仿宋" w:hAnsi="仿宋" w:eastAsia="仿宋" w:cs="仿宋"/>
          <w:spacing w:val="0"/>
          <w:kern w:val="0"/>
          <w:sz w:val="32"/>
          <w:szCs w:val="32"/>
          <w:lang w:val="en-US" w:eastAsia="zh-CN"/>
        </w:rPr>
      </w:pPr>
      <w:bookmarkStart w:id="17" w:name="_Toc256000066"/>
      <w:bookmarkStart w:id="18" w:name="_Toc256000004"/>
      <w:bookmarkStart w:id="19" w:name="_Toc256000035"/>
      <w:bookmarkStart w:id="20" w:name="_Toc256000097"/>
      <w:r>
        <w:rPr>
          <w:rFonts w:hint="eastAsia" w:ascii="黑体" w:hAnsi="宋体" w:eastAsia="黑体" w:cs="黑体"/>
          <w:b/>
          <w:bCs/>
          <w:kern w:val="0"/>
          <w:sz w:val="32"/>
          <w:szCs w:val="32"/>
          <w:shd w:val="clear" w:fill="FFFFFF"/>
          <w:lang w:eastAsia="zh-CN"/>
        </w:rPr>
        <w:t>三、</w:t>
      </w:r>
      <w:r>
        <w:rPr>
          <w:rFonts w:hint="eastAsia" w:ascii="黑体" w:hAnsi="宋体" w:eastAsia="黑体" w:cs="黑体"/>
          <w:b/>
          <w:bCs/>
          <w:kern w:val="0"/>
          <w:sz w:val="32"/>
          <w:szCs w:val="32"/>
          <w:shd w:val="clear" w:fill="FFFFFF"/>
        </w:rPr>
        <w:t>单位主要工作总结</w:t>
      </w:r>
      <w:bookmarkEnd w:id="17"/>
      <w:bookmarkEnd w:id="18"/>
      <w:bookmarkEnd w:id="19"/>
      <w:bookmarkEnd w:id="20"/>
    </w:p>
    <w:p>
      <w:pPr>
        <w:ind w:firstLine="640" w:firstLineChars="200"/>
        <w:jc w:val="both"/>
        <w:rPr>
          <w:rFonts w:hint="eastAsia"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2024年，厦门市高崎小学无申请和下拨采购修缮专项经费，只做日常维护教学和文化建设发展的工作，使用校公用经费。</w:t>
      </w:r>
    </w:p>
    <w:p>
      <w:pPr>
        <w:ind w:firstLine="640" w:firstLineChars="200"/>
        <w:jc w:val="both"/>
        <w:rPr>
          <w:rFonts w:hint="eastAsia"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2024年以下工作：</w:t>
      </w:r>
    </w:p>
    <w:p>
      <w:pPr>
        <w:numPr>
          <w:ilvl w:val="0"/>
          <w:numId w:val="1"/>
        </w:numPr>
        <w:ind w:firstLine="640" w:firstLineChars="200"/>
        <w:jc w:val="both"/>
        <w:rPr>
          <w:rFonts w:hint="eastAsia"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采购多功能教室设备，改善教学环境</w:t>
      </w:r>
    </w:p>
    <w:p>
      <w:pPr>
        <w:numPr>
          <w:ilvl w:val="0"/>
          <w:numId w:val="1"/>
        </w:numPr>
        <w:ind w:firstLine="640" w:firstLineChars="200"/>
        <w:jc w:val="both"/>
        <w:rPr>
          <w:rFonts w:hint="eastAsia"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采购校园文化提升设施，维护校园环境</w:t>
      </w:r>
    </w:p>
    <w:p>
      <w:pPr>
        <w:numPr>
          <w:ilvl w:val="0"/>
          <w:numId w:val="1"/>
        </w:numPr>
        <w:ind w:firstLine="640" w:firstLineChars="200"/>
        <w:jc w:val="both"/>
        <w:rPr>
          <w:rFonts w:hint="eastAsia"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 xml:space="preserve">修缮卫生间和中庭改造                    </w:t>
      </w:r>
    </w:p>
    <w:p>
      <w:pPr>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240" w:lineRule="auto"/>
        <w:ind w:left="0" w:right="0" w:firstLine="640" w:firstLineChars="200"/>
        <w:jc w:val="both"/>
        <w:textAlignment w:val="auto"/>
        <w:rPr>
          <w:rFonts w:hint="eastAsia" w:ascii="仿宋_GB2312" w:hAnsi="仿宋" w:eastAsia="仿宋_GB2312" w:cs="仿宋_GB2312"/>
          <w:color w:val="000000"/>
          <w:kern w:val="0"/>
          <w:sz w:val="32"/>
          <w:szCs w:val="32"/>
          <w:lang w:val="en-US" w:eastAsia="zh-CN" w:bidi="ar-SA"/>
        </w:rPr>
      </w:pPr>
      <w:r>
        <w:rPr>
          <w:rFonts w:hint="eastAsia" w:ascii="仿宋_GB2312" w:hAnsi="仿宋" w:eastAsia="仿宋_GB2312" w:cs="仿宋_GB2312"/>
          <w:color w:val="000000"/>
          <w:kern w:val="0"/>
          <w:sz w:val="32"/>
          <w:szCs w:val="32"/>
          <w:lang w:val="en-US" w:eastAsia="zh-CN" w:bidi="ar-SA"/>
        </w:rPr>
        <w:t>这三项采购与修缮工作结算在2024年完成，合理使用采购修缮专项经费。</w:t>
      </w:r>
    </w:p>
    <w:p>
      <w:pPr>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240" w:lineRule="auto"/>
        <w:ind w:left="0" w:right="0"/>
        <w:jc w:val="center"/>
        <w:textAlignment w:val="auto"/>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第二部分 </w:t>
      </w:r>
      <w:r>
        <w:rPr>
          <w:rFonts w:hint="eastAsia" w:ascii="黑体" w:hAnsi="宋体" w:eastAsia="黑体" w:cs="黑体"/>
          <w:kern w:val="0"/>
          <w:sz w:val="36"/>
          <w:szCs w:val="36"/>
          <w:shd w:val="clear" w:fill="FFFFFF"/>
          <w:lang w:val="en-US" w:eastAsia="zh-CN" w:bidi="ar"/>
        </w:rPr>
        <w:t>2</w:t>
      </w:r>
      <w:r>
        <w:rPr>
          <w:rFonts w:hint="eastAsia" w:ascii="黑体" w:hAnsi="宋体" w:eastAsia="黑体" w:cs="黑体"/>
          <w:kern w:val="0"/>
          <w:sz w:val="36"/>
          <w:szCs w:val="36"/>
          <w:shd w:val="clear" w:fill="FFFFFF"/>
          <w:lang w:bidi="ar"/>
        </w:rPr>
        <w:t>024年</w:t>
      </w:r>
      <w:r>
        <w:rPr>
          <w:rFonts w:hint="eastAsia" w:ascii="黑体" w:hAnsi="宋体" w:eastAsia="黑体" w:cs="黑体"/>
          <w:kern w:val="0"/>
          <w:sz w:val="36"/>
          <w:szCs w:val="36"/>
          <w:shd w:val="clear" w:fill="FFFFFF"/>
          <w:lang w:eastAsia="zh-CN" w:bidi="ar"/>
        </w:rPr>
        <w:t>单位</w:t>
      </w:r>
      <w:r>
        <w:rPr>
          <w:rFonts w:hint="eastAsia" w:ascii="黑体" w:hAnsi="宋体" w:eastAsia="黑体" w:cs="黑体"/>
          <w:kern w:val="0"/>
          <w:sz w:val="36"/>
          <w:szCs w:val="36"/>
          <w:shd w:val="clear" w:fill="FFFFFF"/>
          <w:lang w:bidi="ar"/>
        </w:rPr>
        <w:t>决算表</w:t>
      </w:r>
    </w:p>
    <w:p>
      <w:pPr>
        <w:pStyle w:val="30"/>
        <w:widowControl/>
        <w:spacing w:before="100" w:after="100"/>
        <w:ind w:left="0" w:right="0" w:firstLine="0"/>
        <w:jc w:val="center"/>
        <w:rPr>
          <w:rFonts w:ascii="Times New Roman" w:hAnsi="Times New Roman" w:eastAsia="Times New Roman" w:cs="Times New Roman"/>
          <w:kern w:val="0"/>
          <w:sz w:val="24"/>
        </w:rPr>
      </w:pPr>
    </w:p>
    <w:p>
      <w:pPr>
        <w:pStyle w:val="2"/>
        <w:rPr>
          <w:rFonts w:hint="eastAsia" w:ascii="黑体" w:hAnsi="黑体" w:eastAsia="黑体" w:cs="黑体"/>
          <w:sz w:val="32"/>
          <w:szCs w:val="32"/>
          <w:lang w:eastAsia="zh-CN"/>
        </w:rPr>
      </w:pPr>
      <w:bookmarkStart w:id="21" w:name="_Toc256000100"/>
      <w:bookmarkStart w:id="22" w:name="_Toc256000069"/>
      <w:bookmarkStart w:id="23" w:name="_Toc256000007"/>
      <w:bookmarkStart w:id="24" w:name="_Toc256000038"/>
      <w:r>
        <w:rPr>
          <w:rFonts w:hint="eastAsia" w:ascii="黑体" w:hAnsi="黑体" w:eastAsia="黑体" w:cs="黑体"/>
          <w:sz w:val="32"/>
          <w:szCs w:val="32"/>
          <w:lang w:eastAsia="zh-CN"/>
        </w:rPr>
        <w:t>一、收入支出决算总表</w:t>
      </w:r>
      <w:bookmarkEnd w:id="21"/>
      <w:bookmarkEnd w:id="22"/>
      <w:bookmarkEnd w:id="23"/>
      <w:bookmarkEnd w:id="24"/>
    </w:p>
    <w:p/>
    <w:p>
      <w:pPr>
        <w:pStyle w:val="2"/>
      </w:pPr>
    </w:p>
    <w:tbl>
      <w:tblPr>
        <w:tblStyle w:val="23"/>
        <w:tblpPr w:leftFromText="180" w:rightFromText="180" w:vertAnchor="text" w:horzAnchor="page" w:tblpX="739" w:tblpY="40"/>
        <w:tblOverlap w:val="never"/>
        <w:tblW w:w="10560" w:type="dxa"/>
        <w:tblInd w:w="0" w:type="dxa"/>
        <w:tblLayout w:type="fixed"/>
        <w:tblCellMar>
          <w:top w:w="15" w:type="dxa"/>
          <w:left w:w="15" w:type="dxa"/>
          <w:bottom w:w="15" w:type="dxa"/>
          <w:right w:w="15" w:type="dxa"/>
        </w:tblCellMar>
      </w:tblPr>
      <w:tblGrid>
        <w:gridCol w:w="3564"/>
        <w:gridCol w:w="484"/>
        <w:gridCol w:w="924"/>
        <w:gridCol w:w="3344"/>
        <w:gridCol w:w="545"/>
        <w:gridCol w:w="1699"/>
      </w:tblGrid>
      <w:tr>
        <w:tblPrEx>
          <w:tblLayout w:type="fixed"/>
          <w:tblCellMar>
            <w:top w:w="15" w:type="dxa"/>
            <w:left w:w="15" w:type="dxa"/>
            <w:bottom w:w="15" w:type="dxa"/>
            <w:right w:w="15" w:type="dxa"/>
          </w:tblCellMar>
        </w:tblPrEx>
        <w:trPr>
          <w:tblHeader/>
        </w:trPr>
        <w:tc>
          <w:tcPr>
            <w:tcW w:w="10560" w:type="dxa"/>
            <w:gridSpan w:val="6"/>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收入支出决算总表</w:t>
            </w:r>
          </w:p>
        </w:tc>
      </w:tr>
      <w:tr>
        <w:tblPrEx>
          <w:tblLayout w:type="fixed"/>
          <w:tblCellMar>
            <w:top w:w="15" w:type="dxa"/>
            <w:left w:w="15" w:type="dxa"/>
            <w:bottom w:w="15" w:type="dxa"/>
            <w:right w:w="15" w:type="dxa"/>
          </w:tblCellMar>
        </w:tblPrEx>
        <w:trPr>
          <w:tblHeader/>
        </w:trPr>
        <w:tc>
          <w:tcPr>
            <w:tcW w:w="497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33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24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49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收入</w:t>
            </w:r>
          </w:p>
        </w:tc>
        <w:tc>
          <w:tcPr>
            <w:tcW w:w="558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一、一般公共预算财政拨款收入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1,475.73</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一、一般公共服务支出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二、政府性基金预算财政拨款收入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二、外交支出 </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三、国有资本经营预算财政拨款收入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三、国防支出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四、上级补助收入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四、公共安全支出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35</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五、事业收入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五、教育支出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1,258.46</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六、经营收入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六、科学技术支出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37</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七、附属单位上缴收入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七、文化旅游体育与传媒支出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38</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八、其他收入</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八、社会保障和就业支出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九、卫生健康支出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十、节能环保支出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十一、城乡社区支出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42</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十二、农林水支出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43</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十三、交通运输支出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十四、资源勘探工业信息等支出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十五、商业服务业等支出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十六、金融支出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十七、援助其他地区支出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十八、自然资源海洋气象等支出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49</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十九、住房保障支出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二十、粮油物资储备支出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51</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二十一、国有资本经营预算支出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二十二、灾害防治及应急管理支出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53</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二十三、其他支出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二十四、债务还本支出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55</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二十五、债务付息支出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二十六、抗疫特别国债安排的支出</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57</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58</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使用非财政拨款结余（含专用结余）</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结余分配</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59</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年初结转和结余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年末结转和结余 </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61</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3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总计</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33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总计</w:t>
            </w:r>
          </w:p>
        </w:tc>
        <w:tc>
          <w:tcPr>
            <w:tcW w:w="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62</w:t>
            </w:r>
          </w:p>
        </w:tc>
        <w:tc>
          <w:tcPr>
            <w:tcW w:w="16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r>
      <w:tr>
        <w:tblPrEx>
          <w:tblLayout w:type="fixed"/>
          <w:tblCellMar>
            <w:top w:w="15" w:type="dxa"/>
            <w:left w:w="15" w:type="dxa"/>
            <w:bottom w:w="15" w:type="dxa"/>
            <w:right w:w="15" w:type="dxa"/>
          </w:tblCellMar>
        </w:tblPrEx>
        <w:tc>
          <w:tcPr>
            <w:tcW w:w="10560" w:type="dxa"/>
            <w:gridSpan w:val="6"/>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注：1.本表反映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本年度的总收支和年末结转结余情况。</w:t>
            </w:r>
          </w:p>
        </w:tc>
      </w:tr>
      <w:tr>
        <w:tblPrEx>
          <w:tblLayout w:type="fixed"/>
          <w:tblCellMar>
            <w:top w:w="15" w:type="dxa"/>
            <w:left w:w="15" w:type="dxa"/>
            <w:bottom w:w="15" w:type="dxa"/>
            <w:right w:w="15" w:type="dxa"/>
          </w:tblCellMar>
        </w:tblPrEx>
        <w:tc>
          <w:tcPr>
            <w:tcW w:w="10560" w:type="dxa"/>
            <w:gridSpan w:val="6"/>
            <w:noWrap w:val="0"/>
            <w:tcMar>
              <w:top w:w="20" w:type="dxa"/>
              <w:left w:w="485"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2.本套报表金额单位转换时可能存在尾数误差。</w:t>
            </w:r>
          </w:p>
        </w:tc>
      </w:tr>
    </w:tbl>
    <w:p>
      <w:pPr>
        <w:numPr>
          <w:ilvl w:val="0"/>
          <w:numId w:val="0"/>
        </w:numPr>
        <w:jc w:val="both"/>
        <w:rPr>
          <w:rFonts w:hint="eastAsia" w:ascii="仿宋" w:hAnsi="仿宋" w:eastAsia="仿宋" w:cs="仿宋"/>
          <w:spacing w:val="0"/>
          <w:kern w:val="0"/>
          <w:sz w:val="32"/>
          <w:szCs w:val="32"/>
          <w:lang w:val="en-US" w:eastAsia="zh-CN"/>
        </w:rPr>
        <w:sectPr>
          <w:footerReference r:id="rId5" w:type="default"/>
          <w:pgSz w:w="11906" w:h="16838"/>
          <w:pgMar w:top="1440" w:right="1587" w:bottom="1440" w:left="1587"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2"/>
      </w:pP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二、收入决算表</w:t>
      </w:r>
    </w:p>
    <w:p>
      <w:pPr>
        <w:pStyle w:val="2"/>
      </w:pPr>
    </w:p>
    <w:p>
      <w:pPr>
        <w:pStyle w:val="2"/>
      </w:pPr>
    </w:p>
    <w:tbl>
      <w:tblPr>
        <w:tblStyle w:val="23"/>
        <w:tblpPr w:leftFromText="180" w:rightFromText="180" w:vertAnchor="text" w:horzAnchor="page" w:tblpX="769" w:tblpY="209"/>
        <w:tblOverlap w:val="never"/>
        <w:tblW w:w="10506" w:type="dxa"/>
        <w:tblInd w:w="0" w:type="dxa"/>
        <w:tblLayout w:type="fixed"/>
        <w:tblCellMar>
          <w:top w:w="15" w:type="dxa"/>
          <w:left w:w="15" w:type="dxa"/>
          <w:bottom w:w="15" w:type="dxa"/>
          <w:right w:w="15" w:type="dxa"/>
        </w:tblCellMar>
      </w:tblPr>
      <w:tblGrid>
        <w:gridCol w:w="890"/>
        <w:gridCol w:w="2583"/>
        <w:gridCol w:w="1233"/>
        <w:gridCol w:w="1233"/>
        <w:gridCol w:w="1037"/>
        <w:gridCol w:w="728"/>
        <w:gridCol w:w="728"/>
        <w:gridCol w:w="1346"/>
        <w:gridCol w:w="728"/>
      </w:tblGrid>
      <w:tr>
        <w:tblPrEx>
          <w:tblLayout w:type="fixed"/>
          <w:tblCellMar>
            <w:top w:w="15" w:type="dxa"/>
            <w:left w:w="15" w:type="dxa"/>
            <w:bottom w:w="15" w:type="dxa"/>
            <w:right w:w="15" w:type="dxa"/>
          </w:tblCellMar>
        </w:tblPrEx>
        <w:trPr>
          <w:tblHeader/>
        </w:trPr>
        <w:tc>
          <w:tcPr>
            <w:tcW w:w="10506" w:type="dxa"/>
            <w:gridSpan w:val="9"/>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收入决算表</w:t>
            </w:r>
          </w:p>
        </w:tc>
      </w:tr>
      <w:tr>
        <w:tblPrEx>
          <w:tblLayout w:type="fixed"/>
          <w:tblCellMar>
            <w:top w:w="15" w:type="dxa"/>
            <w:left w:w="15" w:type="dxa"/>
            <w:bottom w:w="15" w:type="dxa"/>
            <w:right w:w="15" w:type="dxa"/>
          </w:tblCellMar>
        </w:tblPrEx>
        <w:tc>
          <w:tcPr>
            <w:tcW w:w="593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2493"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07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347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2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12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财政拨款收入</w:t>
            </w:r>
          </w:p>
        </w:tc>
        <w:tc>
          <w:tcPr>
            <w:tcW w:w="103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上级补助收入</w:t>
            </w:r>
          </w:p>
        </w:tc>
        <w:tc>
          <w:tcPr>
            <w:tcW w:w="7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事业收入</w:t>
            </w:r>
          </w:p>
        </w:tc>
        <w:tc>
          <w:tcPr>
            <w:tcW w:w="7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经营收入</w:t>
            </w:r>
          </w:p>
        </w:tc>
        <w:tc>
          <w:tcPr>
            <w:tcW w:w="134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附属单位上缴收入</w:t>
            </w:r>
          </w:p>
        </w:tc>
        <w:tc>
          <w:tcPr>
            <w:tcW w:w="7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其他收入</w:t>
            </w:r>
          </w:p>
        </w:tc>
      </w:tr>
      <w:tr>
        <w:tblPrEx>
          <w:tblLayout w:type="fixed"/>
          <w:tblCellMar>
            <w:top w:w="15" w:type="dxa"/>
            <w:left w:w="15" w:type="dxa"/>
            <w:bottom w:w="15" w:type="dxa"/>
            <w:right w:w="15" w:type="dxa"/>
          </w:tblCellMar>
        </w:tblPrEx>
        <w:trPr>
          <w:tblHeader/>
        </w:trPr>
        <w:tc>
          <w:tcPr>
            <w:tcW w:w="89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58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23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3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3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89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58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3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3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03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47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r>
      <w:tr>
        <w:tblPrEx>
          <w:tblLayout w:type="fixed"/>
          <w:tblCellMar>
            <w:top w:w="15" w:type="dxa"/>
            <w:left w:w="15" w:type="dxa"/>
            <w:bottom w:w="15" w:type="dxa"/>
            <w:right w:w="15" w:type="dxa"/>
          </w:tblCellMar>
        </w:tblPrEx>
        <w:tc>
          <w:tcPr>
            <w:tcW w:w="347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1,258.46</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1,258.46</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1,084.28</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1,084.28</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966.93</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966.93</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117.35</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117.35</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46.09</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46.09</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73.98</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73.98</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36.99</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36.99</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31.67</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31.67</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16.18</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16.18</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住房保障支出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住房改革支出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2210203</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购房补贴</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彩票公益金安排的支出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2296003</w:t>
            </w:r>
          </w:p>
        </w:tc>
        <w:tc>
          <w:tcPr>
            <w:tcW w:w="25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用于体育事业的彩票公益金支出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03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506"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本年度取得的各项收入情况。</w:t>
            </w:r>
          </w:p>
        </w:tc>
      </w:tr>
    </w:tbl>
    <w:p>
      <w:pPr>
        <w:pStyle w:val="2"/>
      </w:pPr>
    </w:p>
    <w:p>
      <w:pPr>
        <w:pStyle w:val="2"/>
      </w:pP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三、支出决算表</w:t>
      </w:r>
    </w:p>
    <w:p>
      <w:pPr>
        <w:pStyle w:val="2"/>
      </w:pPr>
    </w:p>
    <w:p>
      <w:pPr>
        <w:pStyle w:val="2"/>
      </w:pPr>
    </w:p>
    <w:tbl>
      <w:tblPr>
        <w:tblStyle w:val="23"/>
        <w:tblpPr w:leftFromText="180" w:rightFromText="180" w:vertAnchor="text" w:horzAnchor="page" w:tblpX="784" w:tblpY="149"/>
        <w:tblOverlap w:val="never"/>
        <w:tblW w:w="10506" w:type="dxa"/>
        <w:tblInd w:w="0" w:type="dxa"/>
        <w:tblLayout w:type="fixed"/>
        <w:tblCellMar>
          <w:top w:w="15" w:type="dxa"/>
          <w:left w:w="15" w:type="dxa"/>
          <w:bottom w:w="15" w:type="dxa"/>
          <w:right w:w="15" w:type="dxa"/>
        </w:tblCellMar>
      </w:tblPr>
      <w:tblGrid>
        <w:gridCol w:w="902"/>
        <w:gridCol w:w="2909"/>
        <w:gridCol w:w="1277"/>
        <w:gridCol w:w="924"/>
        <w:gridCol w:w="880"/>
        <w:gridCol w:w="1146"/>
        <w:gridCol w:w="793"/>
        <w:gridCol w:w="1675"/>
      </w:tblGrid>
      <w:tr>
        <w:tblPrEx>
          <w:tblLayout w:type="fixed"/>
          <w:tblCellMar>
            <w:top w:w="15" w:type="dxa"/>
            <w:left w:w="15" w:type="dxa"/>
            <w:bottom w:w="15" w:type="dxa"/>
            <w:right w:w="15" w:type="dxa"/>
          </w:tblCellMar>
        </w:tblPrEx>
        <w:trPr>
          <w:tblHeader/>
        </w:trPr>
        <w:tc>
          <w:tcPr>
            <w:tcW w:w="10506" w:type="dxa"/>
            <w:gridSpan w:val="8"/>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支出决算表</w:t>
            </w:r>
          </w:p>
        </w:tc>
      </w:tr>
      <w:tr>
        <w:tblPrEx>
          <w:tblLayout w:type="fixed"/>
          <w:tblCellMar>
            <w:top w:w="15" w:type="dxa"/>
            <w:left w:w="15" w:type="dxa"/>
            <w:bottom w:w="15" w:type="dxa"/>
            <w:right w:w="15" w:type="dxa"/>
          </w:tblCellMar>
        </w:tblPrEx>
        <w:tc>
          <w:tcPr>
            <w:tcW w:w="5088"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2950"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46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381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2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88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c>
          <w:tcPr>
            <w:tcW w:w="114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上缴上级支出</w:t>
            </w:r>
          </w:p>
        </w:tc>
        <w:tc>
          <w:tcPr>
            <w:tcW w:w="7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经营支出</w:t>
            </w:r>
          </w:p>
        </w:tc>
        <w:tc>
          <w:tcPr>
            <w:tcW w:w="167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对附属单位补助支出</w:t>
            </w:r>
          </w:p>
        </w:tc>
      </w:tr>
      <w:tr>
        <w:tblPrEx>
          <w:tblLayout w:type="fixed"/>
          <w:tblCellMar>
            <w:top w:w="15" w:type="dxa"/>
            <w:left w:w="15" w:type="dxa"/>
            <w:bottom w:w="15" w:type="dxa"/>
            <w:right w:w="15" w:type="dxa"/>
          </w:tblCellMar>
        </w:tblPrEx>
        <w:trPr>
          <w:tblHeader/>
        </w:trPr>
        <w:tc>
          <w:tcPr>
            <w:tcW w:w="90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90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2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8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9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7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90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909"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7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8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4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9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67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381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c>
          <w:tcPr>
            <w:tcW w:w="381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1,208.28</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272.67</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1,258.46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991.01</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267.45</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1,084.28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991.01</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93.27</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966.93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966.93</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117.35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24.08</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93.27</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46.09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46.09</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73.98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73.98</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36.99</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31.67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31.67</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16.18</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住房保障支出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rHeight w:val="183" w:hRule="atLeast"/>
        </w:trPr>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住房改革支出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2210203</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购房补贴</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彩票公益金安排的支出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2296003</w:t>
            </w:r>
          </w:p>
        </w:tc>
        <w:tc>
          <w:tcPr>
            <w:tcW w:w="29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用于体育事业的彩票公益金支出</w:t>
            </w:r>
          </w:p>
        </w:tc>
        <w:tc>
          <w:tcPr>
            <w:tcW w:w="12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0506" w:type="dxa"/>
            <w:gridSpan w:val="8"/>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本年度各项支出情况。</w:t>
            </w:r>
          </w:p>
        </w:tc>
      </w:tr>
    </w:tbl>
    <w:p>
      <w:pPr>
        <w:pStyle w:val="2"/>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四、财政拨款收入支出决算总表</w:t>
      </w:r>
    </w:p>
    <w:p>
      <w:pPr>
        <w:pStyle w:val="2"/>
      </w:pPr>
    </w:p>
    <w:tbl>
      <w:tblPr>
        <w:tblStyle w:val="23"/>
        <w:tblpPr w:leftFromText="180" w:rightFromText="180" w:vertAnchor="text" w:horzAnchor="page" w:tblpX="694" w:tblpY="303"/>
        <w:tblOverlap w:val="never"/>
        <w:tblW w:w="10506" w:type="dxa"/>
        <w:tblInd w:w="0" w:type="dxa"/>
        <w:tblLayout w:type="fixed"/>
        <w:tblCellMar>
          <w:top w:w="15" w:type="dxa"/>
          <w:left w:w="15" w:type="dxa"/>
          <w:bottom w:w="15" w:type="dxa"/>
          <w:right w:w="15" w:type="dxa"/>
        </w:tblCellMar>
      </w:tblPr>
      <w:tblGrid>
        <w:gridCol w:w="1726"/>
        <w:gridCol w:w="368"/>
        <w:gridCol w:w="924"/>
        <w:gridCol w:w="1831"/>
        <w:gridCol w:w="368"/>
        <w:gridCol w:w="924"/>
        <w:gridCol w:w="1546"/>
        <w:gridCol w:w="1416"/>
        <w:gridCol w:w="1403"/>
      </w:tblGrid>
      <w:tr>
        <w:tblPrEx>
          <w:tblLayout w:type="fixed"/>
          <w:tblCellMar>
            <w:top w:w="15" w:type="dxa"/>
            <w:left w:w="15" w:type="dxa"/>
            <w:bottom w:w="15" w:type="dxa"/>
            <w:right w:w="15" w:type="dxa"/>
          </w:tblCellMar>
        </w:tblPrEx>
        <w:trPr>
          <w:tblHeader/>
        </w:trPr>
        <w:tc>
          <w:tcPr>
            <w:tcW w:w="10506" w:type="dxa"/>
            <w:gridSpan w:val="9"/>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财政拨款收入支出决算总表</w:t>
            </w:r>
          </w:p>
        </w:tc>
      </w:tr>
      <w:tr>
        <w:tblPrEx>
          <w:tblLayout w:type="fixed"/>
          <w:tblCellMar>
            <w:top w:w="15" w:type="dxa"/>
            <w:left w:w="15" w:type="dxa"/>
            <w:bottom w:w="15" w:type="dxa"/>
            <w:right w:w="15" w:type="dxa"/>
          </w:tblCellMar>
        </w:tblPrEx>
        <w:trPr>
          <w:tblHeader/>
        </w:trPr>
        <w:tc>
          <w:tcPr>
            <w:tcW w:w="484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2838"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819"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301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收入</w:t>
            </w:r>
          </w:p>
        </w:tc>
        <w:tc>
          <w:tcPr>
            <w:tcW w:w="7488"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项目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行次</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一般公共预算财政拨款</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政府性基金预算财政拨款</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国有资本经营预算财政拨款</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一、一般公共预算财政拨款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1,475.73</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一、一般公共服务支出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二、外交支出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三、国防支出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四、公共安全支出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五、教育支出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1,258.46</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1,258.46</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六、科学技术支出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七、文化旅游体育与传媒支出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八、社会保障和就业支出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九、卫生健康支出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十、节能环保支出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十一、城乡社区支出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十二、农林水支出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十三、交通运输支出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十四、资源勘探工业信息等支出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十五、商业服务业等支出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十六、金融支出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十七、援助其他地区支出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十八、自然资源海洋气象等支出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十九、住房保障支出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二十、粮油物资储备支出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二十一、国有资本经营预算支出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二十二、灾害防治及应急管理支出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二十三、其他支出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二十四、债务还本支出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25</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二十五、债务付息支出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二十六、抗疫特别国债安排的支出</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本年收入合计</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27</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本年支出合计</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1,475.73</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年初财政拨款结转和结余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28</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年末财政拨款结转和结余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一、一般公共预算财政拨款</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29</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二、政府性基金预算财政拨款</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三、国有资本经营预算财政拨款</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63</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7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总计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32</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18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总计 </w:t>
            </w:r>
          </w:p>
        </w:tc>
        <w:tc>
          <w:tcPr>
            <w:tcW w:w="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64</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1,480.95</w:t>
            </w:r>
          </w:p>
        </w:tc>
        <w:tc>
          <w:tcPr>
            <w:tcW w:w="15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1,475.73</w:t>
            </w:r>
          </w:p>
        </w:tc>
        <w:tc>
          <w:tcPr>
            <w:tcW w:w="14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4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0506"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both"/>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本年度一般公共预算财政拨款、政府性基金预算财政拨款和国有资本经营预算财政拨款的总收支和年末结转结余情况。</w:t>
            </w: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t>五、一般公共预算财政拨款支出决算表</w:t>
      </w:r>
    </w:p>
    <w:p>
      <w:pPr>
        <w:pStyle w:val="2"/>
      </w:pPr>
    </w:p>
    <w:p>
      <w:pPr>
        <w:pStyle w:val="2"/>
      </w:pPr>
    </w:p>
    <w:tbl>
      <w:tblPr>
        <w:tblStyle w:val="23"/>
        <w:tblpPr w:leftFromText="180" w:rightFromText="180" w:vertAnchor="text" w:horzAnchor="page" w:tblpX="983" w:tblpY="66"/>
        <w:tblOverlap w:val="never"/>
        <w:tblW w:w="10241" w:type="dxa"/>
        <w:tblInd w:w="0" w:type="dxa"/>
        <w:tblLayout w:type="fixed"/>
        <w:tblCellMar>
          <w:top w:w="15" w:type="dxa"/>
          <w:left w:w="15" w:type="dxa"/>
          <w:bottom w:w="15" w:type="dxa"/>
          <w:right w:w="15" w:type="dxa"/>
        </w:tblCellMar>
      </w:tblPr>
      <w:tblGrid>
        <w:gridCol w:w="958"/>
        <w:gridCol w:w="3556"/>
        <w:gridCol w:w="1207"/>
        <w:gridCol w:w="1818"/>
        <w:gridCol w:w="2702"/>
      </w:tblGrid>
      <w:tr>
        <w:tblPrEx>
          <w:tblLayout w:type="fixed"/>
          <w:tblCellMar>
            <w:top w:w="15" w:type="dxa"/>
            <w:left w:w="15" w:type="dxa"/>
            <w:bottom w:w="15" w:type="dxa"/>
            <w:right w:w="15" w:type="dxa"/>
          </w:tblCellMar>
        </w:tblPrEx>
        <w:trPr>
          <w:tblHeader/>
        </w:trPr>
        <w:tc>
          <w:tcPr>
            <w:tcW w:w="10241" w:type="dxa"/>
            <w:gridSpan w:val="5"/>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一般公共预算财政拨款支出决算表</w:t>
            </w:r>
          </w:p>
        </w:tc>
      </w:tr>
      <w:tr>
        <w:tblPrEx>
          <w:tblLayout w:type="fixed"/>
          <w:tblCellMar>
            <w:top w:w="15" w:type="dxa"/>
            <w:left w:w="15" w:type="dxa"/>
            <w:bottom w:w="15" w:type="dxa"/>
            <w:right w:w="15" w:type="dxa"/>
          </w:tblCellMar>
        </w:tblPrEx>
        <w:tc>
          <w:tcPr>
            <w:tcW w:w="5721"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181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70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45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572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r>
      <w:tr>
        <w:tblPrEx>
          <w:tblLayout w:type="fixed"/>
          <w:tblCellMar>
            <w:top w:w="15" w:type="dxa"/>
            <w:left w:w="15" w:type="dxa"/>
            <w:bottom w:w="15" w:type="dxa"/>
            <w:right w:w="15" w:type="dxa"/>
          </w:tblCellMar>
        </w:tblPrEx>
        <w:trPr>
          <w:tblHeader/>
        </w:trPr>
        <w:tc>
          <w:tcPr>
            <w:tcW w:w="95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35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2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小计</w:t>
            </w:r>
          </w:p>
        </w:tc>
        <w:tc>
          <w:tcPr>
            <w:tcW w:w="181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270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r>
      <w:tr>
        <w:tblPrEx>
          <w:tblLayout w:type="fixed"/>
          <w:tblCellMar>
            <w:top w:w="15" w:type="dxa"/>
            <w:left w:w="15" w:type="dxa"/>
            <w:bottom w:w="15" w:type="dxa"/>
            <w:right w:w="15" w:type="dxa"/>
          </w:tblCellMar>
        </w:tblPrEx>
        <w:trPr>
          <w:tblHeader/>
        </w:trPr>
        <w:tc>
          <w:tcPr>
            <w:tcW w:w="95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55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0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81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70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95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55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r>
      <w:tr>
        <w:tblPrEx>
          <w:tblLayout w:type="fixed"/>
          <w:tblCellMar>
            <w:top w:w="15" w:type="dxa"/>
            <w:left w:w="15" w:type="dxa"/>
            <w:bottom w:w="15" w:type="dxa"/>
            <w:right w:w="15" w:type="dxa"/>
          </w:tblCellMar>
        </w:tblPrEx>
        <w:tc>
          <w:tcPr>
            <w:tcW w:w="45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1,475.73</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1,208.28</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267.45</w:t>
            </w: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1,258.46</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991.01</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267.45</w:t>
            </w: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普通教育</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1,084.28</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991.01</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93.27</w:t>
            </w: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2050202</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小学教育</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966.93</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966.93</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2050299</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其他普通教育支出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117.35</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24.08</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93.27</w:t>
            </w: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教育费附加安排的支出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2050999</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其他教育费附加安排的支出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174.18</w:t>
            </w: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社会保障和就业支出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行政事业单位养老支出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157.06</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2080502</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事业单位离退休</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46.09</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46.09</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2080505</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73.98</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73.98</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2080506</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机关事业单位职业年金缴费支出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36.99</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36.99</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卫生健康支出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行政事业单位医疗</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47.86</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2101102</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事业单位医疗</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31.67</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31.67</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2101199</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其他行政事业单位医疗支出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16.18</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16.18</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rHeight w:val="287" w:hRule="atLeast"/>
        </w:trPr>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住房保障支出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住房改革支出</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95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2210203</w:t>
            </w:r>
          </w:p>
        </w:tc>
        <w:tc>
          <w:tcPr>
            <w:tcW w:w="3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购房补贴</w:t>
            </w:r>
          </w:p>
        </w:tc>
        <w:tc>
          <w:tcPr>
            <w:tcW w:w="12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18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12.35</w:t>
            </w:r>
          </w:p>
        </w:tc>
        <w:tc>
          <w:tcPr>
            <w:tcW w:w="2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10241" w:type="dxa"/>
            <w:gridSpan w:val="5"/>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本年度一般公共预算财政拨款支出情况。</w:t>
            </w: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numPr>
          <w:ilvl w:val="0"/>
          <w:numId w:val="2"/>
        </w:numPr>
        <w:rPr>
          <w:rFonts w:hint="eastAsia" w:ascii="黑体" w:hAnsi="黑体" w:eastAsia="黑体" w:cs="黑体"/>
          <w:sz w:val="32"/>
          <w:szCs w:val="32"/>
          <w:lang w:eastAsia="zh-CN"/>
        </w:rPr>
      </w:pPr>
      <w:r>
        <w:rPr>
          <w:rFonts w:hint="eastAsia" w:ascii="黑体" w:hAnsi="黑体" w:eastAsia="黑体" w:cs="黑体"/>
          <w:sz w:val="32"/>
          <w:szCs w:val="32"/>
          <w:lang w:eastAsia="zh-CN"/>
        </w:rPr>
        <w:t>一般公共预算财政拨款基本支出决算表</w:t>
      </w: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tbl>
      <w:tblPr>
        <w:tblStyle w:val="23"/>
        <w:tblpPr w:leftFromText="180" w:rightFromText="180" w:vertAnchor="text" w:horzAnchor="page" w:tblpX="656" w:tblpY="379"/>
        <w:tblOverlap w:val="never"/>
        <w:tblW w:w="10506" w:type="dxa"/>
        <w:tblInd w:w="0" w:type="dxa"/>
        <w:tblLayout w:type="fixed"/>
        <w:tblCellMar>
          <w:top w:w="15" w:type="dxa"/>
          <w:left w:w="15" w:type="dxa"/>
          <w:bottom w:w="15" w:type="dxa"/>
          <w:right w:w="15" w:type="dxa"/>
        </w:tblCellMar>
      </w:tblPr>
      <w:tblGrid>
        <w:gridCol w:w="1134"/>
        <w:gridCol w:w="1785"/>
        <w:gridCol w:w="924"/>
        <w:gridCol w:w="1135"/>
        <w:gridCol w:w="1294"/>
        <w:gridCol w:w="704"/>
        <w:gridCol w:w="1135"/>
        <w:gridCol w:w="2023"/>
        <w:gridCol w:w="372"/>
      </w:tblGrid>
      <w:tr>
        <w:tblPrEx>
          <w:tblLayout w:type="fixed"/>
          <w:tblCellMar>
            <w:top w:w="15" w:type="dxa"/>
            <w:left w:w="15" w:type="dxa"/>
            <w:bottom w:w="15" w:type="dxa"/>
            <w:right w:w="15" w:type="dxa"/>
          </w:tblCellMar>
        </w:tblPrEx>
        <w:trPr>
          <w:tblHeader/>
        </w:trPr>
        <w:tc>
          <w:tcPr>
            <w:tcW w:w="10506" w:type="dxa"/>
            <w:gridSpan w:val="9"/>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一般公共预算财政拨款基本支出决算表</w:t>
            </w:r>
          </w:p>
        </w:tc>
      </w:tr>
      <w:tr>
        <w:tblPrEx>
          <w:tblLayout w:type="fixed"/>
          <w:tblCellMar>
            <w:top w:w="15" w:type="dxa"/>
            <w:left w:w="15" w:type="dxa"/>
            <w:bottom w:w="15" w:type="dxa"/>
            <w:right w:w="15" w:type="dxa"/>
          </w:tblCellMar>
        </w:tblPrEx>
        <w:trPr>
          <w:tblHeader/>
        </w:trPr>
        <w:tc>
          <w:tcPr>
            <w:tcW w:w="4978"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3133"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39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金额单位：万元</w:t>
            </w:r>
          </w:p>
        </w:tc>
      </w:tr>
      <w:tr>
        <w:tblPrEx>
          <w:tblLayout w:type="fixed"/>
          <w:tblCellMar>
            <w:top w:w="15" w:type="dxa"/>
            <w:left w:w="15" w:type="dxa"/>
            <w:bottom w:w="15" w:type="dxa"/>
            <w:right w:w="15" w:type="dxa"/>
          </w:tblCellMar>
        </w:tblPrEx>
        <w:trPr>
          <w:tblHeader/>
        </w:trPr>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178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9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1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129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70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c>
          <w:tcPr>
            <w:tcW w:w="11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经济分类科目编码</w:t>
            </w:r>
          </w:p>
        </w:tc>
        <w:tc>
          <w:tcPr>
            <w:tcW w:w="20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37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w:t>
            </w:r>
          </w:p>
        </w:tc>
      </w:tr>
      <w:tr>
        <w:tblPrEx>
          <w:tblLayout w:type="fixed"/>
          <w:tblCellMar>
            <w:top w:w="15" w:type="dxa"/>
            <w:left w:w="15" w:type="dxa"/>
            <w:bottom w:w="15" w:type="dxa"/>
            <w:right w:w="15" w:type="dxa"/>
          </w:tblCellMar>
        </w:tblPrEx>
        <w:trPr>
          <w:tblHeader/>
        </w:trPr>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78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9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0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1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023"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372"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工资福利支出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1,049.17</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商品和服务支出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104.42</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30703</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国内债务发行费用</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30101</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基本工资</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130.04</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30201</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办公费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36.64</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30704</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国外债务发行费用</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30102</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津贴补贴</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194.31</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30202</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印刷费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资本性支出</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30103</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奖金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315.24</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30203</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咨询费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31001</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房屋建筑物购建</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30106</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伙食补助费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30204</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手续费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31002</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办公设备购置</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30107</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绩效工资</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61.67</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30205</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水费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1.58</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31003</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专用设备购置</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30108</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机关事业单位基本养老保险缴费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73.98</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30206</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电费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8.25</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31005</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基础设施建设</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30109</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职业年金缴费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36.99</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30207</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邮电费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0.22</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31006</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大型修缮</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30110</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职工基本医疗保险缴费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31.67</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30208</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取暖费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31007</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信息网络及软件购置更新</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30111</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公务员医疗补助缴费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30209</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物业管理费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31008</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物资储备</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30112</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其他社会保障缴费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21.84</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30211</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差旅费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0.46</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31009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土地补偿</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30113</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住房公积金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80.22</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30212</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因公出国（境）费用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31010</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安置补助</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30114</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医疗费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30213</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维修（护）费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13.5</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31011</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地上附着物和青苗补偿</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30199</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其他工资福利支出</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103.21</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30214</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租赁费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31012</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拆迁补偿</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对个人和家庭的补助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48.69</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30215</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会议费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31013</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30301</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离休费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30216</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培训费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6.49</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31019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其他交通工具购置</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30302</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退休费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30217</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31021</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文物和陈列品购置</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30303</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退职（役）费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30218</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专用材料费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31022</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无形资产购置</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30304</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抚恤金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30224</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被装购置费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31099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其他资本性支出</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30305</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生活补助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30225</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专用燃料费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对企业补助</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30306</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救济费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30226</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劳务费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12.18</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31201</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资本金注入</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30307</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医疗费补助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30227</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委托业务费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31203</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政府投资基金股权投资</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30308</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助学金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30228</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工会经费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17.96</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31204</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费用补贴</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30309</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奖励金</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2.6</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30229</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福利费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1.21</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31205</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利息补贴</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30310</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个人农业生产补贴</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30231</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31206</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其他资本性补助</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30311</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代缴社会保险费</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30239</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其他交通费用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0.89</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31299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其他对企业补助</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30399</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其他对个人和家庭的补助</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46.09</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30240</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税金及附加费用</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30299</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其他商品和服务支出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5.05</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39907</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国家赔偿费用支出</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债务利息及费用支出</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39908</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对民间非营利组织和群众性自治组织补贴</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30701</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国内债务付息</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39909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经常性赠与</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30702</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国外债务付息</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39910</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资本性赠与</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7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2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7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39999</w:t>
            </w:r>
          </w:p>
        </w:tc>
        <w:tc>
          <w:tcPr>
            <w:tcW w:w="20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3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rPr>
          <w:tblHeader/>
        </w:trPr>
        <w:tc>
          <w:tcPr>
            <w:tcW w:w="291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人员经费合计 </w:t>
            </w:r>
          </w:p>
        </w:tc>
        <w:tc>
          <w:tcPr>
            <w:tcW w:w="9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1,097.87</w:t>
            </w:r>
          </w:p>
        </w:tc>
        <w:tc>
          <w:tcPr>
            <w:tcW w:w="4268"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公用经费合计</w:t>
            </w:r>
          </w:p>
        </w:tc>
        <w:tc>
          <w:tcPr>
            <w:tcW w:w="239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110.41</w:t>
            </w:r>
          </w:p>
        </w:tc>
      </w:tr>
      <w:tr>
        <w:tblPrEx>
          <w:tblLayout w:type="fixed"/>
          <w:tblCellMar>
            <w:top w:w="15" w:type="dxa"/>
            <w:left w:w="15" w:type="dxa"/>
            <w:bottom w:w="15" w:type="dxa"/>
            <w:right w:w="15" w:type="dxa"/>
          </w:tblCellMar>
        </w:tblPrEx>
        <w:trPr>
          <w:tblHeader/>
        </w:trPr>
        <w:tc>
          <w:tcPr>
            <w:tcW w:w="10506" w:type="dxa"/>
            <w:gridSpan w:val="9"/>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本年度一般公共预算财政拨款基本支出明细情况。</w:t>
            </w:r>
          </w:p>
        </w:tc>
      </w:tr>
    </w:tbl>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七、一般公共预算财政拨款“三公”经费支出决算表</w:t>
      </w:r>
    </w:p>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tbl>
      <w:tblPr>
        <w:tblStyle w:val="23"/>
        <w:tblpPr w:leftFromText="180" w:rightFromText="180" w:vertAnchor="text" w:horzAnchor="page" w:tblpX="847" w:tblpY="48"/>
        <w:tblOverlap w:val="never"/>
        <w:tblW w:w="10506" w:type="dxa"/>
        <w:tblInd w:w="0" w:type="dxa"/>
        <w:tblLayout w:type="fixed"/>
        <w:tblCellMar>
          <w:top w:w="15" w:type="dxa"/>
          <w:left w:w="15" w:type="dxa"/>
          <w:bottom w:w="15" w:type="dxa"/>
          <w:right w:w="15" w:type="dxa"/>
        </w:tblCellMar>
      </w:tblPr>
      <w:tblGrid>
        <w:gridCol w:w="415"/>
        <w:gridCol w:w="1435"/>
        <w:gridCol w:w="415"/>
        <w:gridCol w:w="996"/>
        <w:gridCol w:w="1228"/>
        <w:gridCol w:w="764"/>
        <w:gridCol w:w="415"/>
        <w:gridCol w:w="1435"/>
        <w:gridCol w:w="415"/>
        <w:gridCol w:w="996"/>
        <w:gridCol w:w="1228"/>
        <w:gridCol w:w="764"/>
      </w:tblGrid>
      <w:tr>
        <w:tblPrEx>
          <w:tblLayout w:type="fixed"/>
          <w:tblCellMar>
            <w:top w:w="15" w:type="dxa"/>
            <w:left w:w="15" w:type="dxa"/>
            <w:bottom w:w="15" w:type="dxa"/>
            <w:right w:w="15" w:type="dxa"/>
          </w:tblCellMar>
        </w:tblPrEx>
        <w:trPr>
          <w:tblHeader/>
        </w:trPr>
        <w:tc>
          <w:tcPr>
            <w:tcW w:w="10506" w:type="dxa"/>
            <w:gridSpan w:val="12"/>
            <w:noWrap w:val="0"/>
            <w:tcMar>
              <w:top w:w="20" w:type="dxa"/>
              <w:left w:w="20" w:type="dxa"/>
              <w:bottom w:w="20" w:type="dxa"/>
              <w:right w:w="20" w:type="dxa"/>
            </w:tcMar>
            <w:vAlign w:val="center"/>
          </w:tcPr>
          <w:p>
            <w:pPr>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line="240" w:lineRule="auto"/>
              <w:ind w:left="0" w:right="0"/>
              <w:jc w:val="center"/>
              <w:textAlignment w:val="auto"/>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一般公共预算财政拨款“三公”经费支出决算</w:t>
            </w:r>
          </w:p>
        </w:tc>
      </w:tr>
      <w:tr>
        <w:tblPrEx>
          <w:tblLayout w:type="fixed"/>
          <w:tblCellMar>
            <w:top w:w="15" w:type="dxa"/>
            <w:left w:w="15" w:type="dxa"/>
            <w:bottom w:w="15" w:type="dxa"/>
            <w:right w:w="15" w:type="dxa"/>
          </w:tblCellMar>
        </w:tblPrEx>
        <w:tc>
          <w:tcPr>
            <w:tcW w:w="5253"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3261"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199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5253"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预算数</w:t>
            </w:r>
          </w:p>
        </w:tc>
        <w:tc>
          <w:tcPr>
            <w:tcW w:w="5253"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决算数</w:t>
            </w:r>
          </w:p>
        </w:tc>
      </w:tr>
      <w:tr>
        <w:tblPrEx>
          <w:tblLayout w:type="fixed"/>
          <w:tblCellMar>
            <w:top w:w="15" w:type="dxa"/>
            <w:left w:w="15" w:type="dxa"/>
            <w:bottom w:w="15" w:type="dxa"/>
            <w:right w:w="15" w:type="dxa"/>
          </w:tblCellMar>
        </w:tblPrEx>
        <w:trPr>
          <w:tblHeader/>
        </w:trPr>
        <w:tc>
          <w:tcPr>
            <w:tcW w:w="4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4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 （境）费</w:t>
            </w:r>
          </w:p>
        </w:tc>
        <w:tc>
          <w:tcPr>
            <w:tcW w:w="263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公务用车购置及运行维护费</w:t>
            </w:r>
          </w:p>
        </w:tc>
        <w:tc>
          <w:tcPr>
            <w:tcW w:w="76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c>
          <w:tcPr>
            <w:tcW w:w="4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4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因公出国 （境）费</w:t>
            </w:r>
          </w:p>
        </w:tc>
        <w:tc>
          <w:tcPr>
            <w:tcW w:w="263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公务用车购置及运行维护费</w:t>
            </w:r>
          </w:p>
        </w:tc>
        <w:tc>
          <w:tcPr>
            <w:tcW w:w="76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公务接待费</w:t>
            </w:r>
          </w:p>
        </w:tc>
      </w:tr>
      <w:tr>
        <w:tblPrEx>
          <w:tblLayout w:type="fixed"/>
          <w:tblCellMar>
            <w:top w:w="15" w:type="dxa"/>
            <w:left w:w="15" w:type="dxa"/>
            <w:bottom w:w="15" w:type="dxa"/>
            <w:right w:w="15" w:type="dxa"/>
          </w:tblCellMar>
        </w:tblPrEx>
        <w:trPr>
          <w:tblHeader/>
        </w:trPr>
        <w:tc>
          <w:tcPr>
            <w:tcW w:w="4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小计 </w:t>
            </w:r>
          </w:p>
        </w:tc>
        <w:tc>
          <w:tcPr>
            <w:tcW w:w="99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公务用车购置费</w:t>
            </w:r>
          </w:p>
        </w:tc>
        <w:tc>
          <w:tcPr>
            <w:tcW w:w="12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76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小计 </w:t>
            </w:r>
          </w:p>
        </w:tc>
        <w:tc>
          <w:tcPr>
            <w:tcW w:w="99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公务用车购置费</w:t>
            </w:r>
          </w:p>
        </w:tc>
        <w:tc>
          <w:tcPr>
            <w:tcW w:w="12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公务用车运行维护费</w:t>
            </w:r>
          </w:p>
        </w:tc>
        <w:tc>
          <w:tcPr>
            <w:tcW w:w="76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4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9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6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3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1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99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228"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76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9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12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c>
          <w:tcPr>
            <w:tcW w:w="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7</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8</w:t>
            </w:r>
          </w:p>
        </w:tc>
        <w:tc>
          <w:tcPr>
            <w:tcW w:w="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9</w:t>
            </w:r>
          </w:p>
        </w:tc>
        <w:tc>
          <w:tcPr>
            <w:tcW w:w="9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10</w:t>
            </w:r>
          </w:p>
        </w:tc>
        <w:tc>
          <w:tcPr>
            <w:tcW w:w="12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11</w:t>
            </w:r>
          </w:p>
        </w:tc>
        <w:tc>
          <w:tcPr>
            <w:tcW w:w="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12</w:t>
            </w:r>
          </w:p>
        </w:tc>
      </w:tr>
      <w:tr>
        <w:tblPrEx>
          <w:tblLayout w:type="fixed"/>
          <w:tblCellMar>
            <w:top w:w="15" w:type="dxa"/>
            <w:left w:w="15" w:type="dxa"/>
            <w:bottom w:w="15" w:type="dxa"/>
            <w:right w:w="15" w:type="dxa"/>
          </w:tblCellMar>
        </w:tblPrEx>
        <w:tc>
          <w:tcPr>
            <w:tcW w:w="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bookmarkStart w:id="69" w:name="_GoBack" w:colFirst="0" w:colLast="11"/>
            <w:r>
              <w:rPr>
                <w:rFonts w:hint="eastAsia" w:ascii="宋体" w:hAnsi="宋体" w:cs="宋体"/>
                <w:color w:val="000000"/>
                <w:kern w:val="0"/>
                <w:sz w:val="22"/>
                <w:szCs w:val="22"/>
                <w:shd w:val="clear" w:fill="FFFFFF"/>
                <w:lang w:val="en-US" w:eastAsia="zh-CN" w:bidi="ar"/>
              </w:rPr>
              <w:t>0</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9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2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9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12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c>
          <w:tcPr>
            <w:tcW w:w="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val="en-US" w:eastAsia="zh-CN" w:bidi="ar"/>
              </w:rPr>
              <w:t>0</w:t>
            </w:r>
          </w:p>
        </w:tc>
      </w:tr>
      <w:bookmarkEnd w:id="69"/>
      <w:tr>
        <w:tblPrEx>
          <w:tblLayout w:type="fixed"/>
          <w:tblCellMar>
            <w:top w:w="15" w:type="dxa"/>
            <w:left w:w="15" w:type="dxa"/>
            <w:bottom w:w="15" w:type="dxa"/>
            <w:right w:w="15" w:type="dxa"/>
          </w:tblCellMar>
        </w:tblPrEx>
        <w:trPr>
          <w:trHeight w:val="1270" w:hRule="atLeast"/>
        </w:trPr>
        <w:tc>
          <w:tcPr>
            <w:tcW w:w="10506" w:type="dxa"/>
            <w:gridSpan w:val="12"/>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rPr>
            </w:pPr>
            <w:r>
              <w:rPr>
                <w:rFonts w:hint="eastAsia"/>
              </w:rPr>
              <w:t>注：本表反映</w:t>
            </w:r>
            <w:r>
              <w:rPr>
                <w:rFonts w:hint="eastAsia"/>
                <w:lang w:eastAsia="zh-CN"/>
              </w:rPr>
              <w:t>单位</w:t>
            </w:r>
            <w:r>
              <w:rPr>
                <w:rFonts w:hint="eastAsia"/>
              </w:rPr>
              <w:t>本年度财政拨款“三公”经费支出预决算情况。其中，预算数为“三公”经费全年预算数，反映按规定程序调整后的预算数；决算数是包括当年财政拨款和以前年度结转资金安排的实际支出。</w:t>
            </w:r>
          </w:p>
          <w:p>
            <w:pPr>
              <w:pStyle w:val="2"/>
              <w:ind w:firstLine="640" w:firstLineChars="200"/>
              <w:rPr>
                <w:rFonts w:hint="default" w:eastAsia="宋体"/>
                <w:lang w:val="en-US" w:eastAsia="zh-CN"/>
              </w:rPr>
            </w:pPr>
            <w:r>
              <w:rPr>
                <w:rFonts w:hint="eastAsia" w:ascii="仿宋" w:hAnsi="仿宋" w:eastAsia="仿宋" w:cs="仿宋"/>
                <w:color w:val="000000"/>
                <w:kern w:val="0"/>
                <w:sz w:val="32"/>
                <w:szCs w:val="32"/>
                <w:shd w:val="clear" w:fill="FFFFFF"/>
                <w:lang w:eastAsia="zh-CN" w:bidi="ar"/>
              </w:rPr>
              <w:t>本单位</w:t>
            </w:r>
            <w:r>
              <w:rPr>
                <w:rFonts w:hint="eastAsia" w:ascii="仿宋" w:hAnsi="仿宋" w:eastAsia="仿宋" w:cs="仿宋"/>
                <w:color w:val="000000"/>
                <w:kern w:val="0"/>
                <w:sz w:val="32"/>
                <w:szCs w:val="32"/>
                <w:shd w:val="clear" w:fill="FFFFFF"/>
                <w:lang w:val="en-US" w:eastAsia="zh-CN" w:bidi="ar"/>
              </w:rPr>
              <w:t>2024年度没有使用一般公共预算财政拨款安排的“三公”经费支出</w:t>
            </w:r>
            <w:r>
              <w:rPr>
                <w:rFonts w:hint="eastAsia" w:hAnsi="宋体" w:cs="宋体"/>
                <w:color w:val="000000"/>
                <w:kern w:val="0"/>
                <w:sz w:val="32"/>
                <w:szCs w:val="32"/>
                <w:shd w:val="clear" w:fill="FFFFFF"/>
                <w:lang w:val="en-US" w:eastAsia="zh-CN" w:bidi="ar"/>
              </w:rPr>
              <w:t>。</w:t>
            </w:r>
          </w:p>
        </w:tc>
      </w:tr>
    </w:tbl>
    <w:p>
      <w:pPr>
        <w:keepNext w:val="0"/>
        <w:keepLines w:val="0"/>
        <w:widowControl/>
        <w:numPr>
          <w:ilvl w:val="0"/>
          <w:numId w:val="0"/>
        </w:numPr>
        <w:suppressLineNumbers w:val="0"/>
        <w:shd w:val="clear" w:fill="FFFFFF"/>
        <w:spacing w:before="0" w:beforeAutospacing="1" w:after="0" w:afterAutospacing="1"/>
        <w:ind w:leftChars="0" w:right="0" w:rightChars="0"/>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八、政府性基金预算财政拨款收入支出决算表</w:t>
      </w:r>
    </w:p>
    <w:tbl>
      <w:tblPr>
        <w:tblStyle w:val="23"/>
        <w:tblpPr w:leftFromText="180" w:rightFromText="180" w:vertAnchor="text" w:horzAnchor="page" w:tblpX="670" w:tblpY="785"/>
        <w:tblOverlap w:val="never"/>
        <w:tblW w:w="10506" w:type="dxa"/>
        <w:tblInd w:w="0" w:type="dxa"/>
        <w:tblLayout w:type="fixed"/>
        <w:tblCellMar>
          <w:top w:w="15" w:type="dxa"/>
          <w:left w:w="15" w:type="dxa"/>
          <w:bottom w:w="15" w:type="dxa"/>
          <w:right w:w="15" w:type="dxa"/>
        </w:tblCellMar>
      </w:tblPr>
      <w:tblGrid>
        <w:gridCol w:w="2026"/>
        <w:gridCol w:w="2690"/>
        <w:gridCol w:w="1384"/>
        <w:gridCol w:w="857"/>
        <w:gridCol w:w="484"/>
        <w:gridCol w:w="824"/>
        <w:gridCol w:w="857"/>
        <w:gridCol w:w="1384"/>
      </w:tblGrid>
      <w:tr>
        <w:tblPrEx>
          <w:tblLayout w:type="fixed"/>
          <w:tblCellMar>
            <w:top w:w="15" w:type="dxa"/>
            <w:left w:w="15" w:type="dxa"/>
            <w:bottom w:w="15" w:type="dxa"/>
            <w:right w:w="15" w:type="dxa"/>
          </w:tblCellMar>
        </w:tblPrEx>
        <w:trPr>
          <w:tblHeader/>
        </w:trPr>
        <w:tc>
          <w:tcPr>
            <w:tcW w:w="1050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政府性基金预算财政拨款收入支出决算表</w:t>
            </w:r>
          </w:p>
        </w:tc>
      </w:tr>
      <w:tr>
        <w:tblPrEx>
          <w:tblLayout w:type="fixed"/>
        </w:tblPrEx>
        <w:tc>
          <w:tcPr>
            <w:tcW w:w="6957"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13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 </w:t>
            </w:r>
          </w:p>
        </w:tc>
        <w:tc>
          <w:tcPr>
            <w:tcW w:w="2241"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rPr>
          <w:tblHeader/>
        </w:trPr>
        <w:tc>
          <w:tcPr>
            <w:tcW w:w="471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13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年初结转和结余 </w:t>
            </w:r>
          </w:p>
        </w:tc>
        <w:tc>
          <w:tcPr>
            <w:tcW w:w="8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本年收入</w:t>
            </w:r>
          </w:p>
        </w:tc>
        <w:tc>
          <w:tcPr>
            <w:tcW w:w="216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c>
          <w:tcPr>
            <w:tcW w:w="13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年末结转和结余</w:t>
            </w:r>
          </w:p>
        </w:tc>
      </w:tr>
      <w:tr>
        <w:tblPrEx>
          <w:tblLayout w:type="fixed"/>
          <w:tblCellMar>
            <w:top w:w="15" w:type="dxa"/>
            <w:left w:w="15" w:type="dxa"/>
            <w:bottom w:w="15" w:type="dxa"/>
            <w:right w:w="15" w:type="dxa"/>
          </w:tblCellMar>
        </w:tblPrEx>
        <w:trPr>
          <w:tblHeader/>
        </w:trPr>
        <w:tc>
          <w:tcPr>
            <w:tcW w:w="202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支出功能分类科目编码</w:t>
            </w:r>
          </w:p>
        </w:tc>
        <w:tc>
          <w:tcPr>
            <w:tcW w:w="269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3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小计</w:t>
            </w:r>
          </w:p>
        </w:tc>
        <w:tc>
          <w:tcPr>
            <w:tcW w:w="8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xml:space="preserve">基本支出 </w:t>
            </w:r>
          </w:p>
        </w:tc>
        <w:tc>
          <w:tcPr>
            <w:tcW w:w="8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c>
          <w:tcPr>
            <w:tcW w:w="13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202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69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4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857"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38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471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c>
          <w:tcPr>
            <w:tcW w:w="8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4</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6</w:t>
            </w:r>
          </w:p>
        </w:tc>
      </w:tr>
      <w:tr>
        <w:tblPrEx>
          <w:tblLayout w:type="fixed"/>
          <w:tblCellMar>
            <w:top w:w="15" w:type="dxa"/>
            <w:left w:w="15" w:type="dxa"/>
            <w:bottom w:w="15" w:type="dxa"/>
            <w:right w:w="15" w:type="dxa"/>
          </w:tblCellMar>
        </w:tblPrEx>
        <w:tc>
          <w:tcPr>
            <w:tcW w:w="471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8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20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w:t>
            </w:r>
          </w:p>
        </w:tc>
        <w:tc>
          <w:tcPr>
            <w:tcW w:w="26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其他支出</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8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20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w:t>
            </w:r>
          </w:p>
        </w:tc>
        <w:tc>
          <w:tcPr>
            <w:tcW w:w="26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彩票公益金安排的支出</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8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20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2296003</w:t>
            </w:r>
          </w:p>
        </w:tc>
        <w:tc>
          <w:tcPr>
            <w:tcW w:w="26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用于体育事业的彩票公益金支出</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4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8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5.22</w:t>
            </w:r>
          </w:p>
        </w:tc>
        <w:tc>
          <w:tcPr>
            <w:tcW w:w="1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0506" w:type="dxa"/>
            <w:gridSpan w:val="8"/>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注：本表反映</w:t>
            </w: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本年度政府性基金预算财政拨款收入、支出及结转和结余情况。</w:t>
            </w:r>
          </w:p>
        </w:tc>
      </w:tr>
    </w:tbl>
    <w:p>
      <w:pPr>
        <w:pStyle w:val="2"/>
        <w:widowControl w:val="0"/>
        <w:numPr>
          <w:ilvl w:val="0"/>
          <w:numId w:val="0"/>
        </w:numPr>
        <w:spacing w:before="0" w:beforeAutospacing="0" w:after="0" w:afterAutospacing="0"/>
        <w:ind w:right="0" w:rightChars="0"/>
        <w:jc w:val="left"/>
        <w:rPr>
          <w:rFonts w:hint="eastAsia" w:ascii="黑体" w:hAnsi="黑体" w:eastAsia="黑体" w:cs="黑体"/>
          <w:sz w:val="32"/>
          <w:szCs w:val="32"/>
          <w:lang w:eastAsia="zh-CN"/>
        </w:rPr>
      </w:pPr>
    </w:p>
    <w:p>
      <w:pPr>
        <w:pStyle w:val="6"/>
        <w:keepNext w:val="0"/>
        <w:keepLines w:val="0"/>
        <w:spacing w:before="100" w:after="100" w:line="240" w:lineRule="auto"/>
        <w:ind w:left="0" w:right="0" w:firstLine="0" w:firstLineChars="0"/>
        <w:rPr>
          <w:rFonts w:hint="eastAsia" w:ascii="黑体" w:hAnsi="黑体" w:eastAsia="黑体" w:cs="黑体"/>
          <w:bCs w:val="0"/>
          <w:kern w:val="2"/>
          <w:sz w:val="32"/>
          <w:szCs w:val="32"/>
          <w:lang w:val="en-US" w:eastAsia="zh-CN" w:bidi="ar-SA"/>
        </w:rPr>
      </w:pPr>
    </w:p>
    <w:p>
      <w:pPr>
        <w:pStyle w:val="6"/>
        <w:keepNext w:val="0"/>
        <w:keepLines w:val="0"/>
        <w:spacing w:before="100" w:after="100" w:line="240" w:lineRule="auto"/>
        <w:ind w:left="0" w:right="0" w:firstLine="0" w:firstLineChars="0"/>
        <w:rPr>
          <w:rFonts w:hint="eastAsia" w:ascii="黑体" w:hAnsi="黑体" w:eastAsia="黑体" w:cs="黑体"/>
          <w:bCs w:val="0"/>
          <w:kern w:val="2"/>
          <w:sz w:val="32"/>
          <w:szCs w:val="32"/>
          <w:lang w:val="en-US" w:eastAsia="zh-CN" w:bidi="ar-SA"/>
        </w:rPr>
      </w:pPr>
    </w:p>
    <w:p>
      <w:pPr>
        <w:pStyle w:val="6"/>
        <w:keepNext w:val="0"/>
        <w:keepLines w:val="0"/>
        <w:spacing w:before="100" w:after="100" w:line="240" w:lineRule="auto"/>
        <w:ind w:left="0" w:right="0" w:firstLine="0" w:firstLineChars="0"/>
        <w:rPr>
          <w:rFonts w:hint="eastAsia" w:ascii="黑体" w:hAnsi="黑体" w:eastAsia="黑体" w:cs="黑体"/>
          <w:bCs w:val="0"/>
          <w:kern w:val="2"/>
          <w:sz w:val="32"/>
          <w:szCs w:val="32"/>
          <w:lang w:val="en-US" w:eastAsia="zh-CN" w:bidi="ar-SA"/>
        </w:rPr>
      </w:pPr>
      <w:r>
        <w:rPr>
          <w:rFonts w:hint="eastAsia" w:ascii="黑体" w:hAnsi="黑体" w:eastAsia="黑体" w:cs="黑体"/>
          <w:bCs w:val="0"/>
          <w:kern w:val="2"/>
          <w:sz w:val="32"/>
          <w:szCs w:val="32"/>
          <w:lang w:val="en-US" w:eastAsia="zh-CN" w:bidi="ar-SA"/>
        </w:rPr>
        <w:t>九、国有资本经营预算财政拨款支出决算表</w:t>
      </w:r>
    </w:p>
    <w:tbl>
      <w:tblPr>
        <w:tblStyle w:val="23"/>
        <w:tblpPr w:leftFromText="180" w:rightFromText="180" w:vertAnchor="text" w:horzAnchor="page" w:tblpX="687" w:tblpY="242"/>
        <w:tblOverlap w:val="never"/>
        <w:tblW w:w="10481" w:type="dxa"/>
        <w:tblInd w:w="0" w:type="dxa"/>
        <w:tblLayout w:type="fixed"/>
        <w:tblCellMar>
          <w:top w:w="15" w:type="dxa"/>
          <w:left w:w="15" w:type="dxa"/>
          <w:bottom w:w="15" w:type="dxa"/>
          <w:right w:w="15" w:type="dxa"/>
        </w:tblCellMar>
      </w:tblPr>
      <w:tblGrid>
        <w:gridCol w:w="2556"/>
        <w:gridCol w:w="2624"/>
        <w:gridCol w:w="1430"/>
        <w:gridCol w:w="1445"/>
        <w:gridCol w:w="2426"/>
      </w:tblGrid>
      <w:tr>
        <w:tblPrEx>
          <w:tblLayout w:type="fixed"/>
          <w:tblCellMar>
            <w:top w:w="15" w:type="dxa"/>
            <w:left w:w="15" w:type="dxa"/>
            <w:bottom w:w="15" w:type="dxa"/>
            <w:right w:w="15" w:type="dxa"/>
          </w:tblCellMar>
        </w:tblPrEx>
        <w:trPr>
          <w:tblHeader/>
        </w:trPr>
        <w:tc>
          <w:tcPr>
            <w:tcW w:w="10481"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黑体" w:hAnsi="宋体" w:eastAsia="黑体" w:cs="黑体"/>
                <w:color w:val="000000"/>
                <w:kern w:val="0"/>
                <w:sz w:val="36"/>
                <w:szCs w:val="36"/>
                <w:shd w:val="clear" w:fill="FFFFFF"/>
                <w:lang w:bidi="ar"/>
              </w:rPr>
              <w:t>国有资本经营预算财政拨款支出决算表</w:t>
            </w:r>
          </w:p>
        </w:tc>
      </w:tr>
      <w:tr>
        <w:tblPrEx>
          <w:tblLayout w:type="fixed"/>
          <w:tblCellMar>
            <w:top w:w="15" w:type="dxa"/>
            <w:left w:w="15" w:type="dxa"/>
            <w:bottom w:w="15" w:type="dxa"/>
            <w:right w:w="15" w:type="dxa"/>
          </w:tblCellMar>
        </w:tblPrEx>
        <w:tc>
          <w:tcPr>
            <w:tcW w:w="5180"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cs="宋体"/>
                <w:color w:val="000000"/>
                <w:kern w:val="0"/>
                <w:sz w:val="22"/>
                <w:szCs w:val="22"/>
                <w:shd w:val="clear" w:fill="FFFFFF"/>
                <w:lang w:eastAsia="zh-CN" w:bidi="ar"/>
              </w:rPr>
              <w:t>单位</w:t>
            </w:r>
            <w:r>
              <w:rPr>
                <w:rFonts w:hint="eastAsia" w:ascii="宋体" w:hAnsi="宋体" w:eastAsia="宋体" w:cs="宋体"/>
                <w:color w:val="000000"/>
                <w:kern w:val="0"/>
                <w:sz w:val="22"/>
                <w:szCs w:val="22"/>
                <w:shd w:val="clear" w:fill="FFFFFF"/>
                <w:lang w:bidi="ar"/>
              </w:rPr>
              <w:t>/单位：厦门市高崎小学</w:t>
            </w:r>
          </w:p>
        </w:tc>
        <w:tc>
          <w:tcPr>
            <w:tcW w:w="287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lef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2024年度</w:t>
            </w:r>
          </w:p>
        </w:tc>
        <w:tc>
          <w:tcPr>
            <w:tcW w:w="242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right"/>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金额单位：万元</w:t>
            </w:r>
          </w:p>
        </w:tc>
      </w:tr>
      <w:tr>
        <w:tblPrEx>
          <w:tblLayout w:type="fixed"/>
          <w:tblCellMar>
            <w:top w:w="15" w:type="dxa"/>
            <w:left w:w="15" w:type="dxa"/>
            <w:bottom w:w="15" w:type="dxa"/>
            <w:right w:w="15" w:type="dxa"/>
          </w:tblCellMar>
        </w:tblPrEx>
        <w:tc>
          <w:tcPr>
            <w:tcW w:w="518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w:t>
            </w:r>
          </w:p>
        </w:tc>
        <w:tc>
          <w:tcPr>
            <w:tcW w:w="530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本年支出</w:t>
            </w:r>
          </w:p>
        </w:tc>
      </w:tr>
      <w:tr>
        <w:tblPrEx>
          <w:tblLayout w:type="fixed"/>
          <w:tblCellMar>
            <w:top w:w="15" w:type="dxa"/>
            <w:left w:w="15" w:type="dxa"/>
            <w:bottom w:w="15" w:type="dxa"/>
            <w:right w:w="15" w:type="dxa"/>
          </w:tblCellMar>
        </w:tblPrEx>
        <w:trPr>
          <w:tblHeader/>
        </w:trPr>
        <w:tc>
          <w:tcPr>
            <w:tcW w:w="25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科目代码</w:t>
            </w:r>
          </w:p>
        </w:tc>
        <w:tc>
          <w:tcPr>
            <w:tcW w:w="26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科目名称</w:t>
            </w:r>
          </w:p>
        </w:tc>
        <w:tc>
          <w:tcPr>
            <w:tcW w:w="143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44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基本支出</w:t>
            </w:r>
          </w:p>
        </w:tc>
        <w:tc>
          <w:tcPr>
            <w:tcW w:w="242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项目支出</w:t>
            </w:r>
          </w:p>
        </w:tc>
      </w:tr>
      <w:tr>
        <w:tblPrEx>
          <w:tblLayout w:type="fixed"/>
          <w:tblCellMar>
            <w:top w:w="15" w:type="dxa"/>
            <w:left w:w="15" w:type="dxa"/>
            <w:bottom w:w="15" w:type="dxa"/>
            <w:right w:w="15" w:type="dxa"/>
          </w:tblCellMar>
        </w:tblPrEx>
        <w:trPr>
          <w:tblHeader/>
        </w:trPr>
        <w:tc>
          <w:tcPr>
            <w:tcW w:w="255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6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3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4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42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rPr>
          <w:tblHeader/>
        </w:trPr>
        <w:tc>
          <w:tcPr>
            <w:tcW w:w="255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624"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30"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1445"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c>
          <w:tcPr>
            <w:tcW w:w="2426" w:type="dxa"/>
            <w:vMerge w:val="continue"/>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p>
        </w:tc>
      </w:tr>
      <w:tr>
        <w:tblPrEx>
          <w:tblLayout w:type="fixed"/>
          <w:tblCellMar>
            <w:top w:w="15" w:type="dxa"/>
            <w:left w:w="15" w:type="dxa"/>
            <w:bottom w:w="15" w:type="dxa"/>
            <w:right w:w="15" w:type="dxa"/>
          </w:tblCellMar>
        </w:tblPrEx>
        <w:tc>
          <w:tcPr>
            <w:tcW w:w="518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栏次</w:t>
            </w:r>
          </w:p>
        </w:tc>
        <w:tc>
          <w:tcPr>
            <w:tcW w:w="14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1</w:t>
            </w:r>
          </w:p>
        </w:tc>
        <w:tc>
          <w:tcPr>
            <w:tcW w:w="14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2</w:t>
            </w:r>
          </w:p>
        </w:tc>
        <w:tc>
          <w:tcPr>
            <w:tcW w:w="24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3</w:t>
            </w:r>
          </w:p>
        </w:tc>
      </w:tr>
      <w:tr>
        <w:tblPrEx>
          <w:tblLayout w:type="fixed"/>
          <w:tblCellMar>
            <w:top w:w="15" w:type="dxa"/>
            <w:left w:w="15" w:type="dxa"/>
            <w:bottom w:w="15" w:type="dxa"/>
            <w:right w:w="15" w:type="dxa"/>
          </w:tblCellMar>
        </w:tblPrEx>
        <w:tc>
          <w:tcPr>
            <w:tcW w:w="518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合计</w:t>
            </w:r>
          </w:p>
        </w:tc>
        <w:tc>
          <w:tcPr>
            <w:tcW w:w="14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24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2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26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14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c>
          <w:tcPr>
            <w:tcW w:w="24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keepNext w:val="0"/>
              <w:keepLines w:val="0"/>
              <w:widowControl/>
              <w:suppressLineNumbers w:val="0"/>
              <w:shd w:val="clear" w:fill="FFFFFF"/>
              <w:spacing w:before="0" w:beforeAutospacing="1" w:after="0" w:afterAutospacing="1"/>
              <w:ind w:left="0" w:right="0"/>
              <w:jc w:val="center"/>
              <w:rPr>
                <w:rFonts w:hint="eastAsia" w:ascii="宋体" w:hAnsi="宋体" w:eastAsia="宋体" w:cs="宋体"/>
                <w:color w:val="000000"/>
                <w:kern w:val="0"/>
                <w:sz w:val="22"/>
                <w:szCs w:val="22"/>
                <w:shd w:val="clear" w:fill="FFFFFF"/>
                <w:lang w:bidi="ar"/>
              </w:rPr>
            </w:pPr>
            <w:r>
              <w:rPr>
                <w:rFonts w:hint="eastAsia" w:ascii="宋体" w:hAnsi="宋体" w:eastAsia="宋体" w:cs="宋体"/>
                <w:color w:val="000000"/>
                <w:kern w:val="0"/>
                <w:sz w:val="22"/>
                <w:szCs w:val="22"/>
                <w:shd w:val="clear" w:fill="FFFFFF"/>
                <w:lang w:bidi="ar"/>
              </w:rPr>
              <w:t> </w:t>
            </w:r>
          </w:p>
        </w:tc>
      </w:tr>
      <w:tr>
        <w:tblPrEx>
          <w:tblLayout w:type="fixed"/>
          <w:tblCellMar>
            <w:top w:w="15" w:type="dxa"/>
            <w:left w:w="15" w:type="dxa"/>
            <w:bottom w:w="15" w:type="dxa"/>
            <w:right w:w="15" w:type="dxa"/>
          </w:tblCellMar>
        </w:tblPrEx>
        <w:tc>
          <w:tcPr>
            <w:tcW w:w="10481" w:type="dxa"/>
            <w:gridSpan w:val="5"/>
            <w:noWrap w:val="0"/>
            <w:tcMar>
              <w:top w:w="20" w:type="dxa"/>
              <w:left w:w="20" w:type="dxa"/>
              <w:bottom w:w="20" w:type="dxa"/>
              <w:right w:w="20" w:type="dxa"/>
            </w:tcMar>
            <w:vAlign w:val="center"/>
          </w:tcPr>
          <w:p>
            <w:pPr>
              <w:keepNext w:val="0"/>
              <w:keepLines w:val="0"/>
              <w:widowControl/>
              <w:suppressLineNumbers w:val="0"/>
              <w:shd w:val="clear" w:fill="FFFFFF"/>
              <w:spacing w:before="0" w:beforeAutospacing="1" w:after="0" w:afterAutospacing="1"/>
              <w:ind w:left="0" w:right="0"/>
              <w:jc w:val="left"/>
              <w:rPr>
                <w:rFonts w:hint="eastAsia"/>
              </w:rPr>
            </w:pPr>
            <w:r>
              <w:rPr>
                <w:rFonts w:hint="eastAsia"/>
              </w:rPr>
              <w:t>注：本表反映</w:t>
            </w:r>
            <w:r>
              <w:rPr>
                <w:rFonts w:hint="eastAsia"/>
                <w:lang w:eastAsia="zh-CN"/>
              </w:rPr>
              <w:t>单位</w:t>
            </w:r>
            <w:r>
              <w:rPr>
                <w:rFonts w:hint="eastAsia"/>
              </w:rPr>
              <w:t>本年度国有资本经营预算财政拨款支出情况。</w:t>
            </w:r>
          </w:p>
          <w:p>
            <w:pPr>
              <w:pStyle w:val="2"/>
              <w:ind w:firstLine="640" w:firstLineChars="200"/>
              <w:rPr>
                <w:rFonts w:hint="eastAsia"/>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年度没有使用国有资本经营预算财政拨款安排的</w:t>
            </w:r>
            <w:r>
              <w:rPr>
                <w:rFonts w:hint="eastAsia" w:ascii="仿宋" w:hAnsi="仿宋" w:eastAsia="仿宋" w:cs="仿宋"/>
                <w:sz w:val="32"/>
                <w:szCs w:val="32"/>
                <w:lang w:eastAsia="zh-CN"/>
              </w:rPr>
              <w:t>支出</w:t>
            </w:r>
            <w:r>
              <w:rPr>
                <w:rFonts w:hint="eastAsia" w:ascii="仿宋" w:hAnsi="仿宋" w:eastAsia="仿宋" w:cs="仿宋"/>
                <w:sz w:val="32"/>
                <w:szCs w:val="32"/>
              </w:rPr>
              <w:t>。</w:t>
            </w:r>
          </w:p>
        </w:tc>
      </w:tr>
    </w:tbl>
    <w:p>
      <w:pPr>
        <w:keepNext w:val="0"/>
        <w:keepLines w:val="0"/>
        <w:widowControl/>
        <w:suppressLineNumbers w:val="0"/>
        <w:shd w:val="clear" w:fill="FFFFFF"/>
        <w:spacing w:before="240" w:beforeAutospacing="0" w:after="240" w:afterAutospacing="0" w:line="600" w:lineRule="atLeast"/>
        <w:ind w:left="0" w:leftChars="0" w:right="0" w:rightChars="0" w:firstLine="1440" w:firstLineChars="400"/>
        <w:jc w:val="both"/>
        <w:rPr>
          <w:rFonts w:hint="eastAsia" w:ascii="黑体" w:hAnsi="宋体" w:eastAsia="黑体" w:cs="黑体"/>
          <w:kern w:val="0"/>
          <w:sz w:val="36"/>
          <w:szCs w:val="36"/>
          <w:shd w:val="clear" w:fill="FFFFFF"/>
          <w:lang w:bidi="ar"/>
        </w:rPr>
      </w:pPr>
      <w:bookmarkStart w:id="25" w:name="_Toc256000016"/>
      <w:bookmarkStart w:id="26" w:name="_Toc256000109"/>
      <w:bookmarkStart w:id="27" w:name="_Toc256000047"/>
      <w:bookmarkStart w:id="28" w:name="_Toc256000078"/>
    </w:p>
    <w:p>
      <w:pPr>
        <w:keepNext w:val="0"/>
        <w:keepLines w:val="0"/>
        <w:widowControl/>
        <w:suppressLineNumbers w:val="0"/>
        <w:shd w:val="clear" w:fill="FFFFFF"/>
        <w:spacing w:before="240" w:beforeAutospacing="0" w:after="240" w:afterAutospacing="0" w:line="600" w:lineRule="atLeast"/>
        <w:ind w:left="0" w:leftChars="0" w:right="0" w:rightChars="0" w:firstLine="1440" w:firstLineChars="400"/>
        <w:jc w:val="both"/>
        <w:rPr>
          <w:rFonts w:hint="eastAsia" w:ascii="黑体" w:hAnsi="宋体" w:eastAsia="黑体" w:cs="黑体"/>
          <w:kern w:val="0"/>
          <w:sz w:val="36"/>
          <w:szCs w:val="36"/>
          <w:shd w:val="clear" w:fill="FFFFFF"/>
          <w:lang w:bidi="ar"/>
        </w:rPr>
      </w:pPr>
    </w:p>
    <w:p>
      <w:pPr>
        <w:keepNext w:val="0"/>
        <w:keepLines w:val="0"/>
        <w:widowControl/>
        <w:suppressLineNumbers w:val="0"/>
        <w:shd w:val="clear" w:fill="FFFFFF"/>
        <w:spacing w:before="240" w:beforeAutospacing="0" w:after="240" w:afterAutospacing="0" w:line="600" w:lineRule="atLeast"/>
        <w:ind w:left="0" w:leftChars="0" w:right="0" w:rightChars="0" w:firstLine="1440" w:firstLineChars="400"/>
        <w:jc w:val="both"/>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第三部分</w:t>
      </w:r>
      <w:bookmarkEnd w:id="25"/>
      <w:bookmarkEnd w:id="26"/>
      <w:bookmarkEnd w:id="27"/>
      <w:bookmarkEnd w:id="28"/>
      <w:bookmarkStart w:id="29" w:name="_Toc256000017"/>
      <w:bookmarkStart w:id="30" w:name="_Toc256000079"/>
      <w:bookmarkStart w:id="31" w:name="_Toc256000048"/>
      <w:bookmarkStart w:id="32" w:name="_Toc256000110"/>
      <w:r>
        <w:rPr>
          <w:rFonts w:hint="eastAsia" w:ascii="黑体" w:hAnsi="宋体" w:eastAsia="黑体" w:cs="黑体"/>
          <w:kern w:val="0"/>
          <w:sz w:val="36"/>
          <w:szCs w:val="36"/>
          <w:shd w:val="clear" w:fill="FFFFFF"/>
          <w:lang w:bidi="ar"/>
        </w:rPr>
        <w:t>2024年度决算情况说明</w:t>
      </w:r>
      <w:bookmarkEnd w:id="29"/>
      <w:bookmarkEnd w:id="30"/>
      <w:bookmarkEnd w:id="31"/>
      <w:bookmarkEnd w:id="3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both"/>
        <w:rPr>
          <w:rFonts w:ascii="Times New Roman" w:hAnsi="Times New Roman" w:eastAsia="Times New Roman" w:cs="Times New Roman"/>
          <w:kern w:val="0"/>
          <w:sz w:val="24"/>
        </w:rPr>
      </w:pPr>
    </w:p>
    <w:p>
      <w:pPr>
        <w:pStyle w:val="2"/>
        <w:keepNext w:val="0"/>
        <w:keepLines w:val="0"/>
        <w:widowControl/>
        <w:suppressLineNumbers w:val="0"/>
        <w:ind w:left="0" w:right="0" w:rightChars="0" w:firstLine="640" w:firstLineChars="200"/>
        <w:jc w:val="both"/>
        <w:rPr>
          <w:rFonts w:hint="eastAsia" w:ascii="黑体" w:hAnsi="宋体" w:eastAsia="黑体" w:cs="黑体"/>
          <w:kern w:val="0"/>
          <w:sz w:val="32"/>
          <w:szCs w:val="32"/>
          <w:shd w:val="clear" w:fill="FFFFFF"/>
        </w:rPr>
      </w:pPr>
      <w:bookmarkStart w:id="33" w:name="_Toc256000080"/>
      <w:bookmarkStart w:id="34" w:name="_Toc256000049"/>
      <w:bookmarkStart w:id="35" w:name="_Toc256000018"/>
      <w:bookmarkStart w:id="36" w:name="_Toc256000111"/>
      <w:r>
        <w:rPr>
          <w:rFonts w:hint="eastAsia" w:ascii="黑体" w:hAnsi="宋体" w:eastAsia="黑体" w:cs="黑体"/>
          <w:kern w:val="0"/>
          <w:sz w:val="32"/>
          <w:szCs w:val="32"/>
          <w:shd w:val="clear" w:fill="FFFFFF"/>
        </w:rPr>
        <w:t>一、收入支出决算总体情况说明</w:t>
      </w:r>
      <w:bookmarkEnd w:id="33"/>
      <w:bookmarkEnd w:id="34"/>
      <w:bookmarkEnd w:id="35"/>
      <w:bookmarkEnd w:id="36"/>
    </w:p>
    <w:p>
      <w:pPr>
        <w:pStyle w:val="29"/>
        <w:widowControl/>
        <w:spacing w:before="240" w:after="240" w:line="600" w:lineRule="atLeast"/>
        <w:ind w:firstLine="640"/>
        <w:jc w:val="both"/>
        <w:rPr>
          <w:rFonts w:hint="eastAsia" w:ascii="仿宋" w:hAnsi="仿宋" w:eastAsia="仿宋" w:cs="仿宋"/>
          <w:b/>
          <w:bCs/>
          <w:kern w:val="0"/>
          <w:sz w:val="32"/>
          <w:szCs w:val="32"/>
        </w:rPr>
      </w:pPr>
      <w:r>
        <w:rPr>
          <w:rFonts w:hint="eastAsia" w:ascii="仿宋" w:hAnsi="仿宋" w:eastAsia="仿宋" w:cs="仿宋"/>
          <w:b/>
          <w:bCs/>
          <w:kern w:val="0"/>
          <w:sz w:val="32"/>
          <w:szCs w:val="32"/>
        </w:rPr>
        <w:t>（一）收入支出决算总体情况说明</w:t>
      </w:r>
    </w:p>
    <w:p>
      <w:pPr>
        <w:pStyle w:val="29"/>
        <w:widowControl/>
        <w:spacing w:before="240" w:after="240" w:line="600" w:lineRule="atLeast"/>
        <w:ind w:firstLine="64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2024年度本单位收入总计1480.95万元，支出总计1480.95万元，与上年决算数相比，各增加192.48万元，各增长14.94%。主要是</w:t>
      </w:r>
      <w:r>
        <w:rPr>
          <w:rFonts w:hint="eastAsia" w:ascii="仿宋" w:hAnsi="仿宋" w:eastAsia="仿宋" w:cs="仿宋"/>
          <w:kern w:val="0"/>
          <w:sz w:val="32"/>
          <w:szCs w:val="32"/>
          <w:lang w:val="en-US" w:eastAsia="zh-CN"/>
        </w:rPr>
        <w:t>采购多功能教室设备和校园文化提升设施，修缮卫生间和中庭改造。</w:t>
      </w:r>
    </w:p>
    <w:p>
      <w:pPr>
        <w:pStyle w:val="29"/>
        <w:widowControl/>
        <w:spacing w:before="240" w:after="240" w:line="600" w:lineRule="atLeast"/>
        <w:ind w:firstLine="640"/>
        <w:jc w:val="both"/>
        <w:rPr>
          <w:rFonts w:hint="eastAsia" w:ascii="仿宋" w:hAnsi="仿宋" w:eastAsia="仿宋" w:cs="仿宋"/>
          <w:b/>
          <w:bCs/>
          <w:kern w:val="0"/>
          <w:sz w:val="32"/>
          <w:szCs w:val="32"/>
        </w:rPr>
      </w:pPr>
      <w:r>
        <w:rPr>
          <w:rFonts w:hint="eastAsia" w:ascii="仿宋" w:hAnsi="仿宋" w:eastAsia="仿宋" w:cs="仿宋"/>
          <w:b/>
          <w:bCs/>
          <w:kern w:val="0"/>
          <w:sz w:val="32"/>
          <w:szCs w:val="32"/>
        </w:rPr>
        <w:t>（二）收入决算情况说明</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2024年度收入1480.95万元，比上年决算数增加192.48万元，增长14.94%，具体情况如下：</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1.一般公共预算财政拨款收入1475.73万元。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2.政府性基金预算财政拨款收入5.22万元。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3.国有资本经营预算财政拨款收入0万元。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4.上级补助收入0万元。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5.事业收入0万元。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6.经营收入0万元。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7.附属单位上缴收入0万元。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8.其他收入0万元。</w:t>
      </w:r>
    </w:p>
    <w:p>
      <w:pPr>
        <w:pStyle w:val="29"/>
        <w:widowControl/>
        <w:spacing w:before="240" w:after="240" w:line="600" w:lineRule="atLeast"/>
        <w:ind w:firstLine="640"/>
        <w:jc w:val="both"/>
        <w:rPr>
          <w:rFonts w:hint="eastAsia" w:ascii="仿宋" w:hAnsi="仿宋" w:eastAsia="仿宋" w:cs="仿宋"/>
          <w:b/>
          <w:bCs/>
          <w:kern w:val="0"/>
          <w:sz w:val="32"/>
          <w:szCs w:val="32"/>
        </w:rPr>
      </w:pPr>
      <w:r>
        <w:rPr>
          <w:rFonts w:hint="eastAsia" w:ascii="仿宋" w:hAnsi="仿宋" w:eastAsia="仿宋" w:cs="仿宋"/>
          <w:b/>
          <w:bCs/>
          <w:kern w:val="0"/>
          <w:sz w:val="32"/>
          <w:szCs w:val="32"/>
        </w:rPr>
        <w:t>（三）支出决算情况说明</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2024年度支出1480.95万元，比上年决算数增加192.48万元，增长14.94%，具体情况如下：</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1.基本支出1208.28万元。其中，人员支出1097.87万元，公用支出110.41万元。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2.项目支出272.67万元。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3.上缴上级支出0万元。</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4.经营支出0万元。</w:t>
      </w:r>
    </w:p>
    <w:p>
      <w:pPr>
        <w:pStyle w:val="29"/>
        <w:widowControl/>
        <w:spacing w:before="240" w:after="240" w:line="600" w:lineRule="atLeast"/>
        <w:ind w:firstLine="640"/>
        <w:jc w:val="both"/>
        <w:rPr>
          <w:rFonts w:hint="eastAsia" w:ascii="黑体" w:hAnsi="宋体" w:eastAsia="黑体" w:cs="黑体"/>
          <w:kern w:val="0"/>
          <w:sz w:val="32"/>
          <w:szCs w:val="32"/>
          <w:shd w:val="clear" w:fill="FFFFFF"/>
          <w:lang w:val="en-US" w:eastAsia="zh-CN" w:bidi="ar"/>
        </w:rPr>
      </w:pPr>
      <w:r>
        <w:rPr>
          <w:rFonts w:hint="eastAsia" w:ascii="仿宋" w:hAnsi="仿宋" w:eastAsia="仿宋" w:cs="仿宋"/>
          <w:kern w:val="0"/>
          <w:sz w:val="32"/>
          <w:szCs w:val="32"/>
        </w:rPr>
        <w:t>5.对附属单位补助支出0万元。</w:t>
      </w:r>
    </w:p>
    <w:p>
      <w:pPr>
        <w:pStyle w:val="6"/>
        <w:keepNext w:val="0"/>
        <w:keepLines w:val="0"/>
        <w:spacing w:before="100" w:after="100" w:line="240" w:lineRule="auto"/>
        <w:ind w:left="0" w:right="0" w:firstLine="480" w:firstLineChars="0"/>
        <w:jc w:val="both"/>
        <w:rPr>
          <w:rFonts w:hint="eastAsia" w:ascii="黑体" w:hAnsi="宋体" w:eastAsia="黑体" w:cs="黑体"/>
          <w:b/>
          <w:bCs w:val="0"/>
          <w:kern w:val="0"/>
          <w:sz w:val="32"/>
          <w:szCs w:val="32"/>
          <w:shd w:val="clear" w:fill="FFFFFF"/>
          <w:lang w:val="en-US" w:eastAsia="zh-CN" w:bidi="ar"/>
        </w:rPr>
      </w:pPr>
      <w:bookmarkStart w:id="37" w:name="_Toc256000081"/>
      <w:bookmarkStart w:id="38" w:name="_Toc256000112"/>
      <w:bookmarkStart w:id="39" w:name="_Toc256000050"/>
      <w:bookmarkStart w:id="40" w:name="_Toc256000019"/>
      <w:r>
        <w:rPr>
          <w:rFonts w:hint="eastAsia" w:ascii="黑体" w:hAnsi="宋体" w:eastAsia="黑体" w:cs="黑体"/>
          <w:b/>
          <w:bCs w:val="0"/>
          <w:kern w:val="0"/>
          <w:sz w:val="32"/>
          <w:szCs w:val="32"/>
          <w:shd w:val="clear" w:fill="FFFFFF"/>
          <w:lang w:val="en-US" w:eastAsia="zh-CN" w:bidi="ar"/>
        </w:rPr>
        <w:t>二、财政拨款收入支出决算总体情况说明</w:t>
      </w:r>
      <w:bookmarkEnd w:id="37"/>
      <w:bookmarkEnd w:id="38"/>
      <w:bookmarkEnd w:id="39"/>
      <w:bookmarkEnd w:id="40"/>
    </w:p>
    <w:p>
      <w:pPr>
        <w:pStyle w:val="29"/>
        <w:widowControl/>
        <w:spacing w:before="240" w:after="240" w:line="600" w:lineRule="atLeast"/>
        <w:ind w:firstLine="640"/>
        <w:jc w:val="both"/>
        <w:rPr>
          <w:rFonts w:hint="eastAsia" w:ascii="仿宋" w:hAnsi="仿宋" w:eastAsia="仿宋" w:cs="仿宋"/>
          <w:kern w:val="0"/>
          <w:sz w:val="32"/>
          <w:szCs w:val="32"/>
          <w:lang w:eastAsia="zh-CN"/>
        </w:rPr>
      </w:pPr>
      <w:r>
        <w:rPr>
          <w:rFonts w:hint="eastAsia" w:ascii="仿宋" w:hAnsi="仿宋" w:eastAsia="仿宋" w:cs="仿宋"/>
          <w:kern w:val="0"/>
          <w:sz w:val="32"/>
          <w:szCs w:val="32"/>
        </w:rPr>
        <w:t>2024年度财政拨款收入总计1480.95万元，支出总计1480.95万元，与上年决算数相比，各增加192.48万元，增长14.94%，主要是：</w:t>
      </w:r>
      <w:r>
        <w:rPr>
          <w:rFonts w:hint="eastAsia" w:ascii="仿宋" w:hAnsi="仿宋" w:eastAsia="仿宋" w:cs="仿宋"/>
          <w:kern w:val="0"/>
          <w:sz w:val="32"/>
          <w:szCs w:val="32"/>
          <w:lang w:val="en-US" w:eastAsia="zh-CN"/>
        </w:rPr>
        <w:t>采购多功能教室设备和校园文化提升设施，修缮卫生间和中庭改造。</w:t>
      </w:r>
    </w:p>
    <w:p>
      <w:pPr>
        <w:pStyle w:val="6"/>
        <w:keepNext w:val="0"/>
        <w:keepLines w:val="0"/>
        <w:spacing w:before="100" w:after="100" w:line="240" w:lineRule="auto"/>
        <w:ind w:left="0" w:right="0" w:firstLine="480" w:firstLineChars="0"/>
        <w:jc w:val="both"/>
        <w:rPr>
          <w:rFonts w:hint="eastAsia" w:ascii="黑体" w:hAnsi="宋体" w:eastAsia="黑体" w:cs="黑体"/>
          <w:b/>
          <w:bCs w:val="0"/>
          <w:kern w:val="0"/>
          <w:sz w:val="32"/>
          <w:szCs w:val="32"/>
          <w:shd w:val="clear" w:fill="FFFFFF"/>
          <w:lang w:val="en-US" w:eastAsia="zh-CN" w:bidi="ar"/>
        </w:rPr>
      </w:pPr>
      <w:bookmarkStart w:id="41" w:name="_Toc256000020"/>
      <w:bookmarkStart w:id="42" w:name="_Toc256000082"/>
      <w:bookmarkStart w:id="43" w:name="_Toc256000113"/>
      <w:bookmarkStart w:id="44" w:name="_Toc256000051"/>
      <w:r>
        <w:rPr>
          <w:rFonts w:hint="eastAsia" w:ascii="黑体" w:hAnsi="宋体" w:eastAsia="黑体" w:cs="黑体"/>
          <w:b/>
          <w:bCs w:val="0"/>
          <w:kern w:val="0"/>
          <w:sz w:val="32"/>
          <w:szCs w:val="32"/>
          <w:shd w:val="clear" w:fill="FFFFFF"/>
          <w:lang w:val="en-US" w:eastAsia="zh-CN" w:bidi="ar"/>
        </w:rPr>
        <w:t>三、一般公共预算拨款支出决算情况说明</w:t>
      </w:r>
      <w:bookmarkEnd w:id="41"/>
      <w:bookmarkEnd w:id="42"/>
      <w:bookmarkEnd w:id="43"/>
      <w:bookmarkEnd w:id="44"/>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2024年一般公共预算支出1475.73万元，比上年决算数增加201.23万元，增长15.79%，具体情况如下(按项级科目分类统计)：</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（一）2050202 小学教育966.93万元，较上年决算数增加11.37万元，增长1.19%。主要原因是</w:t>
      </w:r>
      <w:r>
        <w:rPr>
          <w:rFonts w:hint="eastAsia" w:ascii="仿宋" w:hAnsi="仿宋" w:eastAsia="仿宋" w:cs="仿宋"/>
          <w:kern w:val="0"/>
          <w:sz w:val="32"/>
          <w:szCs w:val="32"/>
          <w:lang w:val="en-US" w:eastAsia="zh-CN"/>
        </w:rPr>
        <w:t>人员未变动，与上年基本持平。</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（二）2050299 其他普通教育支出117.35万元，较上年决算数增加20.39万元，增长21.03%。</w:t>
      </w:r>
      <w:r>
        <w:rPr>
          <w:rFonts w:hint="eastAsia" w:ascii="仿宋" w:hAnsi="仿宋" w:eastAsia="仿宋" w:cs="仿宋"/>
          <w:spacing w:val="0"/>
          <w:kern w:val="0"/>
          <w:sz w:val="32"/>
          <w:szCs w:val="32"/>
        </w:rPr>
        <w:t>主要</w:t>
      </w:r>
      <w:r>
        <w:rPr>
          <w:rFonts w:hint="eastAsia" w:ascii="仿宋" w:hAnsi="仿宋" w:eastAsia="仿宋" w:cs="仿宋"/>
          <w:kern w:val="0"/>
          <w:sz w:val="32"/>
          <w:szCs w:val="32"/>
        </w:rPr>
        <w:t>原因</w:t>
      </w:r>
      <w:r>
        <w:rPr>
          <w:rFonts w:hint="eastAsia" w:ascii="仿宋" w:hAnsi="仿宋" w:eastAsia="仿宋" w:cs="仿宋"/>
          <w:kern w:val="0"/>
          <w:sz w:val="32"/>
          <w:szCs w:val="32"/>
          <w:lang w:eastAsia="zh-CN"/>
        </w:rPr>
        <w:t>是</w:t>
      </w:r>
      <w:r>
        <w:rPr>
          <w:rFonts w:hint="eastAsia" w:ascii="仿宋" w:hAnsi="仿宋" w:eastAsia="仿宋" w:cs="仿宋"/>
          <w:kern w:val="0"/>
          <w:sz w:val="32"/>
          <w:szCs w:val="32"/>
          <w:lang w:val="en-US" w:eastAsia="zh-CN"/>
        </w:rPr>
        <w:t>新增教师招聘专项</w:t>
      </w:r>
      <w:r>
        <w:rPr>
          <w:rFonts w:hint="eastAsia" w:ascii="仿宋" w:hAnsi="仿宋" w:eastAsia="仿宋" w:cs="仿宋"/>
          <w:color w:val="auto"/>
          <w:kern w:val="0"/>
          <w:sz w:val="32"/>
          <w:szCs w:val="32"/>
          <w:lang w:val="en-US" w:eastAsia="zh-CN"/>
        </w:rPr>
        <w:t>经费</w:t>
      </w:r>
      <w:r>
        <w:rPr>
          <w:rFonts w:hint="eastAsia" w:ascii="仿宋" w:hAnsi="仿宋" w:eastAsia="仿宋" w:cs="仿宋"/>
          <w:kern w:val="0"/>
          <w:sz w:val="32"/>
          <w:szCs w:val="32"/>
          <w:lang w:val="en-US" w:eastAsia="zh-CN"/>
        </w:rPr>
        <w:t>支出等</w:t>
      </w:r>
      <w:r>
        <w:rPr>
          <w:rFonts w:hint="eastAsia" w:ascii="仿宋" w:hAnsi="仿宋" w:eastAsia="仿宋" w:cs="仿宋"/>
          <w:kern w:val="0"/>
          <w:sz w:val="32"/>
          <w:szCs w:val="32"/>
        </w:rPr>
        <w:t>。</w:t>
      </w:r>
      <w:r>
        <w:rPr>
          <w:rFonts w:hint="eastAsia" w:ascii="仿宋" w:hAnsi="仿宋" w:eastAsia="仿宋" w:cs="仿宋"/>
          <w:kern w:val="0"/>
          <w:sz w:val="32"/>
          <w:szCs w:val="32"/>
        </w:rPr>
        <w:br w:type="textWrapping"/>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（三）2050999 其他教育费附加安排的支出174.18万元，较上年决算数增加162.68万元，增长1414.56%。主要原因是</w:t>
      </w:r>
      <w:r>
        <w:rPr>
          <w:rFonts w:hint="eastAsia" w:ascii="仿宋" w:hAnsi="仿宋" w:eastAsia="仿宋" w:cs="仿宋"/>
          <w:kern w:val="0"/>
          <w:sz w:val="32"/>
          <w:szCs w:val="32"/>
          <w:lang w:val="en-US" w:eastAsia="zh-CN"/>
        </w:rPr>
        <w:t>采购多功能教室设备和校园文化提升设施，修缮卫生间和中庭改造。</w:t>
      </w:r>
      <w:r>
        <w:rPr>
          <w:rFonts w:hint="eastAsia" w:ascii="仿宋" w:hAnsi="仿宋" w:eastAsia="仿宋" w:cs="仿宋"/>
          <w:kern w:val="0"/>
          <w:sz w:val="32"/>
          <w:szCs w:val="32"/>
        </w:rPr>
        <w:br w:type="textWrapping"/>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shd w:val="clear" w:fill="FFFFFF" w:themeFill="background1"/>
        </w:rPr>
        <w:t>（四）20805</w:t>
      </w:r>
      <w:r>
        <w:rPr>
          <w:rFonts w:hint="eastAsia" w:ascii="仿宋" w:hAnsi="仿宋" w:eastAsia="仿宋" w:cs="仿宋"/>
          <w:kern w:val="0"/>
          <w:sz w:val="32"/>
          <w:szCs w:val="32"/>
        </w:rPr>
        <w:t>02 事业单位离退休46.09万元，较上年决算数增加2.14万元，增长4.87%。主要原因是</w:t>
      </w:r>
      <w:r>
        <w:rPr>
          <w:rFonts w:hint="eastAsia" w:ascii="仿宋" w:hAnsi="仿宋" w:eastAsia="仿宋" w:cs="仿宋"/>
          <w:kern w:val="0"/>
          <w:sz w:val="32"/>
          <w:szCs w:val="32"/>
          <w:lang w:eastAsia="zh-CN"/>
        </w:rPr>
        <w:t>退休教师一次性补缴社保等。</w:t>
      </w:r>
    </w:p>
    <w:p>
      <w:pPr>
        <w:pStyle w:val="29"/>
        <w:keepNext w:val="0"/>
        <w:keepLines w:val="0"/>
        <w:pageBreakBefore w:val="0"/>
        <w:widowControl/>
        <w:kinsoku/>
        <w:wordWrap/>
        <w:overflowPunct/>
        <w:topLinePunct w:val="0"/>
        <w:autoSpaceDE/>
        <w:autoSpaceDN/>
        <w:bidi w:val="0"/>
        <w:adjustRightInd/>
        <w:snapToGrid/>
        <w:spacing w:before="240" w:after="240" w:line="520" w:lineRule="exact"/>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（五）2080505 机关事业单位基本养老保险缴费支出73.98万元，较上年决算数增加0.20万元，增长0.28%。主要原因是</w:t>
      </w:r>
      <w:r>
        <w:rPr>
          <w:rFonts w:hint="eastAsia" w:ascii="仿宋" w:hAnsi="仿宋" w:eastAsia="仿宋" w:cs="仿宋"/>
          <w:kern w:val="0"/>
          <w:sz w:val="32"/>
          <w:szCs w:val="32"/>
          <w:lang w:eastAsia="zh-CN"/>
        </w:rPr>
        <w:t>人员未变动，与上年基本持来。</w:t>
      </w:r>
      <w:r>
        <w:rPr>
          <w:rFonts w:hint="eastAsia" w:ascii="仿宋" w:hAnsi="仿宋" w:eastAsia="仿宋" w:cs="仿宋"/>
          <w:kern w:val="0"/>
          <w:sz w:val="32"/>
          <w:szCs w:val="32"/>
        </w:rPr>
        <w:br w:type="textWrapping"/>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shd w:val="clear" w:fill="FFFFFF" w:themeFill="background1"/>
        </w:rPr>
        <w:t xml:space="preserve">（六）2080506 </w:t>
      </w:r>
      <w:r>
        <w:rPr>
          <w:rFonts w:hint="eastAsia" w:ascii="仿宋" w:hAnsi="仿宋" w:eastAsia="仿宋" w:cs="仿宋"/>
          <w:kern w:val="0"/>
          <w:sz w:val="32"/>
          <w:szCs w:val="32"/>
        </w:rPr>
        <w:t>机关事业单位职业年金缴费支出36.99万元，较上年决算数减少8.02万元，下降17.82%。主要原因是退休教师职业年金</w:t>
      </w:r>
      <w:r>
        <w:rPr>
          <w:rFonts w:hint="eastAsia" w:ascii="仿宋" w:hAnsi="仿宋" w:eastAsia="仿宋" w:cs="仿宋"/>
          <w:kern w:val="0"/>
          <w:sz w:val="32"/>
          <w:szCs w:val="32"/>
          <w:lang w:eastAsia="zh-CN"/>
        </w:rPr>
        <w:t>补</w:t>
      </w:r>
      <w:r>
        <w:rPr>
          <w:rFonts w:hint="eastAsia" w:ascii="仿宋" w:hAnsi="仿宋" w:eastAsia="仿宋" w:cs="仿宋"/>
          <w:kern w:val="0"/>
          <w:sz w:val="32"/>
          <w:szCs w:val="32"/>
        </w:rPr>
        <w:t>缴</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br w:type="textWrapping"/>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（七）2101102 事业单位医疗31.67万元，较上年决算数增加0.09万元，增长0.28%。</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缴费基数增加</w:t>
      </w:r>
      <w:r>
        <w:rPr>
          <w:rFonts w:hint="eastAsia" w:ascii="仿宋" w:hAnsi="仿宋" w:eastAsia="仿宋" w:cs="仿宋"/>
          <w:kern w:val="0"/>
          <w:sz w:val="32"/>
          <w:szCs w:val="32"/>
          <w:lang w:val="en-US" w:eastAsia="zh-CN"/>
        </w:rPr>
        <w:t>。</w:t>
      </w:r>
      <w:r>
        <w:rPr>
          <w:rFonts w:hint="eastAsia" w:ascii="仿宋" w:hAnsi="仿宋" w:eastAsia="仿宋" w:cs="仿宋"/>
          <w:color w:val="FF0000"/>
          <w:kern w:val="0"/>
          <w:sz w:val="32"/>
          <w:szCs w:val="32"/>
        </w:rPr>
        <w:br w:type="textWrapping"/>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（八）2101199 其他行政事业单位医疗支出16.18万元，较上年决算数增加0.04万元，增长0.28%。</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缴费基数增加</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（九）</w:t>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kern w:val="0"/>
          <w:sz w:val="32"/>
          <w:szCs w:val="32"/>
        </w:rPr>
        <w:t>2210203 购房补贴12.35万元，较上年决算数增加12.35万元，增长100%。</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新增教师住房货币化补贴。</w:t>
      </w:r>
    </w:p>
    <w:p>
      <w:pPr>
        <w:pStyle w:val="6"/>
        <w:keepNext w:val="0"/>
        <w:keepLines w:val="0"/>
        <w:spacing w:before="100" w:after="100" w:line="240" w:lineRule="auto"/>
        <w:ind w:left="0" w:right="0" w:firstLine="480" w:firstLineChars="0"/>
        <w:jc w:val="both"/>
        <w:rPr>
          <w:rFonts w:hint="eastAsia" w:ascii="黑体" w:hAnsi="宋体" w:eastAsia="黑体" w:cs="黑体"/>
          <w:b/>
          <w:bCs w:val="0"/>
          <w:kern w:val="0"/>
          <w:sz w:val="32"/>
          <w:szCs w:val="32"/>
          <w:shd w:val="clear" w:fill="FFFFFF"/>
          <w:lang w:val="en-US" w:eastAsia="zh-CN" w:bidi="ar"/>
        </w:rPr>
      </w:pPr>
      <w:bookmarkStart w:id="45" w:name="_Toc256000021"/>
      <w:bookmarkStart w:id="46" w:name="_Toc256000083"/>
      <w:bookmarkStart w:id="47" w:name="_Toc256000052"/>
      <w:bookmarkStart w:id="48" w:name="_Toc256000114"/>
      <w:r>
        <w:rPr>
          <w:rFonts w:hint="eastAsia" w:ascii="黑体" w:hAnsi="宋体" w:eastAsia="黑体" w:cs="黑体"/>
          <w:b/>
          <w:bCs w:val="0"/>
          <w:kern w:val="0"/>
          <w:sz w:val="32"/>
          <w:szCs w:val="32"/>
          <w:shd w:val="clear" w:fill="FFFFFF"/>
          <w:lang w:val="en-US" w:eastAsia="zh-CN" w:bidi="ar"/>
        </w:rPr>
        <w:t>四、政府性基金预算财政拨款支出决算情况说明</w:t>
      </w:r>
      <w:bookmarkEnd w:id="45"/>
      <w:bookmarkEnd w:id="46"/>
      <w:bookmarkEnd w:id="47"/>
      <w:bookmarkEnd w:id="48"/>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2024年度政府性基金支出5.22万元，比上年决算数减少8.75万元，下降62.62%，具体情况如下(按项级科目统计)：</w:t>
      </w:r>
    </w:p>
    <w:p>
      <w:pPr>
        <w:pStyle w:val="29"/>
        <w:widowControl/>
        <w:spacing w:before="240" w:after="240" w:line="600" w:lineRule="atLeast"/>
        <w:ind w:firstLine="640"/>
        <w:jc w:val="both"/>
        <w:rPr>
          <w:rFonts w:hint="default" w:ascii="仿宋" w:hAnsi="仿宋" w:eastAsia="仿宋" w:cs="仿宋"/>
          <w:kern w:val="0"/>
          <w:sz w:val="32"/>
          <w:szCs w:val="32"/>
          <w:lang w:val="en-US"/>
        </w:rPr>
      </w:pPr>
      <w:r>
        <w:rPr>
          <w:rFonts w:hint="eastAsia" w:ascii="仿宋" w:hAnsi="仿宋" w:eastAsia="仿宋" w:cs="仿宋"/>
          <w:kern w:val="0"/>
          <w:sz w:val="32"/>
          <w:szCs w:val="32"/>
        </w:rPr>
        <w:t>2296003 用于体育事业的彩票公益金支出5.22万元，较上年决算数减少8.75万元，下降62.62%。主要原因是</w:t>
      </w:r>
      <w:r>
        <w:rPr>
          <w:rFonts w:hint="eastAsia" w:ascii="仿宋" w:hAnsi="仿宋" w:eastAsia="仿宋" w:cs="仿宋"/>
          <w:kern w:val="0"/>
          <w:sz w:val="32"/>
          <w:szCs w:val="32"/>
          <w:lang w:val="en-US" w:eastAsia="zh-CN"/>
        </w:rPr>
        <w:t>校园体育场地对外开放经费支出减少。</w:t>
      </w:r>
    </w:p>
    <w:p>
      <w:pPr>
        <w:pStyle w:val="6"/>
        <w:keepNext w:val="0"/>
        <w:keepLines w:val="0"/>
        <w:spacing w:before="100" w:after="100" w:line="240" w:lineRule="auto"/>
        <w:ind w:left="0" w:right="0" w:firstLine="480" w:firstLineChars="0"/>
        <w:jc w:val="both"/>
        <w:rPr>
          <w:rFonts w:hint="eastAsia" w:ascii="黑体" w:hAnsi="宋体" w:eastAsia="黑体" w:cs="黑体"/>
          <w:b/>
          <w:bCs w:val="0"/>
          <w:kern w:val="0"/>
          <w:sz w:val="32"/>
          <w:szCs w:val="32"/>
          <w:shd w:val="clear" w:fill="FFFFFF"/>
          <w:lang w:val="en-US" w:eastAsia="zh-CN" w:bidi="ar"/>
        </w:rPr>
      </w:pPr>
      <w:bookmarkStart w:id="49" w:name="_Toc256000022"/>
      <w:bookmarkStart w:id="50" w:name="_Toc256000053"/>
      <w:bookmarkStart w:id="51" w:name="_Toc256000115"/>
      <w:bookmarkStart w:id="52" w:name="_Toc256000084"/>
      <w:r>
        <w:rPr>
          <w:rFonts w:hint="eastAsia" w:ascii="黑体" w:hAnsi="宋体" w:eastAsia="黑体" w:cs="黑体"/>
          <w:b/>
          <w:bCs w:val="0"/>
          <w:kern w:val="0"/>
          <w:sz w:val="32"/>
          <w:szCs w:val="32"/>
          <w:shd w:val="clear" w:fill="FFFFFF"/>
          <w:lang w:val="en-US" w:eastAsia="zh-CN" w:bidi="ar"/>
        </w:rPr>
        <w:t>五、国有资本经营预算财政拨款支出决算情况说明</w:t>
      </w:r>
      <w:bookmarkEnd w:id="49"/>
      <w:bookmarkEnd w:id="50"/>
      <w:bookmarkEnd w:id="51"/>
      <w:bookmarkEnd w:id="52"/>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kern w:val="0"/>
          <w:sz w:val="32"/>
          <w:szCs w:val="32"/>
          <w:lang w:eastAsia="zh-CN"/>
        </w:rPr>
      </w:pPr>
      <w:r>
        <w:rPr>
          <w:rFonts w:ascii="仿宋" w:hAnsi="仿宋" w:eastAsia="仿宋" w:cs="仿宋"/>
          <w:spacing w:val="0"/>
          <w:kern w:val="0"/>
          <w:sz w:val="32"/>
          <w:szCs w:val="32"/>
        </w:rPr>
        <w:t>本单位2024年度没有使用国有资本经营预算财政拨款安排的支出。</w:t>
      </w:r>
    </w:p>
    <w:p>
      <w:pPr>
        <w:pStyle w:val="6"/>
        <w:keepNext w:val="0"/>
        <w:keepLines w:val="0"/>
        <w:spacing w:before="100" w:after="100" w:line="240" w:lineRule="auto"/>
        <w:ind w:left="0" w:right="0" w:firstLine="480" w:firstLineChars="0"/>
        <w:jc w:val="both"/>
        <w:rPr>
          <w:rFonts w:hint="eastAsia" w:ascii="黑体" w:hAnsi="宋体" w:eastAsia="黑体" w:cs="黑体"/>
          <w:b/>
          <w:bCs w:val="0"/>
          <w:kern w:val="0"/>
          <w:sz w:val="32"/>
          <w:szCs w:val="32"/>
          <w:shd w:val="clear" w:fill="FFFFFF"/>
          <w:lang w:val="en-US" w:eastAsia="zh-CN" w:bidi="ar"/>
        </w:rPr>
      </w:pPr>
      <w:bookmarkStart w:id="53" w:name="_Toc256000023"/>
      <w:bookmarkStart w:id="54" w:name="_Toc256000085"/>
      <w:bookmarkStart w:id="55" w:name="_Toc256000116"/>
      <w:bookmarkStart w:id="56" w:name="_Toc256000054"/>
      <w:r>
        <w:rPr>
          <w:rFonts w:hint="eastAsia" w:ascii="黑体" w:hAnsi="宋体" w:eastAsia="黑体" w:cs="黑体"/>
          <w:b/>
          <w:bCs w:val="0"/>
          <w:kern w:val="0"/>
          <w:sz w:val="32"/>
          <w:szCs w:val="32"/>
          <w:shd w:val="clear" w:fill="FFFFFF"/>
          <w:lang w:val="en-US" w:eastAsia="zh-CN" w:bidi="ar"/>
        </w:rPr>
        <w:t>六、一般公共预算财政拨款基本支出决算情况说明</w:t>
      </w:r>
      <w:bookmarkEnd w:id="53"/>
      <w:bookmarkEnd w:id="54"/>
      <w:bookmarkEnd w:id="55"/>
      <w:bookmarkEnd w:id="56"/>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2024年度一般公共预算财政拨款基本支出1208.28万元，其中：</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一）人员经费1097.87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二）公用经费110.41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240" w:lineRule="auto"/>
        <w:ind w:left="0" w:right="0" w:firstLine="480" w:firstLineChars="0"/>
        <w:jc w:val="both"/>
        <w:rPr>
          <w:rFonts w:hint="eastAsia" w:ascii="黑体" w:hAnsi="宋体" w:eastAsia="黑体" w:cs="黑体"/>
          <w:b/>
          <w:bCs w:val="0"/>
          <w:kern w:val="0"/>
          <w:sz w:val="32"/>
          <w:szCs w:val="32"/>
          <w:shd w:val="clear" w:fill="FFFFFF"/>
          <w:lang w:val="en-US" w:eastAsia="zh-CN" w:bidi="ar"/>
        </w:rPr>
      </w:pPr>
      <w:bookmarkStart w:id="57" w:name="_Toc256000086"/>
      <w:bookmarkStart w:id="58" w:name="_Toc256000117"/>
      <w:bookmarkStart w:id="59" w:name="_Toc256000055"/>
      <w:bookmarkStart w:id="60" w:name="_Toc256000024"/>
      <w:r>
        <w:rPr>
          <w:rFonts w:hint="eastAsia" w:ascii="黑体" w:hAnsi="宋体" w:eastAsia="黑体" w:cs="黑体"/>
          <w:b/>
          <w:bCs w:val="0"/>
          <w:kern w:val="0"/>
          <w:sz w:val="32"/>
          <w:szCs w:val="32"/>
          <w:shd w:val="clear" w:fill="FFFFFF"/>
          <w:lang w:val="en-US" w:eastAsia="zh-CN" w:bidi="ar"/>
        </w:rPr>
        <w:t>七、一般公共预算拨款“三公”经费支出决算情况说明</w:t>
      </w:r>
      <w:bookmarkEnd w:id="57"/>
      <w:bookmarkEnd w:id="58"/>
      <w:bookmarkEnd w:id="59"/>
      <w:bookmarkEnd w:id="60"/>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2024年度一般公共预算拨款“三公”经费支出0万元，完成全年预算的 0%；较上年增加0万元，增长0%。主要原因是</w:t>
      </w:r>
      <w:r>
        <w:rPr>
          <w:rFonts w:hint="eastAsia" w:ascii="仿宋" w:hAnsi="仿宋" w:eastAsia="仿宋" w:cs="仿宋"/>
          <w:kern w:val="0"/>
          <w:sz w:val="32"/>
          <w:szCs w:val="32"/>
          <w:lang w:val="en-US" w:eastAsia="zh-CN"/>
        </w:rPr>
        <w:t>本单位没有使用</w:t>
      </w:r>
      <w:r>
        <w:rPr>
          <w:rFonts w:hint="eastAsia" w:ascii="仿宋" w:hAnsi="仿宋" w:eastAsia="仿宋" w:cs="仿宋"/>
          <w:kern w:val="0"/>
          <w:sz w:val="32"/>
          <w:szCs w:val="32"/>
        </w:rPr>
        <w:t>“三公”经费支出。具体情况如下：</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（一）因公出国（境）费支出0万元，完成全年预算的 0%；较上年增加0万元，增长0%。全年安排本单位组织的出国团组0 个，参加其他单位出国团组个；全年因公出国（境）累计0人次。主要是</w:t>
      </w:r>
      <w:r>
        <w:rPr>
          <w:rFonts w:hint="eastAsia" w:ascii="仿宋" w:hAnsi="仿宋" w:eastAsia="仿宋" w:cs="仿宋"/>
          <w:kern w:val="0"/>
          <w:sz w:val="32"/>
          <w:szCs w:val="32"/>
          <w:lang w:val="en-US" w:eastAsia="zh-CN"/>
        </w:rPr>
        <w:t>本单位没有组织</w:t>
      </w:r>
      <w:r>
        <w:rPr>
          <w:rFonts w:hint="eastAsia" w:ascii="仿宋" w:hAnsi="仿宋" w:eastAsia="仿宋" w:cs="仿宋"/>
          <w:kern w:val="0"/>
          <w:sz w:val="32"/>
          <w:szCs w:val="32"/>
        </w:rPr>
        <w:t>出国组</w:t>
      </w:r>
      <w:r>
        <w:rPr>
          <w:rFonts w:hint="eastAsia" w:ascii="仿宋" w:hAnsi="仿宋" w:eastAsia="仿宋" w:cs="仿宋"/>
          <w:kern w:val="0"/>
          <w:sz w:val="32"/>
          <w:szCs w:val="32"/>
          <w:lang w:val="en-US" w:eastAsia="zh-CN"/>
        </w:rPr>
        <w:t>团及参加其他单位</w:t>
      </w:r>
      <w:r>
        <w:rPr>
          <w:rFonts w:hint="eastAsia" w:ascii="仿宋" w:hAnsi="仿宋" w:eastAsia="仿宋" w:cs="仿宋"/>
          <w:kern w:val="0"/>
          <w:sz w:val="32"/>
          <w:szCs w:val="32"/>
        </w:rPr>
        <w:t>出国组</w:t>
      </w:r>
      <w:r>
        <w:rPr>
          <w:rFonts w:hint="eastAsia" w:ascii="仿宋" w:hAnsi="仿宋" w:eastAsia="仿宋" w:cs="仿宋"/>
          <w:kern w:val="0"/>
          <w:sz w:val="32"/>
          <w:szCs w:val="32"/>
          <w:lang w:val="en-US" w:eastAsia="zh-CN"/>
        </w:rPr>
        <w:t>团。</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（二）公务用车购置及运行费支出0万元，完成全年预算的0%；较上年增加0万元，增长0%。</w:t>
      </w:r>
      <w:r>
        <w:rPr>
          <w:rFonts w:hint="eastAsia" w:ascii="仿宋" w:hAnsi="仿宋" w:eastAsia="仿宋" w:cs="仿宋"/>
          <w:color w:val="auto"/>
          <w:kern w:val="0"/>
          <w:sz w:val="32"/>
          <w:szCs w:val="32"/>
          <w:shd w:val="clear" w:color="auto" w:fill="FFFFFF"/>
        </w:rPr>
        <w:t>主要是</w:t>
      </w:r>
      <w:r>
        <w:rPr>
          <w:rFonts w:hint="eastAsia" w:ascii="仿宋" w:hAnsi="仿宋" w:eastAsia="仿宋" w:cs="仿宋"/>
          <w:color w:val="auto"/>
          <w:kern w:val="0"/>
          <w:sz w:val="32"/>
          <w:szCs w:val="32"/>
          <w:lang w:val="en-US" w:eastAsia="zh-CN" w:bidi="ar"/>
        </w:rPr>
        <w:t>本单位没有购置</w:t>
      </w:r>
      <w:r>
        <w:rPr>
          <w:rFonts w:hint="default" w:ascii="仿宋" w:hAnsi="仿宋" w:eastAsia="仿宋" w:cs="仿宋"/>
          <w:color w:val="auto"/>
          <w:kern w:val="0"/>
          <w:sz w:val="32"/>
          <w:szCs w:val="32"/>
          <w:lang w:val="en-US" w:eastAsia="zh-CN" w:bidi="ar"/>
        </w:rPr>
        <w:t>公务用车及运行维护费支出。</w:t>
      </w:r>
      <w:r>
        <w:rPr>
          <w:rFonts w:hint="eastAsia" w:ascii="仿宋" w:hAnsi="仿宋" w:eastAsia="仿宋" w:cs="仿宋"/>
          <w:kern w:val="0"/>
          <w:sz w:val="32"/>
          <w:szCs w:val="32"/>
        </w:rPr>
        <w:t>其中：</w:t>
      </w:r>
    </w:p>
    <w:p>
      <w:pPr>
        <w:pStyle w:val="29"/>
        <w:widowControl/>
        <w:spacing w:before="240" w:after="240" w:line="600" w:lineRule="atLeast"/>
        <w:ind w:firstLine="640"/>
        <w:jc w:val="both"/>
        <w:rPr>
          <w:rFonts w:hint="eastAsia" w:ascii="仿宋" w:hAnsi="仿宋" w:eastAsia="仿宋" w:cs="仿宋"/>
          <w:kern w:val="0"/>
          <w:sz w:val="32"/>
          <w:szCs w:val="32"/>
          <w:lang w:eastAsia="zh-CN"/>
        </w:rPr>
      </w:pPr>
      <w:r>
        <w:rPr>
          <w:rFonts w:hint="eastAsia" w:ascii="仿宋" w:hAnsi="仿宋" w:eastAsia="仿宋" w:cs="仿宋"/>
          <w:kern w:val="0"/>
          <w:sz w:val="32"/>
          <w:szCs w:val="32"/>
        </w:rPr>
        <w:t>公务用车购置费支出0万元，完成全年预算的0%；较上年增加0万元，增长0%。2024年公务用车购置0辆，主要是</w:t>
      </w:r>
      <w:r>
        <w:rPr>
          <w:rFonts w:hint="eastAsia" w:ascii="仿宋" w:hAnsi="仿宋" w:eastAsia="仿宋" w:cs="仿宋"/>
          <w:kern w:val="0"/>
          <w:sz w:val="32"/>
          <w:szCs w:val="32"/>
          <w:lang w:val="en-US" w:eastAsia="zh-CN"/>
        </w:rPr>
        <w:t>本单位没有购置</w:t>
      </w:r>
      <w:r>
        <w:rPr>
          <w:rFonts w:hint="eastAsia" w:ascii="仿宋" w:hAnsi="仿宋" w:eastAsia="仿宋" w:cs="仿宋"/>
          <w:kern w:val="0"/>
          <w:sz w:val="32"/>
          <w:szCs w:val="32"/>
        </w:rPr>
        <w:t>公务用车</w:t>
      </w:r>
      <w:r>
        <w:rPr>
          <w:rFonts w:hint="eastAsia" w:ascii="仿宋" w:hAnsi="仿宋" w:eastAsia="仿宋" w:cs="仿宋"/>
          <w:kern w:val="0"/>
          <w:sz w:val="32"/>
          <w:szCs w:val="32"/>
          <w:lang w:eastAsia="zh-CN"/>
        </w:rPr>
        <w:t>。</w:t>
      </w:r>
    </w:p>
    <w:p>
      <w:pPr>
        <w:pStyle w:val="29"/>
        <w:widowControl/>
        <w:spacing w:before="240" w:after="240" w:line="600" w:lineRule="atLeast"/>
        <w:ind w:firstLine="640"/>
        <w:jc w:val="both"/>
        <w:rPr>
          <w:rFonts w:hint="eastAsia" w:ascii="仿宋" w:hAnsi="仿宋" w:eastAsia="仿宋" w:cs="仿宋"/>
          <w:kern w:val="0"/>
          <w:sz w:val="32"/>
          <w:szCs w:val="32"/>
        </w:rPr>
      </w:pPr>
      <w:r>
        <w:rPr>
          <w:rFonts w:hint="eastAsia" w:ascii="仿宋" w:hAnsi="仿宋" w:eastAsia="仿宋" w:cs="仿宋"/>
          <w:kern w:val="0"/>
          <w:sz w:val="32"/>
          <w:szCs w:val="32"/>
        </w:rPr>
        <w:t>公务用车运行费支出0万元，完成全年预算的0%；较上年增加0万元，增长0%。主要是</w:t>
      </w:r>
      <w:r>
        <w:rPr>
          <w:rFonts w:hint="eastAsia" w:ascii="仿宋" w:hAnsi="仿宋" w:eastAsia="仿宋" w:cs="仿宋"/>
          <w:kern w:val="0"/>
          <w:sz w:val="32"/>
          <w:szCs w:val="32"/>
          <w:lang w:val="en-US" w:eastAsia="zh-CN"/>
        </w:rPr>
        <w:t>本单位没有</w:t>
      </w:r>
      <w:r>
        <w:rPr>
          <w:rFonts w:hint="eastAsia" w:ascii="仿宋" w:hAnsi="仿宋" w:eastAsia="仿宋" w:cs="仿宋"/>
          <w:kern w:val="0"/>
          <w:sz w:val="32"/>
          <w:szCs w:val="32"/>
        </w:rPr>
        <w:t>公务用车运行</w:t>
      </w:r>
      <w:r>
        <w:rPr>
          <w:rFonts w:hint="eastAsia" w:ascii="仿宋" w:hAnsi="仿宋" w:eastAsia="仿宋" w:cs="仿宋"/>
          <w:kern w:val="0"/>
          <w:sz w:val="32"/>
          <w:szCs w:val="32"/>
          <w:lang w:eastAsia="zh-CN"/>
        </w:rPr>
        <w:t>维护</w:t>
      </w:r>
      <w:r>
        <w:rPr>
          <w:rFonts w:hint="eastAsia" w:ascii="仿宋" w:hAnsi="仿宋" w:eastAsia="仿宋" w:cs="仿宋"/>
          <w:kern w:val="0"/>
          <w:sz w:val="32"/>
          <w:szCs w:val="32"/>
        </w:rPr>
        <w:t>费</w:t>
      </w:r>
      <w:r>
        <w:rPr>
          <w:rFonts w:hint="eastAsia" w:ascii="仿宋" w:hAnsi="仿宋" w:eastAsia="仿宋" w:cs="仿宋"/>
          <w:kern w:val="0"/>
          <w:sz w:val="32"/>
          <w:szCs w:val="32"/>
          <w:lang w:eastAsia="zh-CN"/>
        </w:rPr>
        <w:t>的</w:t>
      </w:r>
      <w:r>
        <w:rPr>
          <w:rFonts w:hint="eastAsia" w:ascii="仿宋" w:hAnsi="仿宋" w:eastAsia="仿宋" w:cs="仿宋"/>
          <w:kern w:val="0"/>
          <w:sz w:val="32"/>
          <w:szCs w:val="32"/>
        </w:rPr>
        <w:t>支出。截至2024年12月31日，本单位公务用车保有量为0 辆。</w:t>
      </w:r>
    </w:p>
    <w:p>
      <w:pPr>
        <w:pStyle w:val="29"/>
        <w:widowControl/>
        <w:spacing w:before="240" w:after="240" w:line="600" w:lineRule="atLeast"/>
        <w:ind w:firstLine="640"/>
        <w:jc w:val="both"/>
        <w:rPr>
          <w:rFonts w:ascii="Times New Roman" w:hAnsi="Times New Roman" w:eastAsia="Times New Roman" w:cs="Times New Roman"/>
          <w:kern w:val="0"/>
          <w:sz w:val="24"/>
        </w:rPr>
      </w:pPr>
      <w:r>
        <w:rPr>
          <w:rFonts w:hint="eastAsia" w:ascii="仿宋" w:hAnsi="仿宋" w:eastAsia="仿宋" w:cs="仿宋"/>
          <w:kern w:val="0"/>
          <w:sz w:val="32"/>
          <w:szCs w:val="32"/>
        </w:rPr>
        <w:t>（三）公务接待费支出0万元，完成全年预算的 0%；较上年增加0万元，增长0%。主要是</w:t>
      </w:r>
      <w:r>
        <w:rPr>
          <w:rFonts w:hint="eastAsia" w:ascii="仿宋" w:hAnsi="仿宋" w:eastAsia="仿宋" w:cs="仿宋"/>
          <w:kern w:val="0"/>
          <w:sz w:val="32"/>
          <w:szCs w:val="32"/>
          <w:lang w:val="en-US" w:eastAsia="zh-CN"/>
        </w:rPr>
        <w:t>本单位没有</w:t>
      </w:r>
      <w:r>
        <w:rPr>
          <w:rFonts w:hint="eastAsia" w:ascii="仿宋" w:hAnsi="仿宋" w:eastAsia="仿宋" w:cs="仿宋"/>
          <w:kern w:val="0"/>
          <w:sz w:val="32"/>
          <w:szCs w:val="32"/>
        </w:rPr>
        <w:t>公务接待</w:t>
      </w:r>
      <w:r>
        <w:rPr>
          <w:rFonts w:hint="eastAsia" w:ascii="仿宋" w:hAnsi="仿宋" w:eastAsia="仿宋" w:cs="仿宋"/>
          <w:kern w:val="0"/>
          <w:sz w:val="32"/>
          <w:szCs w:val="32"/>
          <w:lang w:val="en-US" w:eastAsia="zh-CN"/>
        </w:rPr>
        <w:t>活动</w:t>
      </w:r>
      <w:r>
        <w:rPr>
          <w:rFonts w:hint="eastAsia" w:ascii="仿宋" w:hAnsi="仿宋" w:eastAsia="仿宋" w:cs="仿宋"/>
          <w:kern w:val="0"/>
          <w:sz w:val="32"/>
          <w:szCs w:val="32"/>
        </w:rPr>
        <w:t>。累计接待0批次、0人次。</w:t>
      </w:r>
    </w:p>
    <w:p>
      <w:pPr>
        <w:pStyle w:val="6"/>
        <w:keepNext w:val="0"/>
        <w:keepLines w:val="0"/>
        <w:spacing w:before="100" w:after="100" w:line="240" w:lineRule="auto"/>
        <w:ind w:left="0" w:right="0" w:firstLine="480" w:firstLineChars="0"/>
        <w:jc w:val="both"/>
        <w:rPr>
          <w:rFonts w:hint="eastAsia" w:ascii="黑体" w:hAnsi="宋体" w:eastAsia="黑体" w:cs="黑体"/>
          <w:b/>
          <w:bCs w:val="0"/>
          <w:kern w:val="0"/>
          <w:sz w:val="32"/>
          <w:szCs w:val="32"/>
          <w:shd w:val="clear" w:fill="FFFFFF"/>
          <w:lang w:val="en-US" w:eastAsia="zh-CN" w:bidi="ar"/>
        </w:rPr>
      </w:pPr>
      <w:bookmarkStart w:id="61" w:name="_Toc256000025"/>
      <w:bookmarkStart w:id="62" w:name="_Toc256000087"/>
      <w:bookmarkStart w:id="63" w:name="_Toc256000056"/>
      <w:bookmarkStart w:id="64" w:name="_Toc256000118"/>
      <w:r>
        <w:rPr>
          <w:rFonts w:hint="eastAsia" w:ascii="黑体" w:hAnsi="宋体" w:eastAsia="黑体" w:cs="黑体"/>
          <w:b/>
          <w:bCs w:val="0"/>
          <w:kern w:val="0"/>
          <w:sz w:val="32"/>
          <w:szCs w:val="32"/>
          <w:shd w:val="clear" w:fill="FFFFFF"/>
          <w:lang w:val="en-US" w:eastAsia="zh-CN" w:bidi="ar"/>
        </w:rPr>
        <w:t>八、预算绩效情况说明</w:t>
      </w:r>
      <w:bookmarkEnd w:id="61"/>
      <w:bookmarkEnd w:id="62"/>
      <w:bookmarkEnd w:id="63"/>
      <w:bookmarkEnd w:id="64"/>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32"/>
          <w:szCs w:val="32"/>
        </w:rPr>
      </w:pPr>
      <w:r>
        <w:rPr>
          <w:rFonts w:hint="eastAsia" w:ascii="仿宋" w:hAnsi="仿宋" w:eastAsia="仿宋" w:cs="仿宋"/>
          <w:kern w:val="0"/>
          <w:sz w:val="32"/>
          <w:szCs w:val="32"/>
          <w:lang w:val="en-US" w:eastAsia="zh-CN" w:bidi="ar-SA"/>
        </w:rPr>
        <w:t>根据预算绩效管理要求，本单位组织对2024年度1个项目实施单位自评，项目名称义务教育困难学生营养餐补助，涉及财政拨款资金共计0.6144万元。</w:t>
      </w:r>
      <w:r>
        <w:rPr>
          <w:rFonts w:ascii="仿宋" w:hAnsi="仿宋" w:eastAsia="仿宋" w:cs="仿宋"/>
          <w:spacing w:val="0"/>
          <w:kern w:val="0"/>
          <w:sz w:val="32"/>
          <w:szCs w:val="32"/>
        </w:rPr>
        <w:t>（《项目支出绩效自评表》详见附件）</w:t>
      </w:r>
    </w:p>
    <w:p>
      <w:pPr>
        <w:shd w:val="clear" w:fill="FFFFFF" w:themeFill="background1"/>
        <w:ind w:firstLine="643" w:firstLineChars="200"/>
        <w:jc w:val="both"/>
        <w:rPr>
          <w:rFonts w:hint="eastAsia" w:ascii="仿宋" w:hAnsi="仿宋" w:eastAsia="仿宋" w:cs="仿宋"/>
          <w:b/>
          <w:bCs/>
          <w:kern w:val="0"/>
          <w:sz w:val="32"/>
          <w:szCs w:val="32"/>
          <w:lang w:val="en-US" w:eastAsia="zh-CN" w:bidi="ar-SA"/>
        </w:rPr>
      </w:pPr>
    </w:p>
    <w:p>
      <w:pPr>
        <w:pStyle w:val="6"/>
        <w:keepNext w:val="0"/>
        <w:keepLines w:val="0"/>
        <w:spacing w:before="100" w:after="100" w:line="240" w:lineRule="auto"/>
        <w:ind w:left="0" w:right="0" w:firstLine="480" w:firstLineChars="0"/>
        <w:jc w:val="both"/>
        <w:rPr>
          <w:rFonts w:hint="eastAsia" w:ascii="黑体" w:hAnsi="宋体" w:eastAsia="黑体" w:cs="黑体"/>
          <w:b/>
          <w:bCs/>
          <w:kern w:val="0"/>
          <w:sz w:val="32"/>
          <w:szCs w:val="32"/>
          <w:shd w:val="clear" w:fill="FFFFFF"/>
          <w:lang w:val="en-US" w:eastAsia="zh-CN" w:bidi="ar"/>
        </w:rPr>
      </w:pPr>
      <w:bookmarkStart w:id="65" w:name="_Toc256000057"/>
      <w:bookmarkStart w:id="66" w:name="_Toc256000088"/>
      <w:bookmarkStart w:id="67" w:name="_Toc256000119"/>
      <w:bookmarkStart w:id="68" w:name="_Toc256000026"/>
      <w:r>
        <w:rPr>
          <w:rFonts w:hint="eastAsia" w:ascii="黑体" w:hAnsi="宋体" w:eastAsia="黑体" w:cs="黑体"/>
          <w:b/>
          <w:bCs/>
          <w:kern w:val="0"/>
          <w:sz w:val="32"/>
          <w:szCs w:val="32"/>
          <w:shd w:val="clear" w:fill="FFFFFF"/>
          <w:lang w:val="en-US" w:eastAsia="zh-CN" w:bidi="ar"/>
        </w:rPr>
        <w:t>九、其他重要事项说明</w:t>
      </w:r>
      <w:bookmarkEnd w:id="65"/>
      <w:bookmarkEnd w:id="66"/>
      <w:bookmarkEnd w:id="67"/>
      <w:bookmarkEnd w:id="68"/>
    </w:p>
    <w:p>
      <w:pPr>
        <w:pStyle w:val="29"/>
        <w:widowControl/>
        <w:spacing w:before="240" w:after="240" w:line="600" w:lineRule="atLeast"/>
        <w:ind w:firstLine="640"/>
        <w:jc w:val="both"/>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lang w:val="en-US" w:eastAsia="zh-CN"/>
        </w:rPr>
        <w:t>（一）机关运行经费 </w:t>
      </w:r>
    </w:p>
    <w:p>
      <w:pPr>
        <w:pStyle w:val="29"/>
        <w:widowControl/>
        <w:spacing w:before="240" w:after="240" w:line="600" w:lineRule="atLeast"/>
        <w:ind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2024年度机关运行经费支出0万元，比上年决算数增加（减少）</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万元，增长（下降）</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%，主要原因是:本单位为事业单位</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没有机关运行经费。</w:t>
      </w:r>
    </w:p>
    <w:p>
      <w:pPr>
        <w:pStyle w:val="29"/>
        <w:widowControl/>
        <w:spacing w:before="240" w:after="240" w:line="600" w:lineRule="atLeast"/>
        <w:ind w:firstLine="640"/>
        <w:jc w:val="both"/>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lang w:val="en-US" w:eastAsia="zh-CN"/>
        </w:rPr>
        <w:t>（二）政府采购情况</w:t>
      </w:r>
    </w:p>
    <w:p>
      <w:pPr>
        <w:pStyle w:val="29"/>
        <w:widowControl/>
        <w:spacing w:before="240" w:after="240" w:line="600" w:lineRule="atLeast"/>
        <w:ind w:firstLine="64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0%，工程采购授予中小企业合同金额占工程支出金额的0%，服务采购授予中小企业合同金额占服务支出金额的0%。</w:t>
      </w:r>
    </w:p>
    <w:p>
      <w:pPr>
        <w:pStyle w:val="29"/>
        <w:widowControl/>
        <w:spacing w:before="240" w:after="240" w:line="600" w:lineRule="atLeast"/>
        <w:ind w:firstLine="64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本单位2024年度没有政府采购支出。</w:t>
      </w:r>
    </w:p>
    <w:p>
      <w:pPr>
        <w:pStyle w:val="29"/>
        <w:widowControl/>
        <w:spacing w:before="240" w:after="240" w:line="600" w:lineRule="atLeast"/>
        <w:ind w:firstLine="640"/>
        <w:jc w:val="both"/>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lang w:val="en-US" w:eastAsia="zh-CN"/>
        </w:rPr>
        <w:t>（三）国有资产占用使用情况 </w:t>
      </w:r>
    </w:p>
    <w:p>
      <w:pPr>
        <w:pStyle w:val="29"/>
        <w:widowControl/>
        <w:spacing w:before="240" w:after="240" w:line="600" w:lineRule="atLeast"/>
        <w:ind w:firstLine="64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   </w:t>
      </w:r>
    </w:p>
    <w:p>
      <w:pPr>
        <w:pStyle w:val="29"/>
        <w:widowControl/>
        <w:spacing w:before="240" w:after="240" w:line="600" w:lineRule="atLeast"/>
        <w:ind w:firstLine="640"/>
        <w:jc w:val="both"/>
        <w:rPr>
          <w:rFonts w:hint="eastAsia" w:ascii="仿宋" w:hAnsi="仿宋" w:eastAsia="仿宋" w:cs="仿宋"/>
          <w:kern w:val="0"/>
          <w:sz w:val="32"/>
          <w:szCs w:val="32"/>
          <w:lang w:val="en-US" w:eastAsia="zh-CN"/>
        </w:rPr>
        <w:sectPr>
          <w:footerReference r:id="rId6" w:type="default"/>
          <w:pgSz w:w="11906" w:h="16838"/>
          <w:pgMar w:top="1440" w:right="1587" w:bottom="1440" w:left="1587" w:header="720" w:footer="720" w:gutter="0"/>
          <w:cols w:space="720" w:num="1"/>
        </w:sectPr>
      </w:pPr>
    </w:p>
    <w:p>
      <w:pPr>
        <w:widowControl/>
        <w:spacing w:before="240" w:after="240"/>
        <w:jc w:val="both"/>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29"/>
        <w:widowControl/>
        <w:spacing w:before="100" w:after="100"/>
        <w:ind w:left="0" w:right="0" w:firstLine="0"/>
        <w:jc w:val="center"/>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第四部分 名词解释</w:t>
      </w:r>
    </w:p>
    <w:p>
      <w:pPr>
        <w:pStyle w:val="29"/>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kern w:val="0"/>
          <w:sz w:val="32"/>
          <w:szCs w:val="32"/>
        </w:rPr>
        <w:t> </w:t>
      </w:r>
      <w:r>
        <w:rPr>
          <w:rFonts w:ascii="仿宋" w:hAnsi="仿宋" w:eastAsia="仿宋" w:cs="仿宋"/>
          <w:b/>
          <w:bCs/>
          <w:kern w:val="0"/>
          <w:sz w:val="32"/>
          <w:szCs w:val="32"/>
        </w:rPr>
        <w:t>一、财政拨款收入：</w:t>
      </w:r>
      <w:r>
        <w:rPr>
          <w:rFonts w:ascii="仿宋" w:hAnsi="仿宋" w:eastAsia="仿宋" w:cs="仿宋"/>
          <w:kern w:val="0"/>
          <w:sz w:val="32"/>
          <w:szCs w:val="32"/>
        </w:rPr>
        <w:t>指单位从本级财政</w:t>
      </w:r>
      <w:r>
        <w:rPr>
          <w:rFonts w:hint="eastAsia" w:ascii="仿宋" w:hAnsi="仿宋" w:eastAsia="仿宋" w:cs="仿宋"/>
          <w:kern w:val="0"/>
          <w:sz w:val="32"/>
          <w:szCs w:val="32"/>
          <w:lang w:eastAsia="zh-CN"/>
        </w:rPr>
        <w:t>单位</w:t>
      </w:r>
      <w:r>
        <w:rPr>
          <w:rFonts w:ascii="仿宋" w:hAnsi="仿宋" w:eastAsia="仿宋" w:cs="仿宋"/>
          <w:kern w:val="0"/>
          <w:sz w:val="32"/>
          <w:szCs w:val="32"/>
        </w:rPr>
        <w:t>取得的财政预算资金，包括一般公共预算财政拨款、政府性基金预算财政拨款和国有资本经营预算财政拨款。</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二、事业收入：</w:t>
      </w:r>
      <w:r>
        <w:rPr>
          <w:rFonts w:ascii="仿宋" w:hAnsi="仿宋" w:eastAsia="仿宋" w:cs="仿宋"/>
          <w:kern w:val="0"/>
          <w:sz w:val="32"/>
          <w:szCs w:val="32"/>
        </w:rPr>
        <w:t>指事业单位开展专业业务活动及辅助活动所取得的收入。</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三、经营收入：</w:t>
      </w:r>
      <w:r>
        <w:rPr>
          <w:rFonts w:ascii="仿宋" w:hAnsi="仿宋" w:eastAsia="仿宋" w:cs="仿宋"/>
          <w:kern w:val="0"/>
          <w:sz w:val="32"/>
          <w:szCs w:val="32"/>
        </w:rPr>
        <w:t>指事业单位在专业业务活动及其辅助活动之外开展非独立核算经营活动取得的收入。</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四、其他收入：</w:t>
      </w:r>
      <w:r>
        <w:rPr>
          <w:rFonts w:ascii="仿宋" w:hAnsi="仿宋" w:eastAsia="仿宋" w:cs="仿宋"/>
          <w:kern w:val="0"/>
          <w:sz w:val="32"/>
          <w:szCs w:val="32"/>
        </w:rPr>
        <w:t>指除上述“财政拨款收入”“事业收入” “上级补助收入”“附属单位上缴收入”“经营收入”等以外取得的各项收入。主要是事业单位固定资产出租收入等。</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五、使用非财政拨款结余：</w:t>
      </w:r>
      <w:r>
        <w:rPr>
          <w:rFonts w:ascii="仿宋" w:hAnsi="仿宋" w:eastAsia="仿宋" w:cs="仿宋"/>
          <w:kern w:val="0"/>
          <w:sz w:val="32"/>
          <w:szCs w:val="32"/>
        </w:rPr>
        <w:t>指事业单位使用以前年度积累的非财政拨款结余弥补当年收支差额的金额。</w:t>
      </w:r>
    </w:p>
    <w:p>
      <w:pPr>
        <w:pStyle w:val="29"/>
        <w:widowControl/>
        <w:spacing w:before="240" w:after="240" w:line="600" w:lineRule="atLeast"/>
        <w:ind w:firstLine="71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六、年初结转和结余：</w:t>
      </w:r>
      <w:r>
        <w:rPr>
          <w:rFonts w:ascii="仿宋" w:hAnsi="仿宋" w:eastAsia="仿宋" w:cs="仿宋"/>
          <w:kern w:val="0"/>
          <w:sz w:val="32"/>
          <w:szCs w:val="32"/>
        </w:rPr>
        <w:t>指单位以前年度尚未完成、结转到本年仍按原规定用途继续使用的资金，或项目已完成等产生的结余资金。</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七、结余分配：</w:t>
      </w:r>
      <w:r>
        <w:rPr>
          <w:rFonts w:ascii="仿宋" w:hAnsi="仿宋" w:eastAsia="仿宋" w:cs="仿宋"/>
          <w:kern w:val="0"/>
          <w:sz w:val="32"/>
          <w:szCs w:val="32"/>
        </w:rPr>
        <w:t>指事业单位按照会计制度规定缴纳的所得税、提取的专用结余以及转入非财政拨款结余的金额等。</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八、年末结转和结余：</w:t>
      </w:r>
      <w:r>
        <w:rPr>
          <w:rFonts w:ascii="仿宋" w:hAnsi="仿宋" w:eastAsia="仿宋" w:cs="仿宋"/>
          <w:kern w:val="0"/>
          <w:sz w:val="32"/>
          <w:szCs w:val="32"/>
        </w:rPr>
        <w:t>指单位按有关规定结转到下年或以后年度继续使用的资金，或项目已完成等产生的结余资金。</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九、基本支出：</w:t>
      </w:r>
      <w:r>
        <w:rPr>
          <w:rFonts w:ascii="仿宋" w:hAnsi="仿宋" w:eastAsia="仿宋" w:cs="仿宋"/>
          <w:kern w:val="0"/>
          <w:sz w:val="32"/>
          <w:szCs w:val="32"/>
        </w:rPr>
        <w:t>指为保障机构正常运转、完成日常工作任务而发生的人员支出和公用支出。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十、项目支出：</w:t>
      </w:r>
      <w:r>
        <w:rPr>
          <w:rFonts w:ascii="仿宋" w:hAnsi="仿宋" w:eastAsia="仿宋" w:cs="仿宋"/>
          <w:kern w:val="0"/>
          <w:sz w:val="32"/>
          <w:szCs w:val="32"/>
        </w:rPr>
        <w:t>指在基本支出之外为完成特定行政任务和事业发展目标所发生的支出。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十一、经营支出：</w:t>
      </w:r>
      <w:r>
        <w:rPr>
          <w:rFonts w:ascii="仿宋" w:hAnsi="仿宋" w:eastAsia="仿宋" w:cs="仿宋"/>
          <w:kern w:val="0"/>
          <w:sz w:val="32"/>
          <w:szCs w:val="32"/>
        </w:rPr>
        <w:t>指事业单位在专业业务活动及其辅助活动之外开展非独立核算经营活动发生的支出。</w:t>
      </w:r>
    </w:p>
    <w:p>
      <w:pPr>
        <w:widowControl/>
        <w:spacing w:before="240" w:after="240" w:line="600" w:lineRule="atLeast"/>
        <w:ind w:firstLine="640"/>
        <w:jc w:val="both"/>
        <w:rPr>
          <w:rFonts w:ascii="Times New Roman" w:hAnsi="Times New Roman" w:eastAsia="Times New Roman" w:cs="Times New Roman"/>
          <w:kern w:val="0"/>
          <w:sz w:val="32"/>
          <w:szCs w:val="32"/>
        </w:rPr>
      </w:pPr>
      <w:r>
        <w:rPr>
          <w:rFonts w:ascii="仿宋" w:hAnsi="仿宋" w:eastAsia="仿宋" w:cs="仿宋"/>
          <w:b/>
          <w:bCs/>
          <w:kern w:val="0"/>
          <w:sz w:val="32"/>
          <w:szCs w:val="32"/>
        </w:rPr>
        <w:t>十二、“三公”经费：</w:t>
      </w:r>
      <w:r>
        <w:rPr>
          <w:rFonts w:ascii="仿宋" w:hAnsi="仿宋" w:eastAsia="仿宋" w:cs="仿宋"/>
          <w:kern w:val="0"/>
          <w:sz w:val="32"/>
          <w:szCs w:val="32"/>
        </w:rPr>
        <w:t>纳入本级财政预决算管理的“三公”经费，是指本级</w:t>
      </w:r>
      <w:r>
        <w:rPr>
          <w:rFonts w:hint="eastAsia" w:ascii="仿宋" w:hAnsi="仿宋" w:eastAsia="仿宋" w:cs="仿宋"/>
          <w:kern w:val="0"/>
          <w:sz w:val="32"/>
          <w:szCs w:val="32"/>
          <w:lang w:eastAsia="zh-CN"/>
        </w:rPr>
        <w:t>单位</w:t>
      </w:r>
      <w:r>
        <w:rPr>
          <w:rFonts w:ascii="仿宋" w:hAnsi="仿宋" w:eastAsia="仿宋" w:cs="仿宋"/>
          <w:kern w:val="0"/>
          <w:sz w:val="32"/>
          <w:szCs w:val="32"/>
        </w:rPr>
        <w:t>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240" w:after="240" w:line="560" w:lineRule="atLeast"/>
        <w:ind w:firstLine="643"/>
        <w:jc w:val="both"/>
        <w:rPr>
          <w:rFonts w:ascii="Times New Roman" w:hAnsi="Times New Roman" w:eastAsia="Times New Roman" w:cs="Times New Roman"/>
          <w:kern w:val="0"/>
          <w:sz w:val="24"/>
          <w:szCs w:val="24"/>
        </w:rPr>
      </w:pPr>
      <w:r>
        <w:rPr>
          <w:rFonts w:ascii="仿宋" w:hAnsi="仿宋" w:eastAsia="仿宋" w:cs="仿宋"/>
          <w:b/>
          <w:bCs/>
          <w:kern w:val="0"/>
          <w:sz w:val="32"/>
          <w:szCs w:val="32"/>
        </w:rPr>
        <w:t>十三、机关运行经费：</w:t>
      </w:r>
      <w:r>
        <w:rPr>
          <w:rFonts w:ascii="仿宋" w:hAnsi="仿宋" w:eastAsia="仿宋" w:cs="仿宋"/>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widowControl/>
        <w:spacing w:before="240" w:after="240"/>
        <w:jc w:val="left"/>
        <w:rPr>
          <w:rFonts w:hint="eastAsia" w:ascii="黑体" w:hAnsi="宋体" w:eastAsia="黑体" w:cs="黑体"/>
          <w:kern w:val="0"/>
          <w:sz w:val="30"/>
          <w:szCs w:val="30"/>
          <w:shd w:val="clear" w:fill="FFFFFF"/>
          <w:lang w:bidi="ar"/>
        </w:rPr>
      </w:pPr>
      <w:r>
        <w:rPr>
          <w:rFonts w:ascii="fang_song_gb2312" w:hAnsi="fang_song_gb2312" w:eastAsia="fang_song_gb2312" w:cs="fang_song_gb2312"/>
          <w:kern w:val="0"/>
          <w:sz w:val="27"/>
          <w:szCs w:val="27"/>
        </w:rPr>
        <w:t>  </w:t>
      </w:r>
      <w:r>
        <w:rPr>
          <w:rFonts w:ascii="黑体" w:hAnsi="黑体" w:eastAsia="黑体" w:cs="黑体"/>
          <w:kern w:val="0"/>
          <w:sz w:val="56"/>
          <w:szCs w:val="56"/>
        </w:rPr>
        <w:t> </w:t>
      </w:r>
    </w:p>
    <w:p>
      <w:pPr>
        <w:pStyle w:val="29"/>
        <w:widowControl/>
        <w:numPr>
          <w:ilvl w:val="0"/>
          <w:numId w:val="3"/>
        </w:numPr>
        <w:spacing w:before="100" w:after="100"/>
        <w:ind w:left="0" w:right="0" w:firstLine="0"/>
        <w:jc w:val="center"/>
        <w:rPr>
          <w:rFonts w:hint="eastAsia" w:ascii="黑体" w:hAnsi="宋体" w:eastAsia="黑体" w:cs="黑体"/>
          <w:kern w:val="0"/>
          <w:sz w:val="36"/>
          <w:szCs w:val="36"/>
          <w:shd w:val="clear" w:fill="FFFFFF"/>
          <w:lang w:bidi="ar"/>
        </w:rPr>
      </w:pPr>
      <w:r>
        <w:rPr>
          <w:rFonts w:hint="eastAsia" w:ascii="黑体" w:hAnsi="宋体" w:eastAsia="黑体" w:cs="黑体"/>
          <w:kern w:val="0"/>
          <w:sz w:val="36"/>
          <w:szCs w:val="36"/>
          <w:shd w:val="clear" w:fill="FFFFFF"/>
          <w:lang w:bidi="ar"/>
        </w:rPr>
        <w:t>附件</w:t>
      </w:r>
    </w:p>
    <w:tbl>
      <w:tblPr>
        <w:tblStyle w:val="23"/>
        <w:tblW w:w="10098" w:type="dxa"/>
        <w:tblInd w:w="0" w:type="dxa"/>
        <w:shd w:val="clear" w:color="auto" w:fill="FFFFFF" w:themeFill="background1"/>
        <w:tblLayout w:type="fixed"/>
        <w:tblCellMar>
          <w:top w:w="0" w:type="dxa"/>
          <w:left w:w="0" w:type="dxa"/>
          <w:bottom w:w="0" w:type="dxa"/>
          <w:right w:w="0" w:type="dxa"/>
        </w:tblCellMar>
      </w:tblPr>
      <w:tblGrid>
        <w:gridCol w:w="36"/>
        <w:gridCol w:w="909"/>
        <w:gridCol w:w="458"/>
        <w:gridCol w:w="2054"/>
        <w:gridCol w:w="1735"/>
        <w:gridCol w:w="458"/>
        <w:gridCol w:w="671"/>
        <w:gridCol w:w="994"/>
        <w:gridCol w:w="610"/>
        <w:gridCol w:w="458"/>
        <w:gridCol w:w="459"/>
        <w:gridCol w:w="1256"/>
      </w:tblGrid>
      <w:tr>
        <w:tblPrEx>
          <w:shd w:val="clear" w:color="auto" w:fill="FFFFFF" w:themeFill="background1"/>
          <w:tblLayout w:type="fixed"/>
          <w:tblCellMar>
            <w:top w:w="0" w:type="dxa"/>
            <w:left w:w="0" w:type="dxa"/>
            <w:bottom w:w="0" w:type="dxa"/>
            <w:right w:w="0" w:type="dxa"/>
          </w:tblCellMar>
        </w:tblPrEx>
        <w:trPr>
          <w:trHeight w:val="375"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062" w:type="dxa"/>
            <w:gridSpan w:val="11"/>
            <w:tcBorders>
              <w:top w:val="nil"/>
              <w:left w:val="nil"/>
              <w:bottom w:val="nil"/>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cs="宋体"/>
                <w:b/>
                <w:i w:val="0"/>
                <w:color w:val="000000"/>
                <w:kern w:val="0"/>
                <w:sz w:val="28"/>
                <w:szCs w:val="28"/>
                <w:u w:val="none"/>
                <w:lang w:val="en-US" w:eastAsia="zh-CN" w:bidi="ar"/>
              </w:rPr>
              <w:t>单位</w:t>
            </w:r>
            <w:r>
              <w:rPr>
                <w:rFonts w:hint="eastAsia" w:ascii="宋体" w:hAnsi="宋体" w:eastAsia="宋体" w:cs="宋体"/>
                <w:b/>
                <w:i w:val="0"/>
                <w:color w:val="000000"/>
                <w:kern w:val="0"/>
                <w:sz w:val="28"/>
                <w:szCs w:val="28"/>
                <w:u w:val="none"/>
                <w:lang w:val="en-US" w:eastAsia="zh-CN" w:bidi="ar"/>
              </w:rPr>
              <w:t>（单位）项目支出绩效自评表</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062" w:type="dxa"/>
            <w:gridSpan w:val="11"/>
            <w:tcBorders>
              <w:top w:val="nil"/>
              <w:left w:val="nil"/>
              <w:bottom w:val="nil"/>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shd w:val="clear" w:color="auto" w:fill="FFFFFF" w:themeFill="background1"/>
          <w:tblLayout w:type="fixed"/>
          <w:tblCellMar>
            <w:top w:w="0" w:type="dxa"/>
            <w:left w:w="0" w:type="dxa"/>
            <w:bottom w:w="0" w:type="dxa"/>
            <w:right w:w="0" w:type="dxa"/>
          </w:tblCellMar>
        </w:tblPrEx>
        <w:trPr>
          <w:trHeight w:val="39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预算单位（盖章）：                                                                                                  </w:t>
            </w:r>
          </w:p>
        </w:tc>
        <w:tc>
          <w:tcPr>
            <w:tcW w:w="2512" w:type="dxa"/>
            <w:gridSpan w:val="2"/>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厦门市高崎小学</w:t>
            </w:r>
          </w:p>
        </w:tc>
        <w:tc>
          <w:tcPr>
            <w:tcW w:w="1735"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58"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71"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94"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10"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58"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59"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56" w:type="dxa"/>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单位：万元</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7" w:type="dxa"/>
            <w:gridSpan w:val="2"/>
            <w:tcBorders>
              <w:top w:val="nil"/>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项目名称</w:t>
            </w:r>
          </w:p>
        </w:tc>
        <w:tc>
          <w:tcPr>
            <w:tcW w:w="2054"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义务教育阶段家庭经济困难学生营养餐补助</w:t>
            </w:r>
          </w:p>
        </w:tc>
        <w:tc>
          <w:tcPr>
            <w:tcW w:w="1735"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58"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71" w:type="dxa"/>
            <w:tcBorders>
              <w:top w:val="single" w:color="000000" w:sz="4" w:space="0"/>
              <w:left w:val="nil"/>
              <w:bottom w:val="single" w:color="000000" w:sz="4" w:space="0"/>
              <w:right w:val="nil"/>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自评年度</w:t>
            </w:r>
          </w:p>
        </w:tc>
        <w:tc>
          <w:tcPr>
            <w:tcW w:w="2783"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2024年1月1日-2024年12月31日</w:t>
            </w:r>
          </w:p>
        </w:tc>
      </w:tr>
      <w:tr>
        <w:tblPrEx>
          <w:shd w:val="clear" w:color="auto" w:fill="FFFFFF" w:themeFill="background1"/>
          <w:tblLayout w:type="fixed"/>
          <w:tblCellMar>
            <w:top w:w="0" w:type="dxa"/>
            <w:left w:w="0" w:type="dxa"/>
            <w:bottom w:w="0" w:type="dxa"/>
            <w:right w:w="0" w:type="dxa"/>
          </w:tblCellMar>
        </w:tblPrEx>
        <w:trPr>
          <w:trHeight w:val="36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7"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主管</w:t>
            </w:r>
            <w:r>
              <w:rPr>
                <w:rFonts w:hint="eastAsia" w:ascii="宋体" w:hAnsi="宋体" w:cs="宋体"/>
                <w:b/>
                <w:i w:val="0"/>
                <w:color w:val="000000"/>
                <w:kern w:val="0"/>
                <w:sz w:val="24"/>
                <w:szCs w:val="24"/>
                <w:u w:val="none"/>
                <w:lang w:val="en-US" w:eastAsia="zh-CN" w:bidi="ar"/>
              </w:rPr>
              <w:t>单位</w:t>
            </w:r>
          </w:p>
        </w:tc>
        <w:tc>
          <w:tcPr>
            <w:tcW w:w="4918"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湖里区教育局</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实施单位</w:t>
            </w:r>
          </w:p>
        </w:tc>
        <w:tc>
          <w:tcPr>
            <w:tcW w:w="1527"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厦门市高崎小学</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66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年度预算执行情况</w:t>
            </w: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年初预算数</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已调整数</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调整后预算数</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全年执行数</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执行率</w:t>
            </w:r>
          </w:p>
        </w:tc>
        <w:tc>
          <w:tcPr>
            <w:tcW w:w="458"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年度资金总额</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0.6144</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51.20%</w:t>
            </w:r>
          </w:p>
        </w:tc>
        <w:tc>
          <w:tcPr>
            <w:tcW w:w="458"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2024秋校外供餐没有营养餐</w:t>
            </w: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其中：当年财政拨款</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0.6144</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51.20%</w:t>
            </w:r>
          </w:p>
        </w:tc>
        <w:tc>
          <w:tcPr>
            <w:tcW w:w="458"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上年结转资金</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58"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33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其他资金</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58"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375"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总体</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目标</w:t>
            </w:r>
          </w:p>
        </w:tc>
        <w:tc>
          <w:tcPr>
            <w:tcW w:w="5376"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3777"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实际完成情况</w:t>
            </w:r>
          </w:p>
        </w:tc>
      </w:tr>
      <w:tr>
        <w:tblPrEx>
          <w:shd w:val="clear" w:color="auto" w:fill="FFFFFF" w:themeFill="background1"/>
          <w:tblLayout w:type="fixed"/>
          <w:tblCellMar>
            <w:top w:w="0" w:type="dxa"/>
            <w:left w:w="0" w:type="dxa"/>
            <w:bottom w:w="0" w:type="dxa"/>
            <w:right w:w="0" w:type="dxa"/>
          </w:tblCellMar>
        </w:tblPrEx>
        <w:trPr>
          <w:trHeight w:val="27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5376"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厦门市教育局等五</w:t>
            </w:r>
            <w:r>
              <w:rPr>
                <w:rFonts w:hint="eastAsia" w:ascii="宋体" w:hAnsi="宋体" w:cs="宋体"/>
                <w:i w:val="0"/>
                <w:color w:val="000000"/>
                <w:kern w:val="0"/>
                <w:sz w:val="24"/>
                <w:szCs w:val="24"/>
                <w:u w:val="none"/>
                <w:lang w:val="en-US" w:eastAsia="zh-CN" w:bidi="ar"/>
              </w:rPr>
              <w:t>单位</w:t>
            </w:r>
            <w:r>
              <w:rPr>
                <w:rFonts w:hint="eastAsia" w:ascii="宋体" w:hAnsi="宋体" w:eastAsia="宋体" w:cs="宋体"/>
                <w:i w:val="0"/>
                <w:color w:val="000000"/>
                <w:kern w:val="0"/>
                <w:sz w:val="24"/>
                <w:szCs w:val="24"/>
                <w:u w:val="none"/>
                <w:lang w:val="en-US" w:eastAsia="zh-CN" w:bidi="ar"/>
              </w:rPr>
              <w:t>关于印发《厦门市学生资助资金管理实施办法》的通知（厦教发〔2022〕83号）及厦门市教育局等八</w:t>
            </w:r>
            <w:r>
              <w:rPr>
                <w:rFonts w:hint="eastAsia" w:ascii="宋体" w:hAnsi="宋体" w:cs="宋体"/>
                <w:i w:val="0"/>
                <w:color w:val="000000"/>
                <w:kern w:val="0"/>
                <w:sz w:val="24"/>
                <w:szCs w:val="24"/>
                <w:u w:val="none"/>
                <w:lang w:val="en-US" w:eastAsia="zh-CN" w:bidi="ar"/>
              </w:rPr>
              <w:t>单位</w:t>
            </w:r>
            <w:r>
              <w:rPr>
                <w:rFonts w:hint="eastAsia" w:ascii="宋体" w:hAnsi="宋体" w:eastAsia="宋体" w:cs="宋体"/>
                <w:i w:val="0"/>
                <w:color w:val="000000"/>
                <w:kern w:val="0"/>
                <w:sz w:val="24"/>
                <w:szCs w:val="24"/>
                <w:u w:val="none"/>
                <w:lang w:val="en-US" w:eastAsia="zh-CN" w:bidi="ar"/>
              </w:rPr>
              <w:t>关于印发《厦门市家庭经济困难学生认定办法》的通知（厦教规【2022】3号）等文件，对义务教育阶段公办校（学校提供午餐）家庭经济困难学生营养餐补助，确保补助工作顺利实施。</w:t>
            </w:r>
          </w:p>
        </w:tc>
        <w:tc>
          <w:tcPr>
            <w:tcW w:w="3777"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2024年完成春、秋两季关于我区义务教育阶段公办校（学校提供午餐）家庭经济困难学生营养餐补助对象审核及资金下拨。</w:t>
            </w:r>
          </w:p>
        </w:tc>
      </w:tr>
      <w:tr>
        <w:tblPrEx>
          <w:shd w:val="clear" w:color="auto" w:fill="FFFFFF" w:themeFill="background1"/>
          <w:tblLayout w:type="fixed"/>
          <w:tblCellMar>
            <w:top w:w="0" w:type="dxa"/>
            <w:left w:w="0" w:type="dxa"/>
            <w:bottom w:w="0" w:type="dxa"/>
            <w:right w:w="0" w:type="dxa"/>
          </w:tblCellMar>
        </w:tblPrEx>
        <w:trPr>
          <w:trHeight w:val="156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5376"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777"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675"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指标类型</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绩效目标值</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实际完成值</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完成比例</w:t>
            </w:r>
          </w:p>
        </w:tc>
        <w:tc>
          <w:tcPr>
            <w:tcW w:w="458" w:type="dxa"/>
            <w:tcBorders>
              <w:top w:val="single" w:color="000000" w:sz="4" w:space="0"/>
              <w:left w:val="single" w:color="000000" w:sz="4" w:space="0"/>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效</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完</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情</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况</w:t>
            </w:r>
          </w:p>
        </w:tc>
        <w:tc>
          <w:tcPr>
            <w:tcW w:w="45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产出指标</w:t>
            </w: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审核义务教育阶段受助学生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大于等于7人</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7人</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2024春营养餐补助学生</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大于等于6人</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6人</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45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营养餐发放标准</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义务教育困难生资助资金下拨及时率</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58" w:type="dxa"/>
            <w:tcBorders>
              <w:top w:val="nil"/>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效益指标</w:t>
            </w: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改善受助学生学习生活质量</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定性</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615"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05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173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受资助对象满意度</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大于等于90%</w:t>
            </w:r>
          </w:p>
        </w:tc>
        <w:tc>
          <w:tcPr>
            <w:tcW w:w="994"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86%</w:t>
            </w:r>
          </w:p>
        </w:tc>
        <w:tc>
          <w:tcPr>
            <w:tcW w:w="61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shd w:val="clear" w:color="auto" w:fill="FFFFFF" w:themeFill="background1"/>
          <w:tblLayout w:type="fixed"/>
          <w:tblCellMar>
            <w:top w:w="0" w:type="dxa"/>
            <w:left w:w="0" w:type="dxa"/>
            <w:bottom w:w="0" w:type="dxa"/>
            <w:right w:w="0" w:type="dxa"/>
          </w:tblCellMar>
        </w:tblPrEx>
        <w:trPr>
          <w:trHeight w:val="540"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889"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总分</w:t>
            </w:r>
          </w:p>
        </w:tc>
        <w:tc>
          <w:tcPr>
            <w:tcW w:w="4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94</w:t>
            </w:r>
          </w:p>
        </w:tc>
        <w:tc>
          <w:tcPr>
            <w:tcW w:w="125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FFFFFF" w:themeFill="background1"/>
          <w:tblLayout w:type="fixed"/>
          <w:tblCellMar>
            <w:top w:w="0" w:type="dxa"/>
            <w:left w:w="0" w:type="dxa"/>
            <w:bottom w:w="0" w:type="dxa"/>
            <w:right w:w="0" w:type="dxa"/>
          </w:tblCellMar>
        </w:tblPrEx>
        <w:trPr>
          <w:trHeight w:val="1515" w:hRule="atLeast"/>
        </w:trPr>
        <w:tc>
          <w:tcPr>
            <w:tcW w:w="36" w:type="dxa"/>
            <w:tcBorders>
              <w:top w:val="nil"/>
              <w:left w:val="nil"/>
              <w:bottom w:val="nil"/>
              <w:right w:val="nil"/>
            </w:tcBorders>
            <w:shd w:val="clear" w:color="auto" w:fill="FFFFFF" w:themeFill="background1"/>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062"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填表说明：1.年度总体目标和绩效指标中的“具体指标”“年度指标值”按照</w:t>
            </w:r>
            <w:r>
              <w:rPr>
                <w:rFonts w:hint="eastAsia" w:ascii="宋体" w:hAnsi="宋体" w:cs="宋体"/>
                <w:i w:val="0"/>
                <w:color w:val="000000"/>
                <w:kern w:val="0"/>
                <w:sz w:val="20"/>
                <w:szCs w:val="20"/>
                <w:u w:val="none"/>
                <w:lang w:val="en-US" w:eastAsia="zh-CN" w:bidi="ar"/>
              </w:rPr>
              <w:t>单位</w:t>
            </w:r>
            <w:r>
              <w:rPr>
                <w:rFonts w:hint="eastAsia" w:ascii="宋体" w:hAnsi="宋体" w:eastAsia="宋体" w:cs="宋体"/>
                <w:i w:val="0"/>
                <w:color w:val="000000"/>
                <w:kern w:val="0"/>
                <w:sz w:val="20"/>
                <w:szCs w:val="20"/>
                <w:u w:val="none"/>
                <w:lang w:val="en-US" w:eastAsia="zh-CN" w:bidi="ar"/>
              </w:rPr>
              <w:t>预算批复的绩效目标填写，必须有量化指标。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7"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fang_song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38</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FCE677"/>
    <w:multiLevelType w:val="singleLevel"/>
    <w:tmpl w:val="F6FCE677"/>
    <w:lvl w:ilvl="0" w:tentative="0">
      <w:start w:val="1"/>
      <w:numFmt w:val="chineseCounting"/>
      <w:suff w:val="nothing"/>
      <w:lvlText w:val="（%1）"/>
      <w:lvlJc w:val="left"/>
      <w:rPr>
        <w:rFonts w:hint="eastAsia"/>
      </w:rPr>
    </w:lvl>
  </w:abstractNum>
  <w:abstractNum w:abstractNumId="1">
    <w:nsid w:val="4AD31D70"/>
    <w:multiLevelType w:val="singleLevel"/>
    <w:tmpl w:val="4AD31D70"/>
    <w:lvl w:ilvl="0" w:tentative="0">
      <w:start w:val="5"/>
      <w:numFmt w:val="chineseCounting"/>
      <w:suff w:val="space"/>
      <w:lvlText w:val="第%1部分"/>
      <w:lvlJc w:val="left"/>
      <w:rPr>
        <w:rFonts w:hint="eastAsia"/>
      </w:rPr>
    </w:lvl>
  </w:abstractNum>
  <w:abstractNum w:abstractNumId="2">
    <w:nsid w:val="5FB90CCF"/>
    <w:multiLevelType w:val="singleLevel"/>
    <w:tmpl w:val="5FB90CCF"/>
    <w:lvl w:ilvl="0" w:tentative="0">
      <w:start w:val="6"/>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4C77"/>
    <w:rsid w:val="024424CC"/>
    <w:rsid w:val="03250F2F"/>
    <w:rsid w:val="03981CD1"/>
    <w:rsid w:val="054C32AA"/>
    <w:rsid w:val="05963B04"/>
    <w:rsid w:val="05A71741"/>
    <w:rsid w:val="06183DF8"/>
    <w:rsid w:val="06B671A8"/>
    <w:rsid w:val="08BA4094"/>
    <w:rsid w:val="0A056C00"/>
    <w:rsid w:val="0AAB67FE"/>
    <w:rsid w:val="0AF3233D"/>
    <w:rsid w:val="0B5A1FD9"/>
    <w:rsid w:val="0C093736"/>
    <w:rsid w:val="0E6A5D2C"/>
    <w:rsid w:val="0E9C6516"/>
    <w:rsid w:val="10FA1DDA"/>
    <w:rsid w:val="11473D8C"/>
    <w:rsid w:val="119916B5"/>
    <w:rsid w:val="120B06DC"/>
    <w:rsid w:val="13815399"/>
    <w:rsid w:val="14636B9D"/>
    <w:rsid w:val="147A16EB"/>
    <w:rsid w:val="14B34E0F"/>
    <w:rsid w:val="14CB4AD5"/>
    <w:rsid w:val="15383480"/>
    <w:rsid w:val="15A0206D"/>
    <w:rsid w:val="15EB1E67"/>
    <w:rsid w:val="18672238"/>
    <w:rsid w:val="19976D62"/>
    <w:rsid w:val="199851AF"/>
    <w:rsid w:val="19CB2FFE"/>
    <w:rsid w:val="1A144344"/>
    <w:rsid w:val="1A222A6E"/>
    <w:rsid w:val="1B6E12E1"/>
    <w:rsid w:val="1D16551B"/>
    <w:rsid w:val="1D1C65D0"/>
    <w:rsid w:val="1D320EB1"/>
    <w:rsid w:val="1D5C2A0F"/>
    <w:rsid w:val="1DBD11EC"/>
    <w:rsid w:val="1F3F5176"/>
    <w:rsid w:val="203A6DDD"/>
    <w:rsid w:val="20757209"/>
    <w:rsid w:val="23573863"/>
    <w:rsid w:val="24D865F9"/>
    <w:rsid w:val="259F31C1"/>
    <w:rsid w:val="26321063"/>
    <w:rsid w:val="2645273D"/>
    <w:rsid w:val="26762B96"/>
    <w:rsid w:val="273F24E5"/>
    <w:rsid w:val="27AB5593"/>
    <w:rsid w:val="27CD1D90"/>
    <w:rsid w:val="28E829C0"/>
    <w:rsid w:val="294D5B3D"/>
    <w:rsid w:val="29C702C0"/>
    <w:rsid w:val="29E37F06"/>
    <w:rsid w:val="2A8731B8"/>
    <w:rsid w:val="2ABB1A5B"/>
    <w:rsid w:val="2B0A2844"/>
    <w:rsid w:val="2C5C5BD8"/>
    <w:rsid w:val="2C8C1DAD"/>
    <w:rsid w:val="2CC10E55"/>
    <w:rsid w:val="2E6B0461"/>
    <w:rsid w:val="2E6C330A"/>
    <w:rsid w:val="2E7234AD"/>
    <w:rsid w:val="2EFB1E10"/>
    <w:rsid w:val="2FF45BE7"/>
    <w:rsid w:val="311A659D"/>
    <w:rsid w:val="315D559A"/>
    <w:rsid w:val="316F1BEF"/>
    <w:rsid w:val="32331C66"/>
    <w:rsid w:val="33FB1441"/>
    <w:rsid w:val="340C6975"/>
    <w:rsid w:val="34546CA5"/>
    <w:rsid w:val="34BE34E1"/>
    <w:rsid w:val="359803C4"/>
    <w:rsid w:val="36C214AB"/>
    <w:rsid w:val="36D0537F"/>
    <w:rsid w:val="38630169"/>
    <w:rsid w:val="39141104"/>
    <w:rsid w:val="39BD4F46"/>
    <w:rsid w:val="3A5667AF"/>
    <w:rsid w:val="3A7D2713"/>
    <w:rsid w:val="3BCD34DF"/>
    <w:rsid w:val="3D6473F5"/>
    <w:rsid w:val="4079011D"/>
    <w:rsid w:val="40B45C39"/>
    <w:rsid w:val="42E06B31"/>
    <w:rsid w:val="447B1E59"/>
    <w:rsid w:val="472376A8"/>
    <w:rsid w:val="484979AD"/>
    <w:rsid w:val="49A17E1A"/>
    <w:rsid w:val="49A93A36"/>
    <w:rsid w:val="4A071ED0"/>
    <w:rsid w:val="4A730ABD"/>
    <w:rsid w:val="4B184E8C"/>
    <w:rsid w:val="4B6B0A12"/>
    <w:rsid w:val="4D1067EF"/>
    <w:rsid w:val="4D9936DF"/>
    <w:rsid w:val="4E82002E"/>
    <w:rsid w:val="4EEE1D28"/>
    <w:rsid w:val="4FDB5DD3"/>
    <w:rsid w:val="54912DA8"/>
    <w:rsid w:val="54C66DC8"/>
    <w:rsid w:val="55101B4E"/>
    <w:rsid w:val="56015A90"/>
    <w:rsid w:val="5603611C"/>
    <w:rsid w:val="56B8384B"/>
    <w:rsid w:val="56F377E7"/>
    <w:rsid w:val="578A4E15"/>
    <w:rsid w:val="57DA6A16"/>
    <w:rsid w:val="5858696E"/>
    <w:rsid w:val="59735AA9"/>
    <w:rsid w:val="5B112570"/>
    <w:rsid w:val="5B5103D8"/>
    <w:rsid w:val="5FFE508D"/>
    <w:rsid w:val="613D32F5"/>
    <w:rsid w:val="636A41EB"/>
    <w:rsid w:val="67DF717D"/>
    <w:rsid w:val="6995441A"/>
    <w:rsid w:val="69B7213B"/>
    <w:rsid w:val="6AD90420"/>
    <w:rsid w:val="6C25798A"/>
    <w:rsid w:val="6DAF3664"/>
    <w:rsid w:val="6ED5321E"/>
    <w:rsid w:val="72365A29"/>
    <w:rsid w:val="724B4A74"/>
    <w:rsid w:val="72B12B34"/>
    <w:rsid w:val="78EC20FA"/>
    <w:rsid w:val="78F524C6"/>
    <w:rsid w:val="79C9749D"/>
    <w:rsid w:val="7B0B0B6E"/>
    <w:rsid w:val="7B541D66"/>
    <w:rsid w:val="7B782EB7"/>
    <w:rsid w:val="7BBE59DE"/>
    <w:rsid w:val="7DA94482"/>
    <w:rsid w:val="7EBF1A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1"/>
    <w:next w:val="1"/>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23</Pages>
  <Words>2205</Words>
  <Characters>3013</Characters>
  <Lines>1</Lines>
  <Paragraphs>1</Paragraphs>
  <TotalTime>0</TotalTime>
  <ScaleCrop>false</ScaleCrop>
  <LinksUpToDate>false</LinksUpToDate>
  <CharactersWithSpaces>3496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2025-07-09T07:39:00Z</cp:lastPrinted>
  <dcterms:modified xsi:type="dcterms:W3CDTF">2025-09-16T04:54:03Z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eyJoZGlkIjoiMTNkYzZmNmZlYzczMzc1ZDY0ZWU4YzBmOTZlMTA5YjcifQ==</vt:lpwstr>
  </property>
</Properties>
</file>