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仿宋" w:hAnsi="仿宋" w:eastAsia="仿宋" w:cs="仿宋"/>
          <w:sz w:val="32"/>
          <w:szCs w:val="32"/>
        </w:rPr>
      </w:pPr>
    </w:p>
    <w:p>
      <w:pPr>
        <w:spacing w:line="360" w:lineRule="auto"/>
        <w:jc w:val="center"/>
        <w:rPr>
          <w:rFonts w:hint="eastAsia" w:ascii="仿宋" w:hAnsi="仿宋" w:eastAsia="仿宋" w:cs="仿宋"/>
          <w:sz w:val="32"/>
          <w:szCs w:val="32"/>
        </w:rPr>
      </w:pPr>
    </w:p>
    <w:p>
      <w:pPr>
        <w:spacing w:line="360" w:lineRule="auto"/>
        <w:jc w:val="center"/>
        <w:rPr>
          <w:rFonts w:hint="eastAsia" w:ascii="仿宋" w:hAnsi="仿宋" w:eastAsia="仿宋" w:cs="仿宋"/>
          <w:sz w:val="32"/>
          <w:szCs w:val="32"/>
        </w:rPr>
      </w:pPr>
    </w:p>
    <w:p>
      <w:pPr>
        <w:spacing w:line="360" w:lineRule="auto"/>
        <w:jc w:val="center"/>
        <w:rPr>
          <w:rFonts w:hint="eastAsia" w:ascii="仿宋" w:hAnsi="仿宋" w:eastAsia="仿宋" w:cs="仿宋"/>
          <w:sz w:val="32"/>
          <w:szCs w:val="32"/>
        </w:rPr>
      </w:pPr>
    </w:p>
    <w:p>
      <w:pPr>
        <w:widowControl/>
        <w:jc w:val="center"/>
        <w:rPr>
          <w:rFonts w:hint="eastAsia" w:ascii="仿宋" w:hAnsi="仿宋" w:eastAsia="仿宋" w:cs="仿宋"/>
          <w:sz w:val="32"/>
          <w:szCs w:val="32"/>
          <w:highlight w:val="none"/>
        </w:rPr>
      </w:pPr>
    </w:p>
    <w:p>
      <w:pPr>
        <w:widowControl/>
        <w:jc w:val="both"/>
        <w:rPr>
          <w:rFonts w:hint="eastAsia" w:ascii="仿宋" w:hAnsi="仿宋" w:eastAsia="仿宋" w:cs="仿宋"/>
          <w:sz w:val="32"/>
          <w:szCs w:val="32"/>
          <w:highlight w:val="none"/>
        </w:rPr>
      </w:pPr>
    </w:p>
    <w:p>
      <w:pPr>
        <w:widowControl/>
        <w:jc w:val="center"/>
        <w:rPr>
          <w:rFonts w:hint="eastAsia" w:ascii="仿宋" w:hAnsi="仿宋" w:eastAsia="仿宋" w:cs="仿宋"/>
          <w:b/>
          <w:bCs/>
          <w:sz w:val="52"/>
          <w:szCs w:val="52"/>
          <w:highlight w:val="none"/>
        </w:rPr>
      </w:pPr>
      <w:r>
        <w:rPr>
          <w:rFonts w:hint="eastAsia" w:ascii="仿宋" w:hAnsi="仿宋" w:eastAsia="仿宋" w:cs="仿宋"/>
          <w:b/>
          <w:bCs/>
          <w:sz w:val="52"/>
          <w:szCs w:val="52"/>
          <w:highlight w:val="none"/>
          <w:lang w:val="en-US" w:eastAsia="zh-CN"/>
        </w:rPr>
        <w:t>2024</w:t>
      </w:r>
      <w:r>
        <w:rPr>
          <w:rFonts w:hint="eastAsia" w:ascii="仿宋" w:hAnsi="仿宋" w:eastAsia="仿宋" w:cs="仿宋"/>
          <w:b/>
          <w:bCs/>
          <w:sz w:val="52"/>
          <w:szCs w:val="52"/>
          <w:highlight w:val="none"/>
        </w:rPr>
        <w:t>年度</w:t>
      </w:r>
    </w:p>
    <w:p>
      <w:pPr>
        <w:widowControl/>
        <w:jc w:val="center"/>
        <w:rPr>
          <w:rFonts w:hint="eastAsia" w:ascii="仿宋" w:hAnsi="仿宋" w:eastAsia="仿宋" w:cs="仿宋"/>
          <w:b/>
          <w:bCs/>
          <w:sz w:val="52"/>
          <w:szCs w:val="52"/>
          <w:highlight w:val="none"/>
          <w:lang w:val="en-US" w:eastAsia="zh-CN"/>
        </w:rPr>
        <w:sectPr>
          <w:footerReference r:id="rId3" w:type="default"/>
          <w:pgSz w:w="11906" w:h="16838"/>
          <w:pgMar w:top="1440" w:right="1083" w:bottom="1440" w:left="1083" w:header="0" w:footer="720" w:gutter="0"/>
          <w:pgBorders>
            <w:top w:val="none" w:sz="0" w:space="0"/>
            <w:left w:val="none" w:sz="0" w:space="0"/>
            <w:bottom w:val="none" w:sz="0" w:space="0"/>
            <w:right w:val="none" w:sz="0" w:space="0"/>
          </w:pgBorders>
          <w:pgNumType w:fmt="decimal"/>
          <w:cols w:space="0" w:num="1"/>
          <w:rtlGutter w:val="0"/>
          <w:docGrid w:type="lines" w:linePitch="317" w:charSpace="0"/>
        </w:sectPr>
      </w:pPr>
      <w:r>
        <w:rPr>
          <w:rFonts w:hint="eastAsia" w:ascii="仿宋" w:hAnsi="仿宋" w:eastAsia="仿宋" w:cs="仿宋"/>
          <w:b/>
          <w:bCs/>
          <w:sz w:val="52"/>
          <w:szCs w:val="52"/>
          <w:highlight w:val="none"/>
        </w:rPr>
        <w:t>厦门市高殿中心小学</w:t>
      </w:r>
      <w:r>
        <w:rPr>
          <w:rFonts w:hint="eastAsia" w:ascii="仿宋" w:hAnsi="仿宋" w:eastAsia="仿宋" w:cs="仿宋"/>
          <w:b/>
          <w:bCs/>
          <w:sz w:val="52"/>
          <w:szCs w:val="52"/>
          <w:highlight w:val="none"/>
          <w:lang w:val="en-US" w:eastAsia="zh-CN"/>
        </w:rPr>
        <w:t>单位</w:t>
      </w:r>
      <w:r>
        <w:rPr>
          <w:rFonts w:hint="eastAsia" w:ascii="仿宋" w:hAnsi="仿宋" w:eastAsia="仿宋" w:cs="仿宋"/>
          <w:b/>
          <w:bCs/>
          <w:sz w:val="52"/>
          <w:szCs w:val="52"/>
          <w:highlight w:val="none"/>
        </w:rPr>
        <w:t>决算</w:t>
      </w:r>
    </w:p>
    <w:sdt>
      <w:sdtPr>
        <w:rPr>
          <w:rFonts w:hint="eastAsia" w:ascii="仿宋" w:hAnsi="仿宋" w:eastAsia="仿宋" w:cs="仿宋"/>
          <w:b/>
          <w:bCs/>
          <w:kern w:val="0"/>
          <w:sz w:val="32"/>
          <w:szCs w:val="32"/>
          <w:lang w:val="en-US" w:eastAsia="zh-CN"/>
        </w:rPr>
        <w:id w:val="147456983"/>
        <w15:color w:val="DBDBDB"/>
        <w:docPartObj>
          <w:docPartGallery w:val="Table of Contents"/>
          <w:docPartUnique/>
        </w:docPartObj>
      </w:sdtPr>
      <w:sdtEndPr>
        <w:rPr>
          <w:rFonts w:hint="eastAsia" w:ascii="仿宋" w:hAnsi="仿宋" w:eastAsia="仿宋" w:cs="仿宋"/>
          <w:b/>
          <w:bCs/>
          <w:kern w:val="2"/>
          <w:sz w:val="32"/>
          <w:szCs w:val="32"/>
          <w:lang w:val="en-US" w:eastAsia="zh-CN" w:bidi="ar-SA"/>
        </w:rPr>
      </w:sdtEndPr>
      <w:sdtContent>
        <w:p>
          <w:pPr>
            <w:widowControl/>
            <w:spacing w:before="0" w:beforeLines="0" w:after="0" w:afterLines="0" w:line="240" w:lineRule="auto"/>
            <w:ind w:left="0" w:leftChars="0" w:right="0" w:rightChars="0" w:firstLine="0" w:firstLineChars="0"/>
            <w:jc w:val="center"/>
            <w:rPr>
              <w:rFonts w:hint="eastAsia" w:ascii="仿宋" w:hAnsi="仿宋" w:eastAsia="仿宋" w:cs="仿宋"/>
              <w:b/>
              <w:bCs/>
              <w:kern w:val="0"/>
              <w:sz w:val="32"/>
              <w:szCs w:val="32"/>
            </w:rPr>
          </w:pPr>
          <w:r>
            <w:rPr>
              <w:rFonts w:hint="eastAsia" w:ascii="仿宋" w:hAnsi="仿宋" w:eastAsia="仿宋" w:cs="仿宋"/>
              <w:b/>
              <w:bCs/>
              <w:kern w:val="0"/>
              <w:sz w:val="32"/>
              <w:szCs w:val="32"/>
            </w:rPr>
            <w:t>目录</w:t>
          </w:r>
        </w:p>
        <w:p>
          <w:pPr>
            <w:pStyle w:val="18"/>
            <w:tabs>
              <w:tab w:val="right" w:leader="dot" w:pos="9730"/>
            </w:tabs>
            <w:rPr>
              <w:rFonts w:hint="eastAsia" w:ascii="仿宋" w:hAnsi="仿宋" w:eastAsia="仿宋" w:cs="仿宋"/>
              <w:sz w:val="32"/>
              <w:szCs w:val="32"/>
            </w:rPr>
          </w:pPr>
          <w:r>
            <w:rPr>
              <w:rFonts w:hint="eastAsia" w:ascii="仿宋" w:hAnsi="仿宋" w:eastAsia="仿宋" w:cs="仿宋"/>
              <w:b w:val="0"/>
              <w:bCs/>
              <w:kern w:val="2"/>
              <w:sz w:val="32"/>
              <w:szCs w:val="32"/>
              <w:lang w:val="en-US" w:eastAsia="zh-CN" w:bidi="ar-SA"/>
            </w:rPr>
            <w:fldChar w:fldCharType="begin"/>
          </w:r>
          <w:r>
            <w:rPr>
              <w:rFonts w:hint="eastAsia" w:ascii="仿宋" w:hAnsi="仿宋" w:eastAsia="仿宋" w:cs="仿宋"/>
              <w:b w:val="0"/>
              <w:bCs/>
              <w:kern w:val="2"/>
              <w:sz w:val="32"/>
              <w:szCs w:val="32"/>
              <w:lang w:val="en-US" w:eastAsia="zh-CN" w:bidi="ar-SA"/>
            </w:rPr>
            <w:instrText xml:space="preserve">TOC \o "1-3" \h \u </w:instrText>
          </w:r>
          <w:r>
            <w:rPr>
              <w:rFonts w:hint="eastAsia" w:ascii="仿宋" w:hAnsi="仿宋" w:eastAsia="仿宋" w:cs="仿宋"/>
              <w:b w:val="0"/>
              <w:bCs/>
              <w:kern w:val="2"/>
              <w:sz w:val="32"/>
              <w:szCs w:val="32"/>
              <w:lang w:val="en-US" w:eastAsia="zh-CN" w:bidi="ar-SA"/>
            </w:rPr>
            <w:fldChar w:fldCharType="separate"/>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"_Toc256000093"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第一部分</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_Toc256000093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8"/>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"_Toc256000094"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单位概况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_Toc256000094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"_Toc256000095"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一、单位主要职责</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_Toc256000095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"_Toc256000096"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二、单位基本情况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_Toc256000096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"_Toc256000097"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三、单位主要工作总结</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_Toc256000097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8"/>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"_Toc256000098"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第二部分</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_Toc256000098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8"/>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"_Toc256000099"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2024年度决算表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_Toc256000099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"_Toc256000100"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一、收入支出决算总表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_Toc256000100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"_Toc256000101"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二、收入决算表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_Toc256000101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"_Toc256000102"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三、支出决算表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_Toc256000102 \h </w:instrText>
          </w:r>
          <w:r>
            <w:rPr>
              <w:rFonts w:hint="eastAsia" w:ascii="仿宋" w:hAnsi="仿宋" w:eastAsia="仿宋" w:cs="仿宋"/>
              <w:sz w:val="32"/>
              <w:szCs w:val="32"/>
            </w:rPr>
            <w:fldChar w:fldCharType="separate"/>
          </w:r>
          <w:r>
            <w:rPr>
              <w:rFonts w:hint="eastAsia" w:ascii="仿宋" w:hAnsi="仿宋" w:eastAsia="仿宋" w:cs="仿宋"/>
              <w:sz w:val="32"/>
              <w:szCs w:val="32"/>
            </w:rPr>
            <w:t>10</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"_Toc256000103"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四、财政拨款收入支出决算总表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_Toc256000103 \h </w:instrText>
          </w:r>
          <w:r>
            <w:rPr>
              <w:rFonts w:hint="eastAsia" w:ascii="仿宋" w:hAnsi="仿宋" w:eastAsia="仿宋" w:cs="仿宋"/>
              <w:sz w:val="32"/>
              <w:szCs w:val="32"/>
            </w:rPr>
            <w:fldChar w:fldCharType="separate"/>
          </w:r>
          <w:r>
            <w:rPr>
              <w:rFonts w:hint="eastAsia" w:ascii="仿宋" w:hAnsi="仿宋" w:eastAsia="仿宋" w:cs="仿宋"/>
              <w:sz w:val="32"/>
              <w:szCs w:val="32"/>
            </w:rPr>
            <w:t>12</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"_Toc256000104"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五、一般公共预算财政拨款支出决算表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_Toc256000104 \h </w:instrText>
          </w:r>
          <w:r>
            <w:rPr>
              <w:rFonts w:hint="eastAsia" w:ascii="仿宋" w:hAnsi="仿宋" w:eastAsia="仿宋" w:cs="仿宋"/>
              <w:sz w:val="32"/>
              <w:szCs w:val="32"/>
            </w:rPr>
            <w:fldChar w:fldCharType="separate"/>
          </w:r>
          <w:r>
            <w:rPr>
              <w:rFonts w:hint="eastAsia" w:ascii="仿宋" w:hAnsi="仿宋" w:eastAsia="仿宋" w:cs="仿宋"/>
              <w:sz w:val="32"/>
              <w:szCs w:val="32"/>
            </w:rPr>
            <w:t>14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"_Toc256000105"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六、一般公共预算财政拨款基本支出决算表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_Toc256000105 \h </w:instrText>
          </w:r>
          <w:r>
            <w:rPr>
              <w:rFonts w:hint="eastAsia" w:ascii="仿宋" w:hAnsi="仿宋" w:eastAsia="仿宋" w:cs="仿宋"/>
              <w:sz w:val="32"/>
              <w:szCs w:val="32"/>
            </w:rPr>
            <w:fldChar w:fldCharType="separate"/>
          </w:r>
          <w:r>
            <w:rPr>
              <w:rFonts w:hint="eastAsia" w:ascii="仿宋" w:hAnsi="仿宋" w:eastAsia="仿宋" w:cs="仿宋"/>
              <w:sz w:val="32"/>
              <w:szCs w:val="32"/>
            </w:rPr>
            <w:t>15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"_Toc256000106"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七、一般公共预算财政拨款“三公”经费支出决算表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_Toc256000106 \h </w:instrText>
          </w:r>
          <w:r>
            <w:rPr>
              <w:rFonts w:hint="eastAsia" w:ascii="仿宋" w:hAnsi="仿宋" w:eastAsia="仿宋" w:cs="仿宋"/>
              <w:sz w:val="32"/>
              <w:szCs w:val="32"/>
            </w:rPr>
            <w:fldChar w:fldCharType="separate"/>
          </w:r>
          <w:r>
            <w:rPr>
              <w:rFonts w:hint="eastAsia" w:ascii="仿宋" w:hAnsi="仿宋" w:eastAsia="仿宋" w:cs="仿宋"/>
              <w:sz w:val="32"/>
              <w:szCs w:val="32"/>
            </w:rPr>
            <w:t>17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"_Toc256000107"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八、政府性基金预算财政拨款收入支出决算表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_Toc256000107 \h </w:instrText>
          </w:r>
          <w:r>
            <w:rPr>
              <w:rFonts w:hint="eastAsia" w:ascii="仿宋" w:hAnsi="仿宋" w:eastAsia="仿宋" w:cs="仿宋"/>
              <w:sz w:val="32"/>
              <w:szCs w:val="32"/>
            </w:rPr>
            <w:fldChar w:fldCharType="separate"/>
          </w:r>
          <w:r>
            <w:rPr>
              <w:rFonts w:hint="eastAsia" w:ascii="仿宋" w:hAnsi="仿宋" w:eastAsia="仿宋" w:cs="仿宋"/>
              <w:sz w:val="32"/>
              <w:szCs w:val="32"/>
            </w:rPr>
            <w:t>17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"_Toc256000108"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九、国有资本经营预算财政拨款支出决算表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_Toc256000108 \h </w:instrText>
          </w:r>
          <w:r>
            <w:rPr>
              <w:rFonts w:hint="eastAsia" w:ascii="仿宋" w:hAnsi="仿宋" w:eastAsia="仿宋" w:cs="仿宋"/>
              <w:sz w:val="32"/>
              <w:szCs w:val="32"/>
            </w:rPr>
            <w:fldChar w:fldCharType="separate"/>
          </w:r>
          <w:r>
            <w:rPr>
              <w:rFonts w:hint="eastAsia" w:ascii="仿宋" w:hAnsi="仿宋" w:eastAsia="仿宋" w:cs="仿宋"/>
              <w:sz w:val="32"/>
              <w:szCs w:val="32"/>
            </w:rPr>
            <w:t>18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8"/>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"_Toc256000109"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第三部分</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_Toc256000109 \h </w:instrText>
          </w:r>
          <w:r>
            <w:rPr>
              <w:rFonts w:hint="eastAsia" w:ascii="仿宋" w:hAnsi="仿宋" w:eastAsia="仿宋" w:cs="仿宋"/>
              <w:sz w:val="32"/>
              <w:szCs w:val="32"/>
            </w:rPr>
            <w:fldChar w:fldCharType="separate"/>
          </w:r>
          <w:r>
            <w:rPr>
              <w:rFonts w:hint="eastAsia" w:ascii="仿宋" w:hAnsi="仿宋" w:eastAsia="仿宋" w:cs="仿宋"/>
              <w:sz w:val="32"/>
              <w:szCs w:val="32"/>
            </w:rPr>
            <w:t>18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8"/>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"_Toc256000110"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2024年度决算情况说明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_Toc256000110 \h </w:instrText>
          </w:r>
          <w:r>
            <w:rPr>
              <w:rFonts w:hint="eastAsia" w:ascii="仿宋" w:hAnsi="仿宋" w:eastAsia="仿宋" w:cs="仿宋"/>
              <w:sz w:val="32"/>
              <w:szCs w:val="32"/>
            </w:rPr>
            <w:fldChar w:fldCharType="separate"/>
          </w:r>
          <w:r>
            <w:rPr>
              <w:rFonts w:hint="eastAsia" w:ascii="仿宋" w:hAnsi="仿宋" w:eastAsia="仿宋" w:cs="仿宋"/>
              <w:sz w:val="32"/>
              <w:szCs w:val="32"/>
            </w:rPr>
            <w:t>18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"_Toc256000111"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一、收入支出决算总体情况说明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_Toc256000111 \h </w:instrText>
          </w:r>
          <w:r>
            <w:rPr>
              <w:rFonts w:hint="eastAsia" w:ascii="仿宋" w:hAnsi="仿宋" w:eastAsia="仿宋" w:cs="仿宋"/>
              <w:sz w:val="32"/>
              <w:szCs w:val="32"/>
            </w:rPr>
            <w:fldChar w:fldCharType="separate"/>
          </w:r>
          <w:r>
            <w:rPr>
              <w:rFonts w:hint="eastAsia" w:ascii="仿宋" w:hAnsi="仿宋" w:eastAsia="仿宋" w:cs="仿宋"/>
              <w:sz w:val="32"/>
              <w:szCs w:val="32"/>
            </w:rPr>
            <w:t>18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"_Toc256000112"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二、财政拨款收入支出决算总体情况说明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_Toc256000112 \h </w:instrText>
          </w:r>
          <w:r>
            <w:rPr>
              <w:rFonts w:hint="eastAsia" w:ascii="仿宋" w:hAnsi="仿宋" w:eastAsia="仿宋" w:cs="仿宋"/>
              <w:sz w:val="32"/>
              <w:szCs w:val="32"/>
            </w:rPr>
            <w:fldChar w:fldCharType="separate"/>
          </w:r>
          <w:r>
            <w:rPr>
              <w:rFonts w:hint="eastAsia" w:ascii="仿宋" w:hAnsi="仿宋" w:eastAsia="仿宋" w:cs="仿宋"/>
              <w:sz w:val="32"/>
              <w:szCs w:val="32"/>
            </w:rPr>
            <w:t>20</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"_Toc256000113"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三、一般公共预算拨款支出决算情况说明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_Toc256000113 \h </w:instrText>
          </w:r>
          <w:r>
            <w:rPr>
              <w:rFonts w:hint="eastAsia" w:ascii="仿宋" w:hAnsi="仿宋" w:eastAsia="仿宋" w:cs="仿宋"/>
              <w:sz w:val="32"/>
              <w:szCs w:val="32"/>
            </w:rPr>
            <w:fldChar w:fldCharType="separate"/>
          </w:r>
          <w:r>
            <w:rPr>
              <w:rFonts w:hint="eastAsia" w:ascii="仿宋" w:hAnsi="仿宋" w:eastAsia="仿宋" w:cs="仿宋"/>
              <w:sz w:val="32"/>
              <w:szCs w:val="32"/>
            </w:rPr>
            <w:t>20</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"_Toc256000114"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四、政府性基金预算财政拨款支出决算情况说明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_Toc256000114 \h </w:instrText>
          </w:r>
          <w:r>
            <w:rPr>
              <w:rFonts w:hint="eastAsia" w:ascii="仿宋" w:hAnsi="仿宋" w:eastAsia="仿宋" w:cs="仿宋"/>
              <w:sz w:val="32"/>
              <w:szCs w:val="32"/>
            </w:rPr>
            <w:fldChar w:fldCharType="separate"/>
          </w:r>
          <w:r>
            <w:rPr>
              <w:rFonts w:hint="eastAsia" w:ascii="仿宋" w:hAnsi="仿宋" w:eastAsia="仿宋" w:cs="仿宋"/>
              <w:sz w:val="32"/>
              <w:szCs w:val="32"/>
            </w:rPr>
            <w:t>21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"_Toc256000115"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五、国有资本经营预算财政拨款支出决算情况说明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_Toc256000115 \h </w:instrText>
          </w:r>
          <w:r>
            <w:rPr>
              <w:rFonts w:hint="eastAsia" w:ascii="仿宋" w:hAnsi="仿宋" w:eastAsia="仿宋" w:cs="仿宋"/>
              <w:sz w:val="32"/>
              <w:szCs w:val="32"/>
            </w:rPr>
            <w:fldChar w:fldCharType="separate"/>
          </w:r>
          <w:r>
            <w:rPr>
              <w:rFonts w:hint="eastAsia" w:ascii="仿宋" w:hAnsi="仿宋" w:eastAsia="仿宋" w:cs="仿宋"/>
              <w:sz w:val="32"/>
              <w:szCs w:val="32"/>
            </w:rPr>
            <w:t>22</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"_Toc256000116"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六、一般公共预算财政拨款基本支出决算情况说明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_Toc256000116 \h </w:instrText>
          </w:r>
          <w:r>
            <w:rPr>
              <w:rFonts w:hint="eastAsia" w:ascii="仿宋" w:hAnsi="仿宋" w:eastAsia="仿宋" w:cs="仿宋"/>
              <w:sz w:val="32"/>
              <w:szCs w:val="32"/>
            </w:rPr>
            <w:fldChar w:fldCharType="separate"/>
          </w:r>
          <w:r>
            <w:rPr>
              <w:rFonts w:hint="eastAsia" w:ascii="仿宋" w:hAnsi="仿宋" w:eastAsia="仿宋" w:cs="仿宋"/>
              <w:sz w:val="32"/>
              <w:szCs w:val="32"/>
            </w:rPr>
            <w:t>22</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"_Toc256000117"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七、一般公共预算拨款“三公”经费支出决算情况说明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_Toc256000117 \h </w:instrText>
          </w:r>
          <w:r>
            <w:rPr>
              <w:rFonts w:hint="eastAsia" w:ascii="仿宋" w:hAnsi="仿宋" w:eastAsia="仿宋" w:cs="仿宋"/>
              <w:sz w:val="32"/>
              <w:szCs w:val="32"/>
            </w:rPr>
            <w:fldChar w:fldCharType="separate"/>
          </w:r>
          <w:r>
            <w:rPr>
              <w:rFonts w:hint="eastAsia" w:ascii="仿宋" w:hAnsi="仿宋" w:eastAsia="仿宋" w:cs="仿宋"/>
              <w:sz w:val="32"/>
              <w:szCs w:val="32"/>
            </w:rPr>
            <w:t>23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"_Toc256000118"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八、预算绩效情况说明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_Toc256000118 \h </w:instrText>
          </w:r>
          <w:r>
            <w:rPr>
              <w:rFonts w:hint="eastAsia" w:ascii="仿宋" w:hAnsi="仿宋" w:eastAsia="仿宋" w:cs="仿宋"/>
              <w:sz w:val="32"/>
              <w:szCs w:val="32"/>
            </w:rPr>
            <w:fldChar w:fldCharType="separate"/>
          </w:r>
          <w:r>
            <w:rPr>
              <w:rFonts w:hint="eastAsia" w:ascii="仿宋" w:hAnsi="仿宋" w:eastAsia="仿宋" w:cs="仿宋"/>
              <w:sz w:val="32"/>
              <w:szCs w:val="32"/>
            </w:rPr>
            <w:t>23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1"/>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"_Toc256000119"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九、其他重要事项说明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_Toc256000119 \h </w:instrText>
          </w:r>
          <w:r>
            <w:rPr>
              <w:rFonts w:hint="eastAsia" w:ascii="仿宋" w:hAnsi="仿宋" w:eastAsia="仿宋" w:cs="仿宋"/>
              <w:sz w:val="32"/>
              <w:szCs w:val="32"/>
            </w:rPr>
            <w:fldChar w:fldCharType="separate"/>
          </w:r>
          <w:r>
            <w:rPr>
              <w:rFonts w:hint="eastAsia" w:ascii="仿宋" w:hAnsi="仿宋" w:eastAsia="仿宋" w:cs="仿宋"/>
              <w:sz w:val="32"/>
              <w:szCs w:val="32"/>
            </w:rPr>
            <w:t>24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8"/>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"_Toc256000120"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第四部分</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_Toc256000120 \h </w:instrText>
          </w:r>
          <w:r>
            <w:rPr>
              <w:rFonts w:hint="eastAsia" w:ascii="仿宋" w:hAnsi="仿宋" w:eastAsia="仿宋" w:cs="仿宋"/>
              <w:sz w:val="32"/>
              <w:szCs w:val="32"/>
            </w:rPr>
            <w:fldChar w:fldCharType="separate"/>
          </w:r>
          <w:r>
            <w:rPr>
              <w:rFonts w:hint="eastAsia" w:ascii="仿宋" w:hAnsi="仿宋" w:eastAsia="仿宋" w:cs="仿宋"/>
              <w:sz w:val="32"/>
              <w:szCs w:val="32"/>
            </w:rPr>
            <w:t>24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8"/>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"_Toc256000121"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名词解释</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_Toc256000121 \h </w:instrText>
          </w:r>
          <w:r>
            <w:rPr>
              <w:rFonts w:hint="eastAsia" w:ascii="仿宋" w:hAnsi="仿宋" w:eastAsia="仿宋" w:cs="仿宋"/>
              <w:sz w:val="32"/>
              <w:szCs w:val="32"/>
            </w:rPr>
            <w:fldChar w:fldCharType="separate"/>
          </w:r>
          <w:r>
            <w:rPr>
              <w:rFonts w:hint="eastAsia" w:ascii="仿宋" w:hAnsi="仿宋" w:eastAsia="仿宋" w:cs="仿宋"/>
              <w:sz w:val="32"/>
              <w:szCs w:val="32"/>
            </w:rPr>
            <w:t>25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8"/>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"_Toc256000122"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第五部分</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_Toc256000122 \h </w:instrText>
          </w:r>
          <w:r>
            <w:rPr>
              <w:rFonts w:hint="eastAsia" w:ascii="仿宋" w:hAnsi="仿宋" w:eastAsia="仿宋" w:cs="仿宋"/>
              <w:sz w:val="32"/>
              <w:szCs w:val="32"/>
            </w:rPr>
            <w:fldChar w:fldCharType="separate"/>
          </w:r>
          <w:r>
            <w:rPr>
              <w:rFonts w:hint="eastAsia" w:ascii="仿宋" w:hAnsi="仿宋" w:eastAsia="仿宋" w:cs="仿宋"/>
              <w:sz w:val="32"/>
              <w:szCs w:val="32"/>
            </w:rPr>
            <w:t>27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8"/>
            <w:tabs>
              <w:tab w:val="right" w:leader="dot" w:pos="9730"/>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"_Toc256000123" </w:instrText>
          </w:r>
          <w:r>
            <w:rPr>
              <w:rFonts w:hint="eastAsia" w:ascii="仿宋" w:hAnsi="仿宋" w:eastAsia="仿宋" w:cs="仿宋"/>
              <w:sz w:val="32"/>
              <w:szCs w:val="32"/>
            </w:rPr>
            <w:fldChar w:fldCharType="separate"/>
          </w:r>
          <w:r>
            <w:rPr>
              <w:rStyle w:val="22"/>
              <w:rFonts w:hint="eastAsia" w:ascii="仿宋" w:hAnsi="仿宋" w:eastAsia="仿宋" w:cs="仿宋"/>
              <w:sz w:val="32"/>
              <w:szCs w:val="32"/>
            </w:rPr>
            <w:t>附件</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_Toc256000123 \h </w:instrText>
          </w:r>
          <w:r>
            <w:rPr>
              <w:rFonts w:hint="eastAsia" w:ascii="仿宋" w:hAnsi="仿宋" w:eastAsia="仿宋" w:cs="仿宋"/>
              <w:sz w:val="32"/>
              <w:szCs w:val="32"/>
            </w:rPr>
            <w:fldChar w:fldCharType="separate"/>
          </w:r>
          <w:r>
            <w:rPr>
              <w:rFonts w:hint="eastAsia" w:ascii="仿宋" w:hAnsi="仿宋" w:eastAsia="仿宋" w:cs="仿宋"/>
              <w:sz w:val="32"/>
              <w:szCs w:val="32"/>
            </w:rPr>
            <w:t>27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adjustRightInd w:val="0"/>
            <w:snapToGrid w:val="0"/>
            <w:rPr>
              <w:rFonts w:hint="eastAsia" w:ascii="仿宋" w:hAnsi="仿宋" w:eastAsia="仿宋" w:cs="仿宋"/>
              <w:b w:val="0"/>
              <w:bCs/>
              <w:kern w:val="2"/>
              <w:sz w:val="32"/>
              <w:szCs w:val="32"/>
              <w:lang w:val="en-US" w:eastAsia="zh-CN" w:bidi="ar-SA"/>
            </w:rPr>
            <w:sectPr>
              <w:footerReference r:id="rId4" w:type="default"/>
              <w:pgSz w:w="11906" w:h="16838"/>
              <w:pgMar w:top="1440" w:right="1083" w:bottom="1440" w:left="1083" w:header="0" w:footer="720" w:gutter="0"/>
              <w:pgBorders>
                <w:top w:val="none" w:sz="0" w:space="0"/>
                <w:left w:val="none" w:sz="0" w:space="0"/>
                <w:bottom w:val="none" w:sz="0" w:space="0"/>
                <w:right w:val="none" w:sz="0" w:space="0"/>
              </w:pgBorders>
              <w:cols w:space="0" w:num="1"/>
              <w:rtlGutter w:val="0"/>
              <w:docGrid w:type="lines" w:linePitch="317" w:charSpace="0"/>
            </w:sectPr>
          </w:pPr>
          <w:r>
            <w:rPr>
              <w:rFonts w:hint="eastAsia" w:ascii="仿宋" w:hAnsi="仿宋" w:eastAsia="仿宋" w:cs="仿宋"/>
              <w:b w:val="0"/>
              <w:bCs/>
              <w:kern w:val="2"/>
              <w:sz w:val="32"/>
              <w:szCs w:val="32"/>
              <w:lang w:val="en-US" w:eastAsia="zh-CN" w:bidi="ar-SA"/>
            </w:rPr>
            <w:fldChar w:fldCharType="end"/>
          </w:r>
        </w:p>
      </w:sdtContent>
    </w:sdt>
    <w:p>
      <w:pPr>
        <w:pStyle w:val="29"/>
        <w:widowControl/>
        <w:spacing w:before="100" w:after="100"/>
        <w:ind w:left="0" w:right="0" w:firstLine="0"/>
        <w:jc w:val="center"/>
        <w:rPr>
          <w:rFonts w:hint="eastAsia" w:ascii="仿宋" w:hAnsi="仿宋" w:eastAsia="仿宋" w:cs="仿宋"/>
          <w:kern w:val="0"/>
          <w:sz w:val="32"/>
          <w:szCs w:val="32"/>
        </w:rPr>
      </w:pPr>
      <w:bookmarkStart w:id="0" w:name="_Toc256000093"/>
      <w:bookmarkStart w:id="1" w:name="_Toc256000062"/>
      <w:bookmarkStart w:id="2" w:name="_Toc256000031"/>
      <w:bookmarkStart w:id="3" w:name="_Toc256000000"/>
      <w:bookmarkStart w:id="4" w:name="a000"/>
      <w:r>
        <w:rPr>
          <w:rFonts w:hint="eastAsia" w:ascii="仿宋" w:hAnsi="仿宋" w:eastAsia="仿宋" w:cs="仿宋"/>
          <w:b/>
          <w:spacing w:val="0"/>
          <w:sz w:val="32"/>
          <w:szCs w:val="32"/>
        </w:rPr>
        <w:t>第一部分</w:t>
      </w:r>
      <w:bookmarkEnd w:id="0"/>
      <w:bookmarkEnd w:id="1"/>
      <w:bookmarkEnd w:id="2"/>
      <w:bookmarkEnd w:id="3"/>
      <w:r>
        <w:rPr>
          <w:rFonts w:hint="eastAsia" w:ascii="仿宋" w:hAnsi="仿宋" w:eastAsia="仿宋" w:cs="仿宋"/>
          <w:b/>
          <w:spacing w:val="0"/>
          <w:sz w:val="32"/>
          <w:szCs w:val="32"/>
        </w:rPr>
        <w:t> </w:t>
      </w:r>
      <w:bookmarkStart w:id="5" w:name="_Toc256000094"/>
      <w:bookmarkStart w:id="6" w:name="_Toc256000032"/>
      <w:bookmarkStart w:id="7" w:name="_Toc256000063"/>
      <w:bookmarkStart w:id="8" w:name="_Toc256000001"/>
      <w:r>
        <w:rPr>
          <w:rFonts w:hint="eastAsia" w:ascii="仿宋" w:hAnsi="仿宋" w:eastAsia="仿宋" w:cs="仿宋"/>
          <w:b/>
          <w:spacing w:val="0"/>
          <w:sz w:val="32"/>
          <w:szCs w:val="32"/>
          <w:lang w:val="en-US" w:eastAsia="zh-CN"/>
        </w:rPr>
        <w:t xml:space="preserve">  </w:t>
      </w:r>
      <w:r>
        <w:rPr>
          <w:rFonts w:hint="eastAsia" w:ascii="仿宋" w:hAnsi="仿宋" w:eastAsia="仿宋" w:cs="仿宋"/>
          <w:b/>
          <w:spacing w:val="0"/>
          <w:sz w:val="32"/>
          <w:szCs w:val="32"/>
        </w:rPr>
        <w:t>单位概况</w:t>
      </w:r>
      <w:bookmarkEnd w:id="5"/>
      <w:bookmarkEnd w:id="6"/>
      <w:bookmarkEnd w:id="7"/>
      <w:bookmarkEnd w:id="8"/>
    </w:p>
    <w:p>
      <w:pPr>
        <w:pStyle w:val="6"/>
        <w:keepNext w:val="0"/>
        <w:keepLines w:val="0"/>
        <w:spacing w:before="100" w:after="100" w:line="240" w:lineRule="auto"/>
        <w:ind w:left="0" w:right="0" w:firstLine="0" w:firstLineChars="0"/>
        <w:rPr>
          <w:rFonts w:hint="eastAsia" w:ascii="仿宋" w:hAnsi="仿宋" w:eastAsia="仿宋" w:cs="仿宋"/>
          <w:b/>
          <w:bCs/>
          <w:kern w:val="0"/>
          <w:sz w:val="32"/>
          <w:szCs w:val="32"/>
        </w:rPr>
      </w:pPr>
      <w:r>
        <w:rPr>
          <w:rFonts w:hint="eastAsia" w:ascii="仿宋" w:hAnsi="仿宋" w:eastAsia="仿宋" w:cs="仿宋"/>
          <w:b/>
          <w:spacing w:val="0"/>
          <w:sz w:val="32"/>
          <w:szCs w:val="32"/>
        </w:rPr>
        <w:t xml:space="preserve">    </w:t>
      </w:r>
      <w:bookmarkStart w:id="9" w:name="_Toc256000033"/>
      <w:bookmarkStart w:id="10" w:name="_Toc256000095"/>
      <w:bookmarkStart w:id="11" w:name="_Toc256000002"/>
      <w:bookmarkStart w:id="12" w:name="_Toc256000064"/>
      <w:r>
        <w:rPr>
          <w:rFonts w:hint="eastAsia" w:ascii="仿宋" w:hAnsi="仿宋" w:eastAsia="仿宋" w:cs="仿宋"/>
          <w:b/>
          <w:spacing w:val="0"/>
          <w:sz w:val="32"/>
          <w:szCs w:val="32"/>
          <w:lang w:val="en-US" w:eastAsia="zh-CN"/>
        </w:rPr>
        <w:t xml:space="preserve"> </w:t>
      </w:r>
      <w:r>
        <w:rPr>
          <w:rFonts w:hint="eastAsia" w:ascii="仿宋" w:hAnsi="仿宋" w:eastAsia="仿宋" w:cs="仿宋"/>
          <w:b/>
          <w:spacing w:val="0"/>
          <w:sz w:val="32"/>
          <w:szCs w:val="32"/>
        </w:rPr>
        <w:t>一、单位主要职责</w:t>
      </w:r>
      <w:bookmarkEnd w:id="9"/>
      <w:bookmarkEnd w:id="10"/>
      <w:bookmarkEnd w:id="11"/>
      <w:bookmarkEnd w:id="12"/>
    </w:p>
    <w:p>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spacing w:val="0"/>
          <w:kern w:val="0"/>
          <w:sz w:val="32"/>
          <w:szCs w:val="32"/>
        </w:rPr>
        <w:t>厦门市高殿中心小学单位的主要职责是：</w:t>
      </w:r>
      <w:r>
        <w:rPr>
          <w:rFonts w:hint="eastAsia" w:ascii="仿宋" w:hAnsi="仿宋" w:eastAsia="仿宋" w:cs="仿宋"/>
          <w:spacing w:val="0"/>
          <w:kern w:val="0"/>
          <w:sz w:val="32"/>
          <w:szCs w:val="32"/>
          <w:lang w:val="en-US" w:eastAsia="zh-CN"/>
        </w:rPr>
        <w:t>认真落实湖里区教育局全国、全省双实验区“七大任务，十大行动”要求，继续践行学校励志教育办学理念，“励”促思维，“志”向成长，以区教改汇报会为契机，规范有序、务实高效做好各项工作，奋力推进学校高质量发展。</w:t>
      </w:r>
    </w:p>
    <w:p>
      <w:pPr>
        <w:pStyle w:val="6"/>
        <w:keepNext w:val="0"/>
        <w:keepLines w:val="0"/>
        <w:spacing w:before="100" w:after="100" w:line="600" w:lineRule="atLeast"/>
        <w:ind w:left="0" w:right="0" w:firstLine="640" w:firstLineChars="0"/>
        <w:rPr>
          <w:rFonts w:hint="eastAsia" w:ascii="仿宋" w:hAnsi="仿宋" w:eastAsia="仿宋" w:cs="仿宋"/>
          <w:b/>
          <w:bCs/>
          <w:kern w:val="0"/>
          <w:sz w:val="32"/>
          <w:szCs w:val="32"/>
        </w:rPr>
      </w:pPr>
      <w:bookmarkStart w:id="13" w:name="_Toc256000034"/>
      <w:bookmarkStart w:id="14" w:name="_Toc256000003"/>
      <w:bookmarkStart w:id="15" w:name="_Toc256000065"/>
      <w:bookmarkStart w:id="16" w:name="_Toc256000096"/>
      <w:r>
        <w:rPr>
          <w:rFonts w:hint="eastAsia" w:ascii="仿宋" w:hAnsi="仿宋" w:eastAsia="仿宋" w:cs="仿宋"/>
          <w:b/>
          <w:spacing w:val="0"/>
          <w:sz w:val="32"/>
          <w:szCs w:val="32"/>
        </w:rPr>
        <w:t>二、单位基本情况</w:t>
      </w:r>
      <w:bookmarkEnd w:id="13"/>
      <w:bookmarkEnd w:id="14"/>
      <w:bookmarkEnd w:id="15"/>
      <w:bookmarkEnd w:id="16"/>
    </w:p>
    <w:p>
      <w:pPr>
        <w:pStyle w:val="29"/>
        <w:widowControl/>
        <w:spacing w:before="100" w:after="100" w:line="600" w:lineRule="atLeast"/>
        <w:ind w:left="0" w:right="0" w:firstLine="640"/>
        <w:jc w:val="left"/>
        <w:rPr>
          <w:rFonts w:hint="eastAsia" w:ascii="仿宋" w:hAnsi="仿宋" w:eastAsia="仿宋" w:cs="仿宋"/>
          <w:kern w:val="0"/>
          <w:sz w:val="32"/>
          <w:szCs w:val="32"/>
        </w:rPr>
      </w:pPr>
      <w:r>
        <w:rPr>
          <w:rFonts w:hint="eastAsia" w:ascii="仿宋" w:hAnsi="仿宋" w:eastAsia="仿宋" w:cs="仿宋"/>
          <w:spacing w:val="0"/>
          <w:kern w:val="0"/>
          <w:sz w:val="32"/>
          <w:szCs w:val="32"/>
        </w:rPr>
        <w:t>从决算单位构成看，本单位包括</w:t>
      </w:r>
      <w:r>
        <w:rPr>
          <w:rFonts w:hint="eastAsia" w:ascii="仿宋" w:hAnsi="仿宋" w:eastAsia="仿宋" w:cs="仿宋"/>
          <w:spacing w:val="0"/>
          <w:kern w:val="0"/>
          <w:sz w:val="32"/>
          <w:szCs w:val="32"/>
          <w:lang w:val="en-US" w:eastAsia="zh-CN"/>
        </w:rPr>
        <w:t>5</w:t>
      </w:r>
      <w:r>
        <w:rPr>
          <w:rFonts w:hint="eastAsia" w:ascii="仿宋" w:hAnsi="仿宋" w:eastAsia="仿宋" w:cs="仿宋"/>
          <w:spacing w:val="0"/>
          <w:kern w:val="0"/>
          <w:sz w:val="32"/>
          <w:szCs w:val="32"/>
        </w:rPr>
        <w:t>个内设机构，其中：列入2024年决算编制范围的单位详细情况见下表:</w:t>
      </w:r>
    </w:p>
    <w:tbl>
      <w:tblPr>
        <w:tblStyle w:val="23"/>
        <w:tblW w:w="8730" w:type="dxa"/>
        <w:jc w:val="center"/>
        <w:tblInd w:w="6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3037"/>
        <w:gridCol w:w="5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0" w:hRule="atLeast"/>
          <w:tblHeader/>
          <w:jc w:val="center"/>
        </w:trPr>
        <w:tc>
          <w:tcPr>
            <w:tcW w:w="3037" w:type="dxa"/>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spacing w:val="0"/>
                <w:kern w:val="0"/>
                <w:sz w:val="32"/>
                <w:szCs w:val="32"/>
              </w:rPr>
            </w:pPr>
            <w:r>
              <w:rPr>
                <w:rFonts w:hint="eastAsia" w:ascii="仿宋" w:hAnsi="仿宋" w:eastAsia="仿宋" w:cs="仿宋"/>
                <w:b w:val="0"/>
                <w:bCs w:val="0"/>
                <w:i w:val="0"/>
                <w:iCs w:val="0"/>
                <w:smallCaps w:val="0"/>
                <w:color w:val="000000"/>
                <w:spacing w:val="0"/>
                <w:kern w:val="0"/>
                <w:sz w:val="32"/>
                <w:szCs w:val="32"/>
              </w:rPr>
              <w:t>序号</w:t>
            </w:r>
          </w:p>
        </w:tc>
        <w:tc>
          <w:tcPr>
            <w:tcW w:w="5693" w:type="dxa"/>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spacing w:val="0"/>
                <w:kern w:val="0"/>
                <w:sz w:val="32"/>
                <w:szCs w:val="32"/>
              </w:rPr>
            </w:pPr>
            <w:r>
              <w:rPr>
                <w:rFonts w:hint="eastAsia" w:ascii="仿宋" w:hAnsi="仿宋" w:eastAsia="仿宋" w:cs="仿宋"/>
                <w:b w:val="0"/>
                <w:bCs w:val="0"/>
                <w:i w:val="0"/>
                <w:iCs w:val="0"/>
                <w:smallCaps w:val="0"/>
                <w:color w:val="000000"/>
                <w:spacing w:val="0"/>
                <w:kern w:val="0"/>
                <w:sz w:val="32"/>
                <w:szCs w:val="32"/>
              </w:rPr>
              <w:t>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0" w:hRule="atLeast"/>
          <w:tblHeader/>
          <w:jc w:val="center"/>
        </w:trPr>
        <w:tc>
          <w:tcPr>
            <w:tcW w:w="3037" w:type="dxa"/>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spacing w:val="0"/>
                <w:kern w:val="0"/>
                <w:sz w:val="32"/>
                <w:szCs w:val="32"/>
                <w:lang w:val="en-US" w:eastAsia="zh-CN"/>
              </w:rPr>
            </w:pPr>
            <w:r>
              <w:rPr>
                <w:rFonts w:hint="eastAsia" w:ascii="仿宋" w:hAnsi="仿宋" w:eastAsia="仿宋" w:cs="仿宋"/>
                <w:b w:val="0"/>
                <w:bCs w:val="0"/>
                <w:i w:val="0"/>
                <w:iCs w:val="0"/>
                <w:smallCaps w:val="0"/>
                <w:color w:val="000000"/>
                <w:spacing w:val="0"/>
                <w:kern w:val="0"/>
                <w:sz w:val="32"/>
                <w:szCs w:val="32"/>
                <w:lang w:val="en-US" w:eastAsia="zh-CN"/>
              </w:rPr>
              <w:t>1</w:t>
            </w:r>
          </w:p>
        </w:tc>
        <w:tc>
          <w:tcPr>
            <w:tcW w:w="5693" w:type="dxa"/>
            <w:noWrap w:val="0"/>
            <w:tcMar>
              <w:top w:w="22" w:type="dxa"/>
              <w:left w:w="22" w:type="dxa"/>
              <w:bottom w:w="22" w:type="dxa"/>
              <w:right w:w="22" w:type="dxa"/>
            </w:tcMar>
            <w:vAlign w:val="center"/>
          </w:tcPr>
          <w:p>
            <w:pPr>
              <w:widowControl/>
              <w:jc w:val="center"/>
              <w:rPr>
                <w:rFonts w:hint="default" w:ascii="仿宋" w:hAnsi="仿宋" w:eastAsia="仿宋" w:cs="仿宋"/>
                <w:b w:val="0"/>
                <w:bCs w:val="0"/>
                <w:i w:val="0"/>
                <w:iCs w:val="0"/>
                <w:smallCaps w:val="0"/>
                <w:color w:val="000000"/>
                <w:spacing w:val="0"/>
                <w:kern w:val="0"/>
                <w:sz w:val="32"/>
                <w:szCs w:val="32"/>
                <w:lang w:val="en-US" w:eastAsia="zh-CN"/>
              </w:rPr>
            </w:pPr>
            <w:r>
              <w:rPr>
                <w:rFonts w:hint="eastAsia" w:ascii="仿宋" w:hAnsi="仿宋" w:eastAsia="仿宋" w:cs="仿宋"/>
                <w:b w:val="0"/>
                <w:bCs w:val="0"/>
                <w:i w:val="0"/>
                <w:iCs w:val="0"/>
                <w:smallCaps w:val="0"/>
                <w:color w:val="000000"/>
                <w:spacing w:val="0"/>
                <w:kern w:val="0"/>
                <w:sz w:val="32"/>
                <w:szCs w:val="32"/>
                <w:lang w:val="en-US" w:eastAsia="zh-CN"/>
              </w:rPr>
              <w:t>厦门市高殿中心小学</w:t>
            </w:r>
          </w:p>
        </w:tc>
      </w:tr>
    </w:tbl>
    <w:p>
      <w:pPr>
        <w:pStyle w:val="6"/>
        <w:keepNext w:val="0"/>
        <w:keepLines w:val="0"/>
        <w:spacing w:before="100" w:after="100" w:line="600" w:lineRule="atLeast"/>
        <w:ind w:left="0" w:right="0" w:firstLine="640" w:firstLineChars="0"/>
        <w:jc w:val="both"/>
        <w:rPr>
          <w:rFonts w:hint="eastAsia" w:ascii="仿宋" w:hAnsi="仿宋" w:eastAsia="仿宋" w:cs="仿宋"/>
          <w:b/>
          <w:bCs/>
          <w:kern w:val="0"/>
          <w:sz w:val="32"/>
          <w:szCs w:val="32"/>
        </w:rPr>
      </w:pPr>
      <w:bookmarkStart w:id="17" w:name="_Toc256000035"/>
      <w:bookmarkStart w:id="18" w:name="_Toc256000004"/>
      <w:bookmarkStart w:id="19" w:name="_Toc256000097"/>
      <w:bookmarkStart w:id="20" w:name="_Toc256000066"/>
      <w:r>
        <w:rPr>
          <w:rFonts w:hint="eastAsia" w:ascii="仿宋" w:hAnsi="仿宋" w:eastAsia="仿宋" w:cs="仿宋"/>
          <w:b/>
          <w:spacing w:val="0"/>
          <w:sz w:val="32"/>
          <w:szCs w:val="32"/>
        </w:rPr>
        <w:t>三、单位主要工作总结</w:t>
      </w:r>
      <w:bookmarkEnd w:id="17"/>
      <w:bookmarkEnd w:id="18"/>
      <w:bookmarkEnd w:id="19"/>
      <w:bookmarkEnd w:id="20"/>
    </w:p>
    <w:p>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2024年，厦门市高殿中心小学单位主要任务是：小学学历教育。围绕上述任务，重点完成了以下工作：</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spacing w:val="0"/>
          <w:kern w:val="0"/>
          <w:sz w:val="32"/>
          <w:szCs w:val="32"/>
        </w:rPr>
      </w:pPr>
      <w:r>
        <w:rPr>
          <w:rFonts w:hint="eastAsia" w:ascii="仿宋" w:hAnsi="仿宋" w:eastAsia="仿宋" w:cs="仿宋"/>
          <w:spacing w:val="0"/>
          <w:kern w:val="0"/>
          <w:sz w:val="32"/>
          <w:szCs w:val="32"/>
          <w:lang w:val="en-US" w:eastAsia="zh-CN"/>
        </w:rPr>
        <w:t>（一）</w:t>
      </w:r>
      <w:r>
        <w:rPr>
          <w:rFonts w:hint="default" w:ascii="仿宋" w:hAnsi="仿宋" w:eastAsia="仿宋" w:cs="仿宋"/>
          <w:spacing w:val="0"/>
          <w:kern w:val="0"/>
          <w:sz w:val="32"/>
          <w:szCs w:val="32"/>
          <w:lang w:val="en-US" w:eastAsia="zh-CN"/>
        </w:rPr>
        <w:t>党建引领凝聚励志教育新共识</w:t>
      </w:r>
      <w:r>
        <w:rPr>
          <w:rFonts w:hint="eastAsia" w:ascii="仿宋" w:hAnsi="仿宋" w:eastAsia="仿宋" w:cs="仿宋"/>
          <w:spacing w:val="0"/>
          <w:kern w:val="0"/>
          <w:sz w:val="32"/>
          <w:szCs w:val="32"/>
        </w:rPr>
        <w:t>。</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党建</w:t>
      </w:r>
      <w:r>
        <w:rPr>
          <w:rFonts w:hint="eastAsia" w:ascii="仿宋" w:hAnsi="仿宋" w:eastAsia="仿宋" w:cs="仿宋"/>
          <w:spacing w:val="0"/>
          <w:kern w:val="0"/>
          <w:sz w:val="32"/>
          <w:szCs w:val="32"/>
          <w:lang w:eastAsia="zh-CN"/>
        </w:rPr>
        <w:t>工作</w:t>
      </w:r>
      <w:r>
        <w:rPr>
          <w:rFonts w:hint="eastAsia" w:ascii="仿宋" w:hAnsi="仿宋" w:eastAsia="仿宋" w:cs="仿宋"/>
          <w:spacing w:val="0"/>
          <w:kern w:val="0"/>
          <w:sz w:val="32"/>
          <w:szCs w:val="32"/>
        </w:rPr>
        <w:t>紧密结合学校共青团和少先队工作，</w:t>
      </w:r>
      <w:r>
        <w:rPr>
          <w:rFonts w:hint="eastAsia" w:ascii="仿宋" w:hAnsi="仿宋" w:eastAsia="仿宋" w:cs="仿宋"/>
          <w:spacing w:val="0"/>
          <w:kern w:val="0"/>
          <w:sz w:val="32"/>
          <w:szCs w:val="32"/>
          <w:lang w:eastAsia="zh-CN"/>
        </w:rPr>
        <w:t>围绕学校教改工作重点，</w:t>
      </w:r>
      <w:r>
        <w:rPr>
          <w:rFonts w:hint="eastAsia" w:ascii="仿宋" w:hAnsi="仿宋" w:eastAsia="仿宋" w:cs="仿宋"/>
          <w:spacing w:val="0"/>
          <w:kern w:val="0"/>
          <w:sz w:val="32"/>
          <w:szCs w:val="32"/>
        </w:rPr>
        <w:t>扎实有效开展</w:t>
      </w:r>
      <w:r>
        <w:rPr>
          <w:rFonts w:hint="eastAsia" w:ascii="仿宋" w:hAnsi="仿宋" w:eastAsia="仿宋" w:cs="仿宋"/>
          <w:spacing w:val="0"/>
          <w:kern w:val="0"/>
          <w:sz w:val="32"/>
          <w:szCs w:val="32"/>
          <w:lang w:eastAsia="zh-CN"/>
        </w:rPr>
        <w:t>系列活动，继续以励志讲堂、行政读书分享会，高殿好老师评选（第五届）</w:t>
      </w:r>
      <w:r>
        <w:rPr>
          <w:rFonts w:hint="eastAsia" w:ascii="仿宋" w:hAnsi="仿宋" w:eastAsia="仿宋" w:cs="仿宋"/>
          <w:spacing w:val="0"/>
          <w:kern w:val="0"/>
          <w:sz w:val="32"/>
          <w:szCs w:val="32"/>
        </w:rPr>
        <w:t>本学</w:t>
      </w:r>
      <w:r>
        <w:rPr>
          <w:rFonts w:hint="eastAsia" w:ascii="仿宋" w:hAnsi="仿宋" w:eastAsia="仿宋" w:cs="仿宋"/>
          <w:spacing w:val="0"/>
          <w:kern w:val="0"/>
          <w:sz w:val="32"/>
          <w:szCs w:val="32"/>
          <w:lang w:eastAsia="zh-CN"/>
        </w:rPr>
        <w:t>期</w:t>
      </w:r>
      <w:r>
        <w:rPr>
          <w:rFonts w:hint="eastAsia" w:ascii="仿宋" w:hAnsi="仿宋" w:eastAsia="仿宋" w:cs="仿宋"/>
          <w:spacing w:val="0"/>
          <w:kern w:val="0"/>
          <w:sz w:val="32"/>
          <w:szCs w:val="32"/>
        </w:rPr>
        <w:t>学校</w:t>
      </w:r>
      <w:r>
        <w:rPr>
          <w:rFonts w:hint="eastAsia" w:ascii="仿宋" w:hAnsi="仿宋" w:eastAsia="仿宋" w:cs="仿宋"/>
          <w:spacing w:val="0"/>
          <w:kern w:val="0"/>
          <w:sz w:val="32"/>
          <w:szCs w:val="32"/>
          <w:lang w:eastAsia="zh-CN"/>
        </w:rPr>
        <w:t>以“</w:t>
      </w:r>
      <w:r>
        <w:rPr>
          <w:rFonts w:hint="eastAsia" w:ascii="仿宋" w:hAnsi="仿宋" w:eastAsia="仿宋" w:cs="仿宋"/>
          <w:spacing w:val="0"/>
          <w:kern w:val="0"/>
          <w:sz w:val="32"/>
          <w:szCs w:val="32"/>
          <w:lang w:val="en-US" w:eastAsia="zh-CN"/>
        </w:rPr>
        <w:t>励志成就梦想，思维决定未来</w:t>
      </w:r>
      <w:r>
        <w:rPr>
          <w:rFonts w:hint="eastAsia" w:ascii="仿宋" w:hAnsi="仿宋" w:eastAsia="仿宋" w:cs="仿宋"/>
          <w:spacing w:val="0"/>
          <w:kern w:val="0"/>
          <w:sz w:val="32"/>
          <w:szCs w:val="32"/>
          <w:lang w:eastAsia="zh-CN"/>
        </w:rPr>
        <w:t>”为主题进行教改汇报，践行指向成长型思维的励志课堂模式。注重教师学习培训，统一思想，赋能成长。</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spacing w:val="0"/>
          <w:kern w:val="0"/>
          <w:sz w:val="32"/>
          <w:szCs w:val="32"/>
        </w:rPr>
      </w:pPr>
      <w:r>
        <w:rPr>
          <w:rFonts w:hint="eastAsia" w:ascii="仿宋" w:hAnsi="仿宋" w:eastAsia="仿宋" w:cs="仿宋"/>
          <w:spacing w:val="0"/>
          <w:kern w:val="0"/>
          <w:sz w:val="32"/>
          <w:szCs w:val="32"/>
          <w:lang w:val="en-US" w:eastAsia="zh-CN"/>
        </w:rPr>
        <w:t>（二）</w:t>
      </w:r>
      <w:r>
        <w:rPr>
          <w:rFonts w:hint="default" w:ascii="仿宋" w:hAnsi="仿宋" w:eastAsia="仿宋" w:cs="仿宋"/>
          <w:spacing w:val="0"/>
          <w:kern w:val="0"/>
          <w:sz w:val="32"/>
          <w:szCs w:val="32"/>
          <w:lang w:val="en-US" w:eastAsia="zh-CN"/>
        </w:rPr>
        <w:t>教学改革探索励志教育新体系</w:t>
      </w:r>
      <w:r>
        <w:rPr>
          <w:rFonts w:hint="eastAsia" w:ascii="仿宋" w:hAnsi="仿宋" w:eastAsia="仿宋" w:cs="仿宋"/>
          <w:spacing w:val="0"/>
          <w:kern w:val="0"/>
          <w:sz w:val="32"/>
          <w:szCs w:val="32"/>
        </w:rPr>
        <w:t>。</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spacing w:val="0"/>
          <w:kern w:val="0"/>
          <w:sz w:val="32"/>
          <w:szCs w:val="32"/>
        </w:rPr>
      </w:pPr>
      <w:r>
        <w:rPr>
          <w:rFonts w:hint="eastAsia" w:ascii="仿宋" w:hAnsi="仿宋" w:eastAsia="仿宋" w:cs="仿宋"/>
          <w:spacing w:val="0"/>
          <w:kern w:val="0"/>
          <w:sz w:val="32"/>
          <w:szCs w:val="32"/>
          <w:lang w:val="en-US" w:eastAsia="zh-CN"/>
        </w:rPr>
        <w:t>围绕励志教育目标，对课程体系进行精心架构，注重激活学生成长型思维。</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spacing w:val="0"/>
          <w:kern w:val="0"/>
          <w:sz w:val="32"/>
          <w:szCs w:val="32"/>
        </w:rPr>
      </w:pPr>
      <w:r>
        <w:rPr>
          <w:rFonts w:hint="eastAsia" w:ascii="仿宋" w:hAnsi="仿宋" w:eastAsia="仿宋" w:cs="仿宋"/>
          <w:spacing w:val="0"/>
          <w:kern w:val="0"/>
          <w:sz w:val="32"/>
          <w:szCs w:val="32"/>
          <w:lang w:val="en-US" w:eastAsia="zh-CN"/>
        </w:rPr>
        <w:t>（三）</w:t>
      </w:r>
      <w:r>
        <w:rPr>
          <w:rFonts w:hint="default" w:ascii="仿宋" w:hAnsi="仿宋" w:eastAsia="仿宋" w:cs="仿宋"/>
          <w:spacing w:val="0"/>
          <w:kern w:val="0"/>
          <w:sz w:val="32"/>
          <w:szCs w:val="32"/>
          <w:lang w:val="en-US" w:eastAsia="zh-CN"/>
        </w:rPr>
        <w:t>立德树人开创励志教育新场域</w:t>
      </w:r>
      <w:r>
        <w:rPr>
          <w:rFonts w:hint="eastAsia" w:ascii="仿宋" w:hAnsi="仿宋" w:eastAsia="仿宋" w:cs="仿宋"/>
          <w:spacing w:val="0"/>
          <w:kern w:val="0"/>
          <w:sz w:val="32"/>
          <w:szCs w:val="32"/>
        </w:rPr>
        <w:t>。</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spacing w:val="0"/>
          <w:kern w:val="0"/>
          <w:sz w:val="32"/>
          <w:szCs w:val="32"/>
        </w:rPr>
      </w:pPr>
      <w:r>
        <w:rPr>
          <w:rFonts w:hint="default" w:ascii="仿宋" w:hAnsi="仿宋" w:eastAsia="仿宋" w:cs="仿宋"/>
          <w:spacing w:val="0"/>
          <w:kern w:val="0"/>
          <w:sz w:val="32"/>
          <w:szCs w:val="32"/>
          <w:lang w:val="en-US" w:eastAsia="zh-CN"/>
        </w:rPr>
        <w:t>围绕德育目标，</w:t>
      </w:r>
      <w:r>
        <w:rPr>
          <w:rFonts w:hint="eastAsia" w:ascii="仿宋" w:hAnsi="仿宋" w:eastAsia="仿宋" w:cs="仿宋"/>
          <w:spacing w:val="0"/>
          <w:kern w:val="0"/>
          <w:sz w:val="32"/>
          <w:szCs w:val="32"/>
          <w:lang w:val="en-US" w:eastAsia="zh-CN"/>
        </w:rPr>
        <w:t>根据学情，利用周边资源，</w:t>
      </w:r>
      <w:r>
        <w:rPr>
          <w:rFonts w:hint="default" w:ascii="仿宋" w:hAnsi="仿宋" w:eastAsia="仿宋" w:cs="仿宋"/>
          <w:spacing w:val="0"/>
          <w:kern w:val="0"/>
          <w:sz w:val="32"/>
          <w:szCs w:val="32"/>
          <w:lang w:val="en-US" w:eastAsia="zh-CN"/>
        </w:rPr>
        <w:t>精心策划并实施了一系列丰富多彩的成长课程与活动，促进学生全面发展</w:t>
      </w:r>
      <w:r>
        <w:rPr>
          <w:rFonts w:hint="eastAsia" w:ascii="仿宋" w:hAnsi="仿宋" w:eastAsia="仿宋" w:cs="仿宋"/>
          <w:spacing w:val="0"/>
          <w:kern w:val="0"/>
          <w:sz w:val="32"/>
          <w:szCs w:val="32"/>
          <w:lang w:val="en-US" w:eastAsia="zh-CN"/>
        </w:rPr>
        <w:t>邀请综治副校长开展“</w:t>
      </w:r>
      <w:r>
        <w:rPr>
          <w:rFonts w:hint="default" w:ascii="仿宋" w:hAnsi="仿宋" w:eastAsia="仿宋" w:cs="仿宋"/>
          <w:spacing w:val="0"/>
          <w:kern w:val="0"/>
          <w:sz w:val="32"/>
          <w:szCs w:val="32"/>
          <w:lang w:val="en-US" w:eastAsia="zh-CN"/>
        </w:rPr>
        <w:t>预防校园欺凌</w:t>
      </w:r>
      <w:r>
        <w:rPr>
          <w:rFonts w:hint="eastAsia" w:ascii="仿宋" w:hAnsi="仿宋" w:eastAsia="仿宋" w:cs="仿宋"/>
          <w:spacing w:val="0"/>
          <w:kern w:val="0"/>
          <w:sz w:val="32"/>
          <w:szCs w:val="32"/>
          <w:lang w:val="en-US" w:eastAsia="zh-CN"/>
        </w:rPr>
        <w:t>”</w:t>
      </w:r>
      <w:r>
        <w:rPr>
          <w:rFonts w:hint="default" w:ascii="仿宋" w:hAnsi="仿宋" w:eastAsia="仿宋" w:cs="仿宋"/>
          <w:spacing w:val="0"/>
          <w:kern w:val="0"/>
          <w:sz w:val="32"/>
          <w:szCs w:val="32"/>
          <w:lang w:val="en-US" w:eastAsia="zh-CN"/>
        </w:rPr>
        <w:t>的专题讲座</w:t>
      </w:r>
      <w:r>
        <w:rPr>
          <w:rFonts w:hint="eastAsia" w:ascii="仿宋" w:hAnsi="仿宋" w:eastAsia="仿宋" w:cs="仿宋"/>
          <w:spacing w:val="0"/>
          <w:kern w:val="0"/>
          <w:sz w:val="32"/>
          <w:szCs w:val="32"/>
          <w:lang w:val="en-US" w:eastAsia="zh-CN"/>
        </w:rPr>
        <w:t>；</w:t>
      </w:r>
      <w:r>
        <w:rPr>
          <w:rFonts w:hint="default" w:ascii="仿宋" w:hAnsi="仿宋" w:eastAsia="仿宋" w:cs="仿宋"/>
          <w:spacing w:val="0"/>
          <w:kern w:val="0"/>
          <w:sz w:val="32"/>
          <w:szCs w:val="32"/>
          <w:lang w:val="en-US" w:eastAsia="zh-CN"/>
        </w:rPr>
        <w:t>国庆节组织</w:t>
      </w:r>
      <w:r>
        <w:rPr>
          <w:rFonts w:hint="eastAsia" w:ascii="仿宋" w:hAnsi="仿宋" w:eastAsia="仿宋" w:cs="仿宋"/>
          <w:spacing w:val="0"/>
          <w:kern w:val="0"/>
          <w:sz w:val="32"/>
          <w:szCs w:val="32"/>
          <w:lang w:val="en-US" w:eastAsia="zh-CN"/>
        </w:rPr>
        <w:t>“</w:t>
      </w:r>
      <w:r>
        <w:rPr>
          <w:rFonts w:hint="default" w:ascii="仿宋" w:hAnsi="仿宋" w:eastAsia="仿宋" w:cs="仿宋"/>
          <w:spacing w:val="0"/>
          <w:kern w:val="0"/>
          <w:sz w:val="32"/>
          <w:szCs w:val="32"/>
          <w:lang w:val="en-US" w:eastAsia="zh-CN"/>
        </w:rPr>
        <w:t>童心向党，情系中华</w:t>
      </w:r>
      <w:r>
        <w:rPr>
          <w:rFonts w:hint="eastAsia" w:ascii="仿宋" w:hAnsi="仿宋" w:eastAsia="仿宋" w:cs="仿宋"/>
          <w:spacing w:val="0"/>
          <w:kern w:val="0"/>
          <w:sz w:val="32"/>
          <w:szCs w:val="32"/>
          <w:lang w:val="en-US" w:eastAsia="zh-CN"/>
        </w:rPr>
        <w:t>”</w:t>
      </w:r>
      <w:r>
        <w:rPr>
          <w:rFonts w:hint="default" w:ascii="仿宋" w:hAnsi="仿宋" w:eastAsia="仿宋" w:cs="仿宋"/>
          <w:spacing w:val="0"/>
          <w:kern w:val="0"/>
          <w:sz w:val="32"/>
          <w:szCs w:val="32"/>
          <w:lang w:val="en-US" w:eastAsia="zh-CN"/>
        </w:rPr>
        <w:t>为主题的活动</w:t>
      </w:r>
      <w:r>
        <w:rPr>
          <w:rFonts w:hint="eastAsia" w:ascii="仿宋" w:hAnsi="仿宋" w:eastAsia="仿宋" w:cs="仿宋"/>
          <w:spacing w:val="0"/>
          <w:kern w:val="0"/>
          <w:sz w:val="32"/>
          <w:szCs w:val="32"/>
          <w:lang w:val="en-US" w:eastAsia="zh-CN"/>
        </w:rPr>
        <w:t>，</w:t>
      </w:r>
      <w:r>
        <w:rPr>
          <w:rFonts w:hint="default" w:ascii="仿宋" w:hAnsi="仿宋" w:eastAsia="仿宋" w:cs="仿宋"/>
          <w:spacing w:val="0"/>
          <w:kern w:val="0"/>
          <w:sz w:val="32"/>
          <w:szCs w:val="32"/>
          <w:lang w:val="en-US" w:eastAsia="zh-CN"/>
        </w:rPr>
        <w:t>全体师生</w:t>
      </w:r>
      <w:r>
        <w:rPr>
          <w:rFonts w:hint="eastAsia" w:ascii="仿宋" w:hAnsi="仿宋" w:eastAsia="仿宋" w:cs="仿宋"/>
          <w:spacing w:val="0"/>
          <w:kern w:val="0"/>
          <w:sz w:val="32"/>
          <w:szCs w:val="32"/>
          <w:lang w:val="en-US" w:eastAsia="zh-CN"/>
        </w:rPr>
        <w:t>分年段唱红歌，本学期</w:t>
      </w:r>
      <w:r>
        <w:rPr>
          <w:rFonts w:hint="eastAsia" w:ascii="仿宋" w:hAnsi="仿宋" w:eastAsia="仿宋" w:cs="仿宋"/>
          <w:spacing w:val="0"/>
          <w:kern w:val="0"/>
          <w:sz w:val="32"/>
          <w:szCs w:val="32"/>
          <w:lang w:eastAsia="zh-CN"/>
        </w:rPr>
        <w:t>假日小队活动</w:t>
      </w:r>
      <w:r>
        <w:rPr>
          <w:rFonts w:hint="eastAsia" w:ascii="仿宋" w:hAnsi="仿宋" w:eastAsia="仿宋" w:cs="仿宋"/>
          <w:spacing w:val="0"/>
          <w:kern w:val="0"/>
          <w:sz w:val="32"/>
          <w:szCs w:val="32"/>
          <w:lang w:val="en-US" w:eastAsia="zh-CN"/>
        </w:rPr>
        <w:t>6次，国旗下讲话19次，主题班队课活动16次；</w:t>
      </w:r>
      <w:r>
        <w:rPr>
          <w:rFonts w:hint="default" w:ascii="仿宋" w:hAnsi="仿宋" w:eastAsia="仿宋" w:cs="仿宋"/>
          <w:spacing w:val="0"/>
          <w:kern w:val="0"/>
          <w:sz w:val="32"/>
          <w:szCs w:val="32"/>
          <w:lang w:val="en-US" w:eastAsia="zh-CN"/>
        </w:rPr>
        <w:t>在建队节期间，</w:t>
      </w:r>
      <w:r>
        <w:rPr>
          <w:rFonts w:hint="eastAsia" w:ascii="仿宋" w:hAnsi="仿宋" w:eastAsia="仿宋" w:cs="仿宋"/>
          <w:spacing w:val="0"/>
          <w:kern w:val="0"/>
          <w:sz w:val="32"/>
          <w:szCs w:val="32"/>
          <w:lang w:val="en-US" w:eastAsia="zh-CN"/>
        </w:rPr>
        <w:t>一批队员参与了在神山举行的湖里区2024年少先队建队节活动：“红领巾爱祖国——红色基因代代传，强国有我向未来”；10月，</w:t>
      </w:r>
      <w:r>
        <w:rPr>
          <w:rFonts w:hint="default" w:ascii="仿宋" w:hAnsi="仿宋" w:eastAsia="仿宋" w:cs="仿宋"/>
          <w:spacing w:val="0"/>
          <w:kern w:val="0"/>
          <w:sz w:val="32"/>
          <w:szCs w:val="32"/>
          <w:lang w:val="en-US" w:eastAsia="zh-CN"/>
        </w:rPr>
        <w:t>组织学生参观</w:t>
      </w:r>
      <w:r>
        <w:rPr>
          <w:rFonts w:hint="eastAsia" w:ascii="仿宋" w:hAnsi="仿宋" w:eastAsia="仿宋" w:cs="仿宋"/>
          <w:spacing w:val="0"/>
          <w:kern w:val="0"/>
          <w:sz w:val="32"/>
          <w:szCs w:val="32"/>
          <w:lang w:val="en-US" w:eastAsia="zh-CN"/>
        </w:rPr>
        <w:t>厦门市</w:t>
      </w:r>
      <w:r>
        <w:rPr>
          <w:rFonts w:hint="default" w:ascii="仿宋" w:hAnsi="仿宋" w:eastAsia="仿宋" w:cs="仿宋"/>
          <w:spacing w:val="0"/>
          <w:kern w:val="0"/>
          <w:sz w:val="32"/>
          <w:szCs w:val="32"/>
          <w:lang w:val="en-US" w:eastAsia="zh-CN"/>
        </w:rPr>
        <w:t>粮食储备库</w:t>
      </w:r>
      <w:r>
        <w:rPr>
          <w:rFonts w:hint="eastAsia" w:ascii="仿宋" w:hAnsi="仿宋" w:eastAsia="仿宋" w:cs="仿宋"/>
          <w:spacing w:val="0"/>
          <w:kern w:val="0"/>
          <w:sz w:val="32"/>
          <w:szCs w:val="32"/>
          <w:lang w:val="en-US" w:eastAsia="zh-CN"/>
        </w:rPr>
        <w:t>；组织学生开展</w:t>
      </w:r>
      <w:r>
        <w:rPr>
          <w:rFonts w:hint="default" w:ascii="仿宋" w:hAnsi="仿宋" w:eastAsia="仿宋" w:cs="仿宋"/>
          <w:spacing w:val="0"/>
          <w:kern w:val="0"/>
          <w:sz w:val="32"/>
          <w:szCs w:val="32"/>
          <w:lang w:val="en-US" w:eastAsia="zh-CN"/>
        </w:rPr>
        <w:t xml:space="preserve"> “重温红色记忆，赓续红色血脉” 为主题的国防教育讲座</w:t>
      </w:r>
      <w:r>
        <w:rPr>
          <w:rFonts w:hint="eastAsia" w:ascii="仿宋" w:hAnsi="仿宋" w:eastAsia="仿宋" w:cs="仿宋"/>
          <w:spacing w:val="0"/>
          <w:kern w:val="0"/>
          <w:sz w:val="32"/>
          <w:szCs w:val="32"/>
          <w:lang w:val="en-US" w:eastAsia="zh-CN"/>
        </w:rPr>
        <w:t>；组织全校师生到金沙书院进行研学活动等。创新德育活动，如：</w:t>
      </w:r>
      <w:r>
        <w:rPr>
          <w:rFonts w:hint="default" w:ascii="仿宋" w:hAnsi="仿宋" w:eastAsia="仿宋" w:cs="仿宋"/>
          <w:spacing w:val="0"/>
          <w:kern w:val="0"/>
          <w:sz w:val="32"/>
          <w:szCs w:val="32"/>
          <w:lang w:val="en-US" w:eastAsia="zh-CN"/>
        </w:rPr>
        <w:t>新学期伊始创新性地组织制作</w:t>
      </w:r>
      <w:r>
        <w:rPr>
          <w:rFonts w:hint="eastAsia" w:ascii="仿宋" w:hAnsi="仿宋" w:eastAsia="仿宋" w:cs="仿宋"/>
          <w:spacing w:val="0"/>
          <w:kern w:val="0"/>
          <w:sz w:val="32"/>
          <w:szCs w:val="32"/>
          <w:lang w:val="en-US" w:eastAsia="zh-CN"/>
        </w:rPr>
        <w:t>“</w:t>
      </w:r>
      <w:r>
        <w:rPr>
          <w:rFonts w:hint="default" w:ascii="仿宋" w:hAnsi="仿宋" w:eastAsia="仿宋" w:cs="仿宋"/>
          <w:spacing w:val="0"/>
          <w:kern w:val="0"/>
          <w:sz w:val="32"/>
          <w:szCs w:val="32"/>
          <w:lang w:val="en-US" w:eastAsia="zh-CN"/>
        </w:rPr>
        <w:t>接力棒迎开学</w:t>
      </w:r>
      <w:r>
        <w:rPr>
          <w:rFonts w:hint="eastAsia" w:ascii="仿宋" w:hAnsi="仿宋" w:eastAsia="仿宋" w:cs="仿宋"/>
          <w:spacing w:val="0"/>
          <w:kern w:val="0"/>
          <w:sz w:val="32"/>
          <w:szCs w:val="32"/>
          <w:lang w:val="en-US" w:eastAsia="zh-CN"/>
        </w:rPr>
        <w:t>”</w:t>
      </w:r>
      <w:r>
        <w:rPr>
          <w:rFonts w:hint="default" w:ascii="仿宋" w:hAnsi="仿宋" w:eastAsia="仿宋" w:cs="仿宋"/>
          <w:spacing w:val="0"/>
          <w:kern w:val="0"/>
          <w:sz w:val="32"/>
          <w:szCs w:val="32"/>
          <w:lang w:val="en-US" w:eastAsia="zh-CN"/>
        </w:rPr>
        <w:t>的活动</w:t>
      </w:r>
      <w:r>
        <w:rPr>
          <w:rFonts w:hint="eastAsia" w:ascii="仿宋" w:hAnsi="仿宋" w:eastAsia="仿宋" w:cs="仿宋"/>
          <w:spacing w:val="0"/>
          <w:kern w:val="0"/>
          <w:sz w:val="32"/>
          <w:szCs w:val="32"/>
          <w:lang w:val="en-US" w:eastAsia="zh-CN"/>
        </w:rPr>
        <w:t>；</w:t>
      </w:r>
      <w:r>
        <w:rPr>
          <w:rFonts w:hint="default" w:ascii="仿宋" w:hAnsi="仿宋" w:eastAsia="仿宋" w:cs="仿宋"/>
          <w:spacing w:val="0"/>
          <w:kern w:val="0"/>
          <w:sz w:val="32"/>
          <w:szCs w:val="32"/>
          <w:lang w:val="en-US" w:eastAsia="zh-CN"/>
        </w:rPr>
        <w:t>教师节组织了一次</w:t>
      </w:r>
      <w:r>
        <w:rPr>
          <w:rFonts w:hint="eastAsia" w:ascii="仿宋" w:hAnsi="仿宋" w:eastAsia="仿宋" w:cs="仿宋"/>
          <w:spacing w:val="0"/>
          <w:kern w:val="0"/>
          <w:sz w:val="32"/>
          <w:szCs w:val="32"/>
          <w:lang w:val="en-US" w:eastAsia="zh-CN"/>
        </w:rPr>
        <w:t>“</w:t>
      </w:r>
      <w:r>
        <w:rPr>
          <w:rFonts w:hint="default" w:ascii="仿宋" w:hAnsi="仿宋" w:eastAsia="仿宋" w:cs="仿宋"/>
          <w:spacing w:val="0"/>
          <w:kern w:val="0"/>
          <w:sz w:val="32"/>
          <w:szCs w:val="32"/>
          <w:lang w:val="en-US" w:eastAsia="zh-CN"/>
        </w:rPr>
        <w:t>剪影猜猜</w:t>
      </w:r>
      <w:r>
        <w:rPr>
          <w:rFonts w:hint="eastAsia" w:ascii="仿宋" w:hAnsi="仿宋" w:eastAsia="仿宋" w:cs="仿宋"/>
          <w:spacing w:val="0"/>
          <w:kern w:val="0"/>
          <w:sz w:val="32"/>
          <w:szCs w:val="32"/>
          <w:lang w:val="en-US" w:eastAsia="zh-CN"/>
        </w:rPr>
        <w:t>猜”活动；11月</w:t>
      </w:r>
      <w:r>
        <w:rPr>
          <w:rFonts w:hint="default" w:ascii="仿宋" w:hAnsi="仿宋" w:eastAsia="仿宋" w:cs="仿宋"/>
          <w:spacing w:val="0"/>
          <w:kern w:val="0"/>
          <w:sz w:val="32"/>
          <w:szCs w:val="32"/>
          <w:lang w:val="en-US" w:eastAsia="zh-CN"/>
        </w:rPr>
        <w:t>启动校园</w:t>
      </w:r>
      <w:r>
        <w:rPr>
          <w:rFonts w:hint="eastAsia" w:ascii="仿宋" w:hAnsi="仿宋" w:eastAsia="仿宋" w:cs="仿宋"/>
          <w:spacing w:val="0"/>
          <w:kern w:val="0"/>
          <w:sz w:val="32"/>
          <w:szCs w:val="32"/>
          <w:lang w:val="en-US" w:eastAsia="zh-CN"/>
        </w:rPr>
        <w:t>劳动基地——“</w:t>
      </w:r>
      <w:r>
        <w:rPr>
          <w:rFonts w:hint="default" w:ascii="仿宋" w:hAnsi="仿宋" w:eastAsia="仿宋" w:cs="仿宋"/>
          <w:spacing w:val="0"/>
          <w:kern w:val="0"/>
          <w:sz w:val="32"/>
          <w:szCs w:val="32"/>
          <w:lang w:val="en-US" w:eastAsia="zh-CN"/>
        </w:rPr>
        <w:t>星辉园</w:t>
      </w:r>
      <w:r>
        <w:rPr>
          <w:rFonts w:hint="eastAsia" w:ascii="仿宋" w:hAnsi="仿宋" w:eastAsia="仿宋" w:cs="仿宋"/>
          <w:spacing w:val="0"/>
          <w:kern w:val="0"/>
          <w:sz w:val="32"/>
          <w:szCs w:val="32"/>
          <w:lang w:val="en-US" w:eastAsia="zh-CN"/>
        </w:rPr>
        <w:t>”项目。</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（四）</w:t>
      </w:r>
      <w:r>
        <w:rPr>
          <w:rFonts w:hint="default" w:ascii="仿宋" w:hAnsi="仿宋" w:eastAsia="仿宋" w:cs="仿宋"/>
          <w:spacing w:val="0"/>
          <w:kern w:val="0"/>
          <w:sz w:val="32"/>
          <w:szCs w:val="32"/>
          <w:lang w:val="en-US" w:eastAsia="zh-CN"/>
        </w:rPr>
        <w:t>特色项目彰显励志校园新风采</w:t>
      </w:r>
      <w:r>
        <w:rPr>
          <w:rFonts w:hint="eastAsia" w:ascii="仿宋" w:hAnsi="仿宋" w:eastAsia="仿宋" w:cs="仿宋"/>
          <w:spacing w:val="0"/>
          <w:kern w:val="0"/>
          <w:sz w:val="32"/>
          <w:szCs w:val="32"/>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both"/>
        <w:textAlignment w:val="auto"/>
        <w:rPr>
          <w:rFonts w:hint="default"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为</w:t>
      </w:r>
      <w:r>
        <w:rPr>
          <w:rFonts w:hint="default" w:ascii="仿宋" w:hAnsi="仿宋" w:eastAsia="仿宋" w:cs="仿宋"/>
          <w:spacing w:val="0"/>
          <w:kern w:val="0"/>
          <w:sz w:val="32"/>
          <w:szCs w:val="32"/>
          <w:lang w:val="en-US" w:eastAsia="zh-CN"/>
        </w:rPr>
        <w:t>满⾜学⽣个性发展的需要、体现</w:t>
      </w:r>
      <w:r>
        <w:rPr>
          <w:rFonts w:hint="eastAsia" w:ascii="仿宋" w:hAnsi="仿宋" w:eastAsia="仿宋" w:cs="仿宋"/>
          <w:spacing w:val="0"/>
          <w:kern w:val="0"/>
          <w:sz w:val="32"/>
          <w:szCs w:val="32"/>
          <w:lang w:val="en-US" w:eastAsia="zh-CN"/>
        </w:rPr>
        <w:t>我校</w:t>
      </w:r>
      <w:r>
        <w:rPr>
          <w:rFonts w:hint="default" w:ascii="仿宋" w:hAnsi="仿宋" w:eastAsia="仿宋" w:cs="仿宋"/>
          <w:spacing w:val="0"/>
          <w:kern w:val="0"/>
          <w:sz w:val="32"/>
          <w:szCs w:val="32"/>
          <w:lang w:val="en-US" w:eastAsia="zh-CN"/>
        </w:rPr>
        <w:t>办学特⾊，</w:t>
      </w:r>
      <w:r>
        <w:rPr>
          <w:rFonts w:hint="eastAsia" w:ascii="仿宋" w:hAnsi="仿宋" w:eastAsia="仿宋" w:cs="仿宋"/>
          <w:spacing w:val="0"/>
          <w:kern w:val="0"/>
          <w:sz w:val="32"/>
          <w:szCs w:val="32"/>
          <w:lang w:val="en-US" w:eastAsia="zh-CN"/>
        </w:rPr>
        <w:t>结合美育教育相关要求，将美育与劳动教育相融合，学校开发了结绳课程，成立了结绳记艺术工坊，绳结艺术成为我校特色课程。我校绳结艺术特色影响场域不断提升，如参加区级艺术展览，广受好评；各地校长、骨干教师参观工作坊。以“融”为手段，在体育运动中融入武术特色项目。作为省武术试点校，学校坚持三年级每周一节武术课，学习五祖拳和武术套路；四年级每周一节舞龙课，学习舞龙技巧；创编大课间武术操，在社团中开设宋江阵、武术套路和舞龙课程。在参加海峡两岸舞龙比赛获得一等奖，在区级教改展示中以武术为特色开设展示</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（五）</w:t>
      </w:r>
      <w:r>
        <w:rPr>
          <w:rFonts w:hint="default" w:ascii="仿宋" w:hAnsi="仿宋" w:eastAsia="仿宋" w:cs="仿宋"/>
          <w:spacing w:val="0"/>
          <w:kern w:val="0"/>
          <w:sz w:val="32"/>
          <w:szCs w:val="32"/>
          <w:lang w:val="en-US" w:eastAsia="zh-CN"/>
        </w:rPr>
        <w:t>稳步推进建设励志校园新局面</w:t>
      </w:r>
      <w:r>
        <w:rPr>
          <w:rFonts w:hint="eastAsia" w:ascii="仿宋" w:hAnsi="仿宋" w:eastAsia="仿宋" w:cs="仿宋"/>
          <w:spacing w:val="0"/>
          <w:kern w:val="0"/>
          <w:sz w:val="32"/>
          <w:szCs w:val="32"/>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both"/>
        <w:textAlignment w:val="auto"/>
        <w:rPr>
          <w:rFonts w:hint="default" w:ascii="仿宋" w:hAnsi="仿宋" w:eastAsia="仿宋" w:cs="仿宋"/>
          <w:spacing w:val="0"/>
          <w:kern w:val="0"/>
          <w:sz w:val="32"/>
          <w:szCs w:val="32"/>
          <w:lang w:val="en-US" w:eastAsia="zh-CN"/>
        </w:rPr>
      </w:pPr>
      <w:r>
        <w:rPr>
          <w:rFonts w:hint="default" w:ascii="仿宋" w:hAnsi="仿宋" w:eastAsia="仿宋" w:cs="仿宋"/>
          <w:spacing w:val="0"/>
          <w:kern w:val="0"/>
          <w:sz w:val="32"/>
          <w:szCs w:val="32"/>
          <w:lang w:val="en-US" w:eastAsia="zh-CN"/>
        </w:rPr>
        <w:t>践行一系列安全文明校园工作制度，</w:t>
      </w:r>
      <w:r>
        <w:rPr>
          <w:rFonts w:hint="eastAsia" w:ascii="仿宋" w:hAnsi="仿宋" w:eastAsia="仿宋" w:cs="仿宋"/>
          <w:spacing w:val="0"/>
          <w:kern w:val="0"/>
          <w:sz w:val="32"/>
          <w:szCs w:val="32"/>
          <w:lang w:val="en-US" w:eastAsia="zh-CN"/>
        </w:rPr>
        <w:t>把安全和稳定放到重要的位置，</w:t>
      </w:r>
      <w:r>
        <w:rPr>
          <w:rFonts w:hint="default" w:ascii="仿宋" w:hAnsi="仿宋" w:eastAsia="仿宋" w:cs="仿宋"/>
          <w:spacing w:val="0"/>
          <w:kern w:val="0"/>
          <w:sz w:val="32"/>
          <w:szCs w:val="32"/>
          <w:lang w:val="en-US" w:eastAsia="zh-CN"/>
        </w:rPr>
        <w:t>完善安全工作机制，常抓不懈安全教育，安保队伍勤练技能，实施</w:t>
      </w:r>
      <w:r>
        <w:rPr>
          <w:rFonts w:hint="eastAsia" w:ascii="仿宋" w:hAnsi="仿宋" w:eastAsia="仿宋" w:cs="仿宋"/>
          <w:spacing w:val="0"/>
          <w:kern w:val="0"/>
          <w:sz w:val="32"/>
          <w:szCs w:val="32"/>
          <w:lang w:val="en-US" w:eastAsia="zh-CN"/>
        </w:rPr>
        <w:t>智慧办公系统</w:t>
      </w:r>
      <w:r>
        <w:rPr>
          <w:rFonts w:hint="default" w:ascii="仿宋" w:hAnsi="仿宋" w:eastAsia="仿宋" w:cs="仿宋"/>
          <w:spacing w:val="0"/>
          <w:kern w:val="0"/>
          <w:sz w:val="32"/>
          <w:szCs w:val="32"/>
          <w:lang w:val="en-US" w:eastAsia="zh-CN"/>
        </w:rPr>
        <w:t>，</w:t>
      </w:r>
      <w:r>
        <w:rPr>
          <w:rFonts w:hint="eastAsia" w:ascii="仿宋" w:hAnsi="仿宋" w:eastAsia="仿宋" w:cs="仿宋"/>
          <w:spacing w:val="0"/>
          <w:kern w:val="0"/>
          <w:sz w:val="32"/>
          <w:szCs w:val="32"/>
          <w:lang w:val="en-US" w:eastAsia="zh-CN"/>
        </w:rPr>
        <w:t>进行常规安全演练，学生体检、视力检查</w:t>
      </w:r>
      <w:r>
        <w:rPr>
          <w:rFonts w:hint="default" w:ascii="仿宋" w:hAnsi="仿宋" w:eastAsia="仿宋" w:cs="仿宋"/>
          <w:spacing w:val="0"/>
          <w:kern w:val="0"/>
          <w:sz w:val="32"/>
          <w:szCs w:val="32"/>
          <w:lang w:val="en-US" w:eastAsia="zh-CN"/>
        </w:rPr>
        <w:t>,</w:t>
      </w:r>
      <w:r>
        <w:rPr>
          <w:rFonts w:hint="eastAsia" w:ascii="仿宋" w:hAnsi="仿宋" w:eastAsia="仿宋" w:cs="仿宋"/>
          <w:spacing w:val="0"/>
          <w:kern w:val="0"/>
          <w:sz w:val="32"/>
          <w:szCs w:val="32"/>
          <w:lang w:val="en-US" w:eastAsia="zh-CN"/>
        </w:rPr>
        <w:t>关注教师与学生心心理，</w:t>
      </w:r>
      <w:r>
        <w:rPr>
          <w:rFonts w:hint="eastAsia" w:ascii="仿宋" w:hAnsi="仿宋" w:eastAsia="仿宋" w:cs="仿宋"/>
          <w:spacing w:val="0"/>
          <w:kern w:val="0"/>
          <w:sz w:val="32"/>
          <w:szCs w:val="32"/>
          <w:lang w:eastAsia="zh-CN"/>
        </w:rPr>
        <w:t>开展月份心理健康活动，</w:t>
      </w:r>
      <w:r>
        <w:rPr>
          <w:rFonts w:hint="eastAsia" w:ascii="仿宋" w:hAnsi="仿宋" w:eastAsia="仿宋" w:cs="仿宋"/>
          <w:spacing w:val="0"/>
          <w:kern w:val="0"/>
          <w:sz w:val="32"/>
          <w:szCs w:val="32"/>
        </w:rPr>
        <w:t>加强学生心理健康和生命教育</w:t>
      </w:r>
      <w:r>
        <w:rPr>
          <w:rFonts w:hint="default" w:ascii="仿宋" w:hAnsi="仿宋" w:eastAsia="仿宋" w:cs="仿宋"/>
          <w:spacing w:val="0"/>
          <w:kern w:val="0"/>
          <w:sz w:val="32"/>
          <w:szCs w:val="32"/>
          <w:lang w:val="en-US"/>
        </w:rPr>
        <w:t>,</w:t>
      </w:r>
      <w:r>
        <w:rPr>
          <w:rFonts w:hint="eastAsia" w:ascii="仿宋" w:hAnsi="仿宋" w:eastAsia="仿宋" w:cs="仿宋"/>
          <w:spacing w:val="0"/>
          <w:kern w:val="0"/>
          <w:sz w:val="32"/>
          <w:szCs w:val="32"/>
          <w:lang w:val="en-US" w:eastAsia="zh-CN"/>
        </w:rPr>
        <w:t>充分发挥工会职能，开展有意义的教师文体活动，活跃校园生活，安排好重阳节、春节慰问、困难教师慰问、教职工体检等活动。</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spacing w:val="0"/>
          <w:kern w:val="0"/>
          <w:sz w:val="32"/>
          <w:szCs w:val="32"/>
        </w:rPr>
        <w:sectPr>
          <w:footerReference r:id="rId5" w:type="default"/>
          <w:pgSz w:w="11906" w:h="16838"/>
          <w:pgMar w:top="1440" w:right="720" w:bottom="1440" w:left="720" w:header="720" w:footer="720" w:gutter="0"/>
          <w:pgBorders>
            <w:top w:val="none" w:sz="0" w:space="0"/>
            <w:left w:val="none" w:sz="0" w:space="0"/>
            <w:bottom w:val="none" w:sz="0" w:space="0"/>
            <w:right w:val="none" w:sz="0" w:space="0"/>
          </w:pgBorders>
          <w:cols w:space="720" w:num="1"/>
        </w:sectPr>
      </w:pPr>
    </w:p>
    <w:p>
      <w:pPr>
        <w:widowControl/>
        <w:spacing w:before="240" w:after="240"/>
        <w:jc w:val="left"/>
        <w:rPr>
          <w:rFonts w:hint="eastAsia" w:ascii="仿宋" w:hAnsi="仿宋" w:eastAsia="仿宋" w:cs="仿宋"/>
          <w:vanish/>
          <w:kern w:val="0"/>
          <w:sz w:val="32"/>
          <w:szCs w:val="32"/>
        </w:rPr>
      </w:pPr>
      <w:r>
        <w:rPr>
          <w:rFonts w:hint="eastAsia" w:ascii="仿宋" w:hAnsi="仿宋" w:eastAsia="仿宋" w:cs="仿宋"/>
          <w:vanish/>
          <w:kern w:val="0"/>
          <w:sz w:val="32"/>
          <w:szCs w:val="32"/>
        </w:rPr>
        <w:t>word page break</w:t>
      </w:r>
    </w:p>
    <w:p>
      <w:pPr>
        <w:pStyle w:val="4"/>
        <w:keepNext w:val="0"/>
        <w:keepLines w:val="0"/>
        <w:spacing w:before="100" w:after="100" w:line="240" w:lineRule="auto"/>
        <w:ind w:left="0" w:right="0" w:firstLine="0" w:firstLineChars="0"/>
        <w:jc w:val="center"/>
        <w:rPr>
          <w:rFonts w:hint="eastAsia" w:ascii="仿宋" w:hAnsi="仿宋" w:eastAsia="仿宋" w:cs="仿宋"/>
          <w:b/>
          <w:spacing w:val="0"/>
          <w:sz w:val="32"/>
          <w:szCs w:val="32"/>
        </w:rPr>
      </w:pPr>
      <w:bookmarkStart w:id="21" w:name="_Toc256000067"/>
      <w:bookmarkStart w:id="22" w:name="_Toc256000036"/>
      <w:bookmarkStart w:id="23" w:name="_Toc256000098"/>
      <w:bookmarkStart w:id="24" w:name="_Toc256000005"/>
      <w:r>
        <w:rPr>
          <w:rFonts w:hint="eastAsia" w:ascii="仿宋" w:hAnsi="仿宋" w:eastAsia="仿宋" w:cs="仿宋"/>
          <w:b/>
          <w:spacing w:val="0"/>
          <w:sz w:val="32"/>
          <w:szCs w:val="32"/>
        </w:rPr>
        <w:t>第二部分</w:t>
      </w:r>
      <w:bookmarkEnd w:id="21"/>
      <w:bookmarkEnd w:id="22"/>
      <w:bookmarkEnd w:id="23"/>
      <w:bookmarkEnd w:id="24"/>
      <w:r>
        <w:rPr>
          <w:rFonts w:hint="eastAsia" w:ascii="仿宋" w:hAnsi="仿宋" w:eastAsia="仿宋" w:cs="仿宋"/>
          <w:b/>
          <w:spacing w:val="0"/>
          <w:sz w:val="32"/>
          <w:szCs w:val="32"/>
        </w:rPr>
        <w:t> </w:t>
      </w:r>
      <w:r>
        <w:rPr>
          <w:rFonts w:hint="eastAsia" w:ascii="仿宋" w:hAnsi="仿宋" w:cs="仿宋"/>
          <w:b/>
          <w:spacing w:val="0"/>
          <w:sz w:val="32"/>
          <w:szCs w:val="32"/>
          <w:lang w:val="en-US" w:eastAsia="zh-CN"/>
        </w:rPr>
        <w:t xml:space="preserve">  </w:t>
      </w:r>
      <w:r>
        <w:rPr>
          <w:rFonts w:hint="eastAsia" w:ascii="仿宋" w:hAnsi="仿宋" w:eastAsia="仿宋" w:cs="仿宋"/>
          <w:b/>
          <w:spacing w:val="0"/>
          <w:sz w:val="32"/>
          <w:szCs w:val="32"/>
        </w:rPr>
        <w:t>2024年度决算表</w:t>
      </w:r>
    </w:p>
    <w:p>
      <w:pPr>
        <w:pStyle w:val="5"/>
        <w:ind w:left="0" w:leftChars="0" w:firstLine="0" w:firstLineChars="0"/>
        <w:rPr>
          <w:rFonts w:hint="eastAsia" w:ascii="仿宋" w:hAnsi="仿宋" w:eastAsia="仿宋" w:cs="仿宋"/>
          <w:sz w:val="32"/>
          <w:szCs w:val="32"/>
        </w:rPr>
      </w:pPr>
      <w:r>
        <w:rPr>
          <w:rFonts w:hint="eastAsia" w:ascii="仿宋" w:hAnsi="仿宋" w:eastAsia="仿宋" w:cs="仿宋"/>
          <w:b/>
          <w:spacing w:val="0"/>
          <w:sz w:val="32"/>
          <w:szCs w:val="32"/>
        </w:rPr>
        <w:t>一、收入支出决算总表</w:t>
      </w:r>
    </w:p>
    <w:tbl>
      <w:tblPr>
        <w:tblStyle w:val="23"/>
        <w:tblW w:w="10506" w:type="dxa"/>
        <w:jc w:val="center"/>
        <w:tblInd w:w="0" w:type="dxa"/>
        <w:tblLayout w:type="fixed"/>
        <w:tblCellMar>
          <w:top w:w="15" w:type="dxa"/>
          <w:left w:w="15" w:type="dxa"/>
          <w:bottom w:w="15" w:type="dxa"/>
          <w:right w:w="15" w:type="dxa"/>
        </w:tblCellMar>
      </w:tblPr>
      <w:tblGrid>
        <w:gridCol w:w="3028"/>
        <w:gridCol w:w="676"/>
        <w:gridCol w:w="1549"/>
        <w:gridCol w:w="2701"/>
        <w:gridCol w:w="801"/>
        <w:gridCol w:w="1751"/>
      </w:tblGrid>
      <w:tr>
        <w:tblPrEx>
          <w:tblLayout w:type="fixed"/>
          <w:tblCellMar>
            <w:top w:w="15" w:type="dxa"/>
            <w:left w:w="15" w:type="dxa"/>
            <w:bottom w:w="15" w:type="dxa"/>
            <w:right w:w="15" w:type="dxa"/>
          </w:tblCellMar>
        </w:tblPrEx>
        <w:trPr>
          <w:trHeight w:val="0" w:hRule="atLeast"/>
          <w:tblHeader/>
          <w:jc w:val="center"/>
        </w:trPr>
        <w:tc>
          <w:tcPr>
            <w:tcW w:w="10506" w:type="dxa"/>
            <w:gridSpan w:val="6"/>
            <w:noWrap w:val="0"/>
            <w:tcMar>
              <w:top w:w="20" w:type="dxa"/>
              <w:left w:w="20" w:type="dxa"/>
              <w:bottom w:w="20" w:type="dxa"/>
              <w:right w:w="20" w:type="dxa"/>
            </w:tcMar>
            <w:vAlign w:val="center"/>
          </w:tcPr>
          <w:p>
            <w:pPr>
              <w:widowControl/>
              <w:spacing w:line="900" w:lineRule="atLeast"/>
              <w:jc w:val="center"/>
              <w:rPr>
                <w:rFonts w:hint="eastAsia" w:ascii="仿宋" w:hAnsi="仿宋" w:eastAsia="仿宋" w:cs="仿宋"/>
                <w:b w:val="0"/>
                <w:bCs w:val="0"/>
                <w:i w:val="0"/>
                <w:iCs w:val="0"/>
                <w:smallCaps w:val="0"/>
                <w:color w:val="000000"/>
                <w:kern w:val="0"/>
                <w:sz w:val="28"/>
                <w:szCs w:val="28"/>
              </w:rPr>
            </w:pPr>
            <w:bookmarkStart w:id="25" w:name="_Toc256000068"/>
            <w:bookmarkStart w:id="26" w:name="_Toc256000006"/>
            <w:bookmarkStart w:id="27" w:name="_Toc256000007"/>
            <w:bookmarkStart w:id="28" w:name="_Toc256000038"/>
            <w:bookmarkStart w:id="29" w:name="_Toc256000099"/>
            <w:bookmarkStart w:id="30" w:name="_Toc256000037"/>
            <w:bookmarkStart w:id="31" w:name="_Toc256000069"/>
            <w:bookmarkStart w:id="32" w:name="_Toc256000100"/>
            <w:r>
              <w:rPr>
                <w:rFonts w:hint="eastAsia" w:ascii="仿宋" w:hAnsi="仿宋" w:eastAsia="仿宋" w:cs="仿宋"/>
                <w:b w:val="0"/>
                <w:bCs w:val="0"/>
                <w:i w:val="0"/>
                <w:iCs w:val="0"/>
                <w:smallCaps w:val="0"/>
                <w:color w:val="000000"/>
                <w:kern w:val="0"/>
                <w:sz w:val="32"/>
                <w:szCs w:val="32"/>
              </w:rPr>
              <w:t>收入支出决算总表</w:t>
            </w:r>
          </w:p>
        </w:tc>
      </w:tr>
      <w:tr>
        <w:tblPrEx>
          <w:tblLayout w:type="fixed"/>
          <w:tblCellMar>
            <w:top w:w="15" w:type="dxa"/>
            <w:left w:w="15" w:type="dxa"/>
            <w:bottom w:w="15" w:type="dxa"/>
            <w:right w:w="15" w:type="dxa"/>
          </w:tblCellMar>
        </w:tblPrEx>
        <w:trPr>
          <w:trHeight w:val="0" w:hRule="atLeast"/>
          <w:tblHeader/>
          <w:jc w:val="center"/>
        </w:trPr>
        <w:tc>
          <w:tcPr>
            <w:tcW w:w="5253"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单位：厦门市高殿中心小学</w:t>
            </w:r>
          </w:p>
        </w:tc>
        <w:tc>
          <w:tcPr>
            <w:tcW w:w="270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2024年度</w:t>
            </w:r>
          </w:p>
        </w:tc>
        <w:tc>
          <w:tcPr>
            <w:tcW w:w="2552"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金额单位：万元</w:t>
            </w:r>
          </w:p>
        </w:tc>
      </w:tr>
      <w:tr>
        <w:tblPrEx>
          <w:tblLayout w:type="fixed"/>
          <w:tblCellMar>
            <w:top w:w="15" w:type="dxa"/>
            <w:left w:w="15" w:type="dxa"/>
            <w:bottom w:w="15" w:type="dxa"/>
            <w:right w:w="15" w:type="dxa"/>
          </w:tblCellMar>
        </w:tblPrEx>
        <w:trPr>
          <w:trHeight w:val="0" w:hRule="atLeast"/>
          <w:jc w:val="center"/>
        </w:trPr>
        <w:tc>
          <w:tcPr>
            <w:tcW w:w="5253"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收入</w:t>
            </w:r>
          </w:p>
        </w:tc>
        <w:tc>
          <w:tcPr>
            <w:tcW w:w="5253"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支出</w:t>
            </w:r>
          </w:p>
        </w:tc>
      </w:tr>
      <w:tr>
        <w:tblPrEx>
          <w:tblLayout w:type="fixed"/>
          <w:tblCellMar>
            <w:top w:w="15" w:type="dxa"/>
            <w:left w:w="15" w:type="dxa"/>
            <w:bottom w:w="15" w:type="dxa"/>
            <w:right w:w="15" w:type="dxa"/>
          </w:tblCellMar>
        </w:tblPrEx>
        <w:trPr>
          <w:trHeight w:val="0" w:hRule="atLeast"/>
          <w:jc w:val="center"/>
        </w:trPr>
        <w:tc>
          <w:tcPr>
            <w:tcW w:w="3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项目</w:t>
            </w:r>
          </w:p>
        </w:tc>
        <w:tc>
          <w:tcPr>
            <w:tcW w:w="6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行次</w:t>
            </w:r>
          </w:p>
        </w:tc>
        <w:tc>
          <w:tcPr>
            <w:tcW w:w="15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金额</w:t>
            </w:r>
          </w:p>
        </w:tc>
        <w:tc>
          <w:tcPr>
            <w:tcW w:w="27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项目</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行次</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金额</w:t>
            </w:r>
          </w:p>
        </w:tc>
      </w:tr>
      <w:tr>
        <w:tblPrEx>
          <w:tblLayout w:type="fixed"/>
          <w:tblCellMar>
            <w:top w:w="15" w:type="dxa"/>
            <w:left w:w="15" w:type="dxa"/>
            <w:bottom w:w="15" w:type="dxa"/>
            <w:right w:w="15" w:type="dxa"/>
          </w:tblCellMar>
        </w:tblPrEx>
        <w:trPr>
          <w:trHeight w:val="0" w:hRule="atLeast"/>
          <w:jc w:val="center"/>
        </w:trPr>
        <w:tc>
          <w:tcPr>
            <w:tcW w:w="3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栏次</w:t>
            </w:r>
          </w:p>
        </w:tc>
        <w:tc>
          <w:tcPr>
            <w:tcW w:w="6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5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w:t>
            </w:r>
          </w:p>
        </w:tc>
        <w:tc>
          <w:tcPr>
            <w:tcW w:w="27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栏次</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w:t>
            </w:r>
          </w:p>
        </w:tc>
      </w:tr>
      <w:tr>
        <w:tblPrEx>
          <w:tblLayout w:type="fixed"/>
          <w:tblCellMar>
            <w:top w:w="15" w:type="dxa"/>
            <w:left w:w="15" w:type="dxa"/>
            <w:bottom w:w="15" w:type="dxa"/>
            <w:right w:w="15" w:type="dxa"/>
          </w:tblCellMar>
        </w:tblPrEx>
        <w:trPr>
          <w:trHeight w:val="0" w:hRule="atLeast"/>
          <w:jc w:val="center"/>
        </w:trPr>
        <w:tc>
          <w:tcPr>
            <w:tcW w:w="3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一、一般公共预算财政拨款收入</w:t>
            </w:r>
          </w:p>
        </w:tc>
        <w:tc>
          <w:tcPr>
            <w:tcW w:w="6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w:t>
            </w:r>
          </w:p>
        </w:tc>
        <w:tc>
          <w:tcPr>
            <w:tcW w:w="15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3,770.14</w:t>
            </w:r>
          </w:p>
        </w:tc>
        <w:tc>
          <w:tcPr>
            <w:tcW w:w="27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一、一般公共服务支出</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32</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3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二、政府性基金预算财政拨款收入</w:t>
            </w:r>
          </w:p>
        </w:tc>
        <w:tc>
          <w:tcPr>
            <w:tcW w:w="6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w:t>
            </w:r>
          </w:p>
        </w:tc>
        <w:tc>
          <w:tcPr>
            <w:tcW w:w="15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3.95</w:t>
            </w:r>
          </w:p>
        </w:tc>
        <w:tc>
          <w:tcPr>
            <w:tcW w:w="27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xml:space="preserve">二、外交支出 </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33</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3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三、国有资本经营预算财政拨款收入</w:t>
            </w:r>
          </w:p>
        </w:tc>
        <w:tc>
          <w:tcPr>
            <w:tcW w:w="6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w:t>
            </w:r>
          </w:p>
        </w:tc>
        <w:tc>
          <w:tcPr>
            <w:tcW w:w="15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7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三、国防支出</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34</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3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四、上级补助收入</w:t>
            </w:r>
          </w:p>
        </w:tc>
        <w:tc>
          <w:tcPr>
            <w:tcW w:w="6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w:t>
            </w:r>
          </w:p>
        </w:tc>
        <w:tc>
          <w:tcPr>
            <w:tcW w:w="15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7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四、公共安全支出</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35</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3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五、事业收入</w:t>
            </w:r>
          </w:p>
        </w:tc>
        <w:tc>
          <w:tcPr>
            <w:tcW w:w="6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5</w:t>
            </w:r>
          </w:p>
        </w:tc>
        <w:tc>
          <w:tcPr>
            <w:tcW w:w="15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7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五、教育支出</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36</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3,156.13</w:t>
            </w:r>
          </w:p>
        </w:tc>
      </w:tr>
      <w:tr>
        <w:tblPrEx>
          <w:tblLayout w:type="fixed"/>
          <w:tblCellMar>
            <w:top w:w="15" w:type="dxa"/>
            <w:left w:w="15" w:type="dxa"/>
            <w:bottom w:w="15" w:type="dxa"/>
            <w:right w:w="15" w:type="dxa"/>
          </w:tblCellMar>
        </w:tblPrEx>
        <w:trPr>
          <w:trHeight w:val="0" w:hRule="atLeast"/>
          <w:jc w:val="center"/>
        </w:trPr>
        <w:tc>
          <w:tcPr>
            <w:tcW w:w="3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六、经营收入</w:t>
            </w:r>
          </w:p>
        </w:tc>
        <w:tc>
          <w:tcPr>
            <w:tcW w:w="6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6</w:t>
            </w:r>
          </w:p>
        </w:tc>
        <w:tc>
          <w:tcPr>
            <w:tcW w:w="15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7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六、科学技术支出</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37</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3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七、附属单位上缴收入</w:t>
            </w:r>
          </w:p>
        </w:tc>
        <w:tc>
          <w:tcPr>
            <w:tcW w:w="6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7</w:t>
            </w:r>
          </w:p>
        </w:tc>
        <w:tc>
          <w:tcPr>
            <w:tcW w:w="15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7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七、文化旅游体育与传媒支出</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38</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3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八、其他收入</w:t>
            </w:r>
          </w:p>
        </w:tc>
        <w:tc>
          <w:tcPr>
            <w:tcW w:w="6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8</w:t>
            </w:r>
          </w:p>
        </w:tc>
        <w:tc>
          <w:tcPr>
            <w:tcW w:w="15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7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八、社会保障和就业支出</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39</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447.69</w:t>
            </w:r>
          </w:p>
        </w:tc>
      </w:tr>
      <w:tr>
        <w:tblPrEx>
          <w:tblLayout w:type="fixed"/>
          <w:tblCellMar>
            <w:top w:w="15" w:type="dxa"/>
            <w:left w:w="15" w:type="dxa"/>
            <w:bottom w:w="15" w:type="dxa"/>
            <w:right w:w="15" w:type="dxa"/>
          </w:tblCellMar>
        </w:tblPrEx>
        <w:trPr>
          <w:trHeight w:val="0" w:hRule="atLeast"/>
          <w:jc w:val="center"/>
        </w:trPr>
        <w:tc>
          <w:tcPr>
            <w:tcW w:w="3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6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9</w:t>
            </w:r>
          </w:p>
        </w:tc>
        <w:tc>
          <w:tcPr>
            <w:tcW w:w="15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7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九、卫生健康支出</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40</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141.62</w:t>
            </w:r>
          </w:p>
        </w:tc>
      </w:tr>
      <w:tr>
        <w:tblPrEx>
          <w:tblLayout w:type="fixed"/>
          <w:tblCellMar>
            <w:top w:w="15" w:type="dxa"/>
            <w:left w:w="15" w:type="dxa"/>
            <w:bottom w:w="15" w:type="dxa"/>
            <w:right w:w="15" w:type="dxa"/>
          </w:tblCellMar>
        </w:tblPrEx>
        <w:trPr>
          <w:trHeight w:val="0" w:hRule="atLeast"/>
          <w:jc w:val="center"/>
        </w:trPr>
        <w:tc>
          <w:tcPr>
            <w:tcW w:w="3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6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10</w:t>
            </w:r>
          </w:p>
        </w:tc>
        <w:tc>
          <w:tcPr>
            <w:tcW w:w="15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7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十、节能环保支出</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41</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3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6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11</w:t>
            </w:r>
          </w:p>
        </w:tc>
        <w:tc>
          <w:tcPr>
            <w:tcW w:w="15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7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十一、城乡社区支出</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42</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3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6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12</w:t>
            </w:r>
          </w:p>
        </w:tc>
        <w:tc>
          <w:tcPr>
            <w:tcW w:w="15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7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十二、农林水支出</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43</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3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6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13</w:t>
            </w:r>
          </w:p>
        </w:tc>
        <w:tc>
          <w:tcPr>
            <w:tcW w:w="15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7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十三、交通运输支出</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44</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3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6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14</w:t>
            </w:r>
          </w:p>
        </w:tc>
        <w:tc>
          <w:tcPr>
            <w:tcW w:w="15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7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十四、资源勘探工业信息等支出</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45</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3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6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15</w:t>
            </w:r>
          </w:p>
        </w:tc>
        <w:tc>
          <w:tcPr>
            <w:tcW w:w="15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7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十五、商业服务业等支出</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46</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3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6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16</w:t>
            </w:r>
          </w:p>
        </w:tc>
        <w:tc>
          <w:tcPr>
            <w:tcW w:w="15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7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十六、金融支出</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47</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3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6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17</w:t>
            </w:r>
          </w:p>
        </w:tc>
        <w:tc>
          <w:tcPr>
            <w:tcW w:w="15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7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十七、援助其他地区支出</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48</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3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6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18</w:t>
            </w:r>
          </w:p>
        </w:tc>
        <w:tc>
          <w:tcPr>
            <w:tcW w:w="15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7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十八、自然资源海洋气象等支出</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49</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3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6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19</w:t>
            </w:r>
          </w:p>
        </w:tc>
        <w:tc>
          <w:tcPr>
            <w:tcW w:w="15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7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十九、住房保障支出</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50</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24.7</w:t>
            </w:r>
          </w:p>
        </w:tc>
      </w:tr>
      <w:tr>
        <w:tblPrEx>
          <w:tblLayout w:type="fixed"/>
          <w:tblCellMar>
            <w:top w:w="15" w:type="dxa"/>
            <w:left w:w="15" w:type="dxa"/>
            <w:bottom w:w="15" w:type="dxa"/>
            <w:right w:w="15" w:type="dxa"/>
          </w:tblCellMar>
        </w:tblPrEx>
        <w:trPr>
          <w:trHeight w:val="0" w:hRule="atLeast"/>
          <w:jc w:val="center"/>
        </w:trPr>
        <w:tc>
          <w:tcPr>
            <w:tcW w:w="3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6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w:t>
            </w:r>
          </w:p>
        </w:tc>
        <w:tc>
          <w:tcPr>
            <w:tcW w:w="15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7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二十、粮油物资储备支出</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51</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3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6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21</w:t>
            </w:r>
          </w:p>
        </w:tc>
        <w:tc>
          <w:tcPr>
            <w:tcW w:w="15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7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二十一、国有资本经营预算支出</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52</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3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6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22</w:t>
            </w:r>
          </w:p>
        </w:tc>
        <w:tc>
          <w:tcPr>
            <w:tcW w:w="15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7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二十二、灾害防治及应急管理支出</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53</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3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6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23</w:t>
            </w:r>
          </w:p>
        </w:tc>
        <w:tc>
          <w:tcPr>
            <w:tcW w:w="15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7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二十三、其他支出</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54</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3.95</w:t>
            </w:r>
          </w:p>
        </w:tc>
      </w:tr>
      <w:tr>
        <w:tblPrEx>
          <w:tblLayout w:type="fixed"/>
          <w:tblCellMar>
            <w:top w:w="15" w:type="dxa"/>
            <w:left w:w="15" w:type="dxa"/>
            <w:bottom w:w="15" w:type="dxa"/>
            <w:right w:w="15" w:type="dxa"/>
          </w:tblCellMar>
        </w:tblPrEx>
        <w:trPr>
          <w:trHeight w:val="0" w:hRule="atLeast"/>
          <w:jc w:val="center"/>
        </w:trPr>
        <w:tc>
          <w:tcPr>
            <w:tcW w:w="3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6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24</w:t>
            </w:r>
          </w:p>
        </w:tc>
        <w:tc>
          <w:tcPr>
            <w:tcW w:w="15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7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二十四、债务还本支出</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55</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3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6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25</w:t>
            </w:r>
          </w:p>
        </w:tc>
        <w:tc>
          <w:tcPr>
            <w:tcW w:w="15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7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二十五、债务付息支出</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56</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3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6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26</w:t>
            </w:r>
          </w:p>
        </w:tc>
        <w:tc>
          <w:tcPr>
            <w:tcW w:w="15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7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二十六、抗疫特别国债安排的支出</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57</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3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本年收入合计</w:t>
            </w:r>
          </w:p>
        </w:tc>
        <w:tc>
          <w:tcPr>
            <w:tcW w:w="6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27</w:t>
            </w:r>
          </w:p>
        </w:tc>
        <w:tc>
          <w:tcPr>
            <w:tcW w:w="15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3,774.09</w:t>
            </w:r>
          </w:p>
        </w:tc>
        <w:tc>
          <w:tcPr>
            <w:tcW w:w="27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本年支出合计</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58</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3,774.09</w:t>
            </w:r>
          </w:p>
        </w:tc>
      </w:tr>
      <w:tr>
        <w:tblPrEx>
          <w:tblLayout w:type="fixed"/>
          <w:tblCellMar>
            <w:top w:w="15" w:type="dxa"/>
            <w:left w:w="15" w:type="dxa"/>
            <w:bottom w:w="15" w:type="dxa"/>
            <w:right w:w="15" w:type="dxa"/>
          </w:tblCellMar>
        </w:tblPrEx>
        <w:trPr>
          <w:trHeight w:val="0" w:hRule="atLeast"/>
          <w:jc w:val="center"/>
        </w:trPr>
        <w:tc>
          <w:tcPr>
            <w:tcW w:w="3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使用非财政拨款结余（含专用结余）</w:t>
            </w:r>
          </w:p>
        </w:tc>
        <w:tc>
          <w:tcPr>
            <w:tcW w:w="6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28</w:t>
            </w:r>
          </w:p>
        </w:tc>
        <w:tc>
          <w:tcPr>
            <w:tcW w:w="15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7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结余分配</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59</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3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xml:space="preserve">年初结转和结余 </w:t>
            </w:r>
          </w:p>
        </w:tc>
        <w:tc>
          <w:tcPr>
            <w:tcW w:w="6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29</w:t>
            </w:r>
          </w:p>
        </w:tc>
        <w:tc>
          <w:tcPr>
            <w:tcW w:w="15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7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xml:space="preserve">年末结转和结余 </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60</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3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6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30</w:t>
            </w:r>
          </w:p>
        </w:tc>
        <w:tc>
          <w:tcPr>
            <w:tcW w:w="15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7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61</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3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总计</w:t>
            </w:r>
          </w:p>
        </w:tc>
        <w:tc>
          <w:tcPr>
            <w:tcW w:w="67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31</w:t>
            </w:r>
          </w:p>
        </w:tc>
        <w:tc>
          <w:tcPr>
            <w:tcW w:w="15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3,774.09</w:t>
            </w:r>
          </w:p>
        </w:tc>
        <w:tc>
          <w:tcPr>
            <w:tcW w:w="27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总计</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62</w:t>
            </w:r>
          </w:p>
        </w:tc>
        <w:tc>
          <w:tcPr>
            <w:tcW w:w="17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3,774.09</w:t>
            </w:r>
          </w:p>
        </w:tc>
      </w:tr>
      <w:tr>
        <w:tblPrEx>
          <w:tblLayout w:type="fixed"/>
          <w:tblCellMar>
            <w:top w:w="15" w:type="dxa"/>
            <w:left w:w="15" w:type="dxa"/>
            <w:bottom w:w="15" w:type="dxa"/>
            <w:right w:w="15" w:type="dxa"/>
          </w:tblCellMar>
        </w:tblPrEx>
        <w:trPr>
          <w:trHeight w:val="0" w:hRule="atLeast"/>
          <w:jc w:val="center"/>
        </w:trPr>
        <w:tc>
          <w:tcPr>
            <w:tcW w:w="10506" w:type="dxa"/>
            <w:gridSpan w:val="6"/>
            <w:noWrap w:val="0"/>
            <w:tcMar>
              <w:top w:w="20" w:type="dxa"/>
              <w:left w:w="20" w:type="dxa"/>
              <w:bottom w:w="20" w:type="dxa"/>
              <w:right w:w="20" w:type="dxa"/>
            </w:tcMar>
            <w:vAlign w:val="center"/>
          </w:tcPr>
          <w:p>
            <w:pPr>
              <w:widowControl/>
              <w:spacing w:line="375" w:lineRule="atLeast"/>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注：1.本表反映</w:t>
            </w:r>
            <w:r>
              <w:rPr>
                <w:rFonts w:hint="eastAsia" w:ascii="仿宋" w:hAnsi="仿宋" w:eastAsia="仿宋" w:cs="仿宋"/>
                <w:b w:val="0"/>
                <w:bCs w:val="0"/>
                <w:i w:val="0"/>
                <w:iCs w:val="0"/>
                <w:smallCaps w:val="0"/>
                <w:color w:val="000000"/>
                <w:kern w:val="0"/>
                <w:sz w:val="28"/>
                <w:szCs w:val="28"/>
                <w:lang w:eastAsia="zh-CN"/>
              </w:rPr>
              <w:t>单位</w:t>
            </w:r>
            <w:r>
              <w:rPr>
                <w:rFonts w:hint="eastAsia" w:ascii="仿宋" w:hAnsi="仿宋" w:eastAsia="仿宋" w:cs="仿宋"/>
                <w:b w:val="0"/>
                <w:bCs w:val="0"/>
                <w:i w:val="0"/>
                <w:iCs w:val="0"/>
                <w:smallCaps w:val="0"/>
                <w:color w:val="000000"/>
                <w:kern w:val="0"/>
                <w:sz w:val="28"/>
                <w:szCs w:val="28"/>
              </w:rPr>
              <w:t>本年度的总收支和年末结转结余情况。</w:t>
            </w:r>
          </w:p>
        </w:tc>
      </w:tr>
      <w:tr>
        <w:tblPrEx>
          <w:tblLayout w:type="fixed"/>
          <w:tblCellMar>
            <w:top w:w="15" w:type="dxa"/>
            <w:left w:w="15" w:type="dxa"/>
            <w:bottom w:w="15" w:type="dxa"/>
            <w:right w:w="15" w:type="dxa"/>
          </w:tblCellMar>
        </w:tblPrEx>
        <w:trPr>
          <w:trHeight w:val="0" w:hRule="atLeast"/>
          <w:jc w:val="center"/>
        </w:trPr>
        <w:tc>
          <w:tcPr>
            <w:tcW w:w="10506" w:type="dxa"/>
            <w:gridSpan w:val="6"/>
            <w:noWrap w:val="0"/>
            <w:tcMar>
              <w:top w:w="20" w:type="dxa"/>
              <w:left w:w="485" w:type="dxa"/>
              <w:bottom w:w="20" w:type="dxa"/>
              <w:right w:w="20" w:type="dxa"/>
            </w:tcMar>
            <w:vAlign w:val="center"/>
          </w:tcPr>
          <w:p>
            <w:pPr>
              <w:widowControl/>
              <w:spacing w:line="375" w:lineRule="atLeast"/>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2.本套报表金额单位转换时可能存在尾数误差。</w:t>
            </w:r>
          </w:p>
        </w:tc>
      </w:tr>
      <w:bookmarkEnd w:id="25"/>
      <w:bookmarkEnd w:id="26"/>
      <w:bookmarkEnd w:id="27"/>
      <w:bookmarkEnd w:id="28"/>
      <w:bookmarkEnd w:id="29"/>
      <w:bookmarkEnd w:id="30"/>
      <w:bookmarkEnd w:id="31"/>
      <w:bookmarkEnd w:id="32"/>
    </w:tbl>
    <w:p>
      <w:pPr>
        <w:pStyle w:val="6"/>
        <w:keepNext w:val="0"/>
        <w:keepLines w:val="0"/>
        <w:spacing w:before="100" w:after="100" w:line="240" w:lineRule="auto"/>
        <w:ind w:left="0" w:leftChars="0" w:right="0" w:firstLine="0" w:firstLineChars="0"/>
        <w:rPr>
          <w:rFonts w:hint="eastAsia" w:ascii="仿宋" w:hAnsi="仿宋" w:eastAsia="仿宋" w:cs="仿宋"/>
          <w:b/>
          <w:bCs/>
          <w:kern w:val="0"/>
          <w:sz w:val="32"/>
          <w:szCs w:val="32"/>
        </w:rPr>
      </w:pPr>
    </w:p>
    <w:p>
      <w:pPr>
        <w:rPr>
          <w:rFonts w:hint="eastAsia" w:ascii="仿宋" w:hAnsi="仿宋" w:eastAsia="仿宋" w:cs="仿宋"/>
          <w:sz w:val="32"/>
          <w:szCs w:val="32"/>
        </w:rPr>
      </w:pPr>
    </w:p>
    <w:p>
      <w:pPr>
        <w:rPr>
          <w:rFonts w:hint="eastAsia" w:ascii="仿宋" w:hAnsi="仿宋" w:eastAsia="仿宋" w:cs="仿宋"/>
          <w:sz w:val="32"/>
          <w:szCs w:val="32"/>
        </w:rPr>
      </w:pPr>
    </w:p>
    <w:p>
      <w:pPr>
        <w:rPr>
          <w:rFonts w:hint="eastAsia" w:ascii="仿宋" w:hAnsi="仿宋" w:eastAsia="仿宋" w:cs="仿宋"/>
          <w:sz w:val="32"/>
          <w:szCs w:val="32"/>
        </w:rPr>
      </w:pPr>
    </w:p>
    <w:p>
      <w:pPr>
        <w:rPr>
          <w:rFonts w:hint="eastAsia" w:ascii="仿宋" w:hAnsi="仿宋" w:eastAsia="仿宋" w:cs="仿宋"/>
          <w:sz w:val="32"/>
          <w:szCs w:val="32"/>
        </w:rPr>
      </w:pPr>
    </w:p>
    <w:p>
      <w:pPr>
        <w:widowControl/>
        <w:jc w:val="left"/>
        <w:rPr>
          <w:rFonts w:hint="eastAsia" w:ascii="仿宋" w:hAnsi="仿宋" w:eastAsia="仿宋" w:cs="仿宋"/>
          <w:b/>
          <w:spacing w:val="0"/>
          <w:sz w:val="32"/>
          <w:szCs w:val="32"/>
        </w:rPr>
      </w:pPr>
    </w:p>
    <w:p>
      <w:pPr>
        <w:widowControl/>
        <w:jc w:val="left"/>
        <w:rPr>
          <w:rFonts w:hint="eastAsia" w:ascii="仿宋" w:hAnsi="仿宋" w:eastAsia="仿宋" w:cs="仿宋"/>
          <w:b/>
          <w:bCs/>
          <w:kern w:val="0"/>
          <w:sz w:val="32"/>
          <w:szCs w:val="32"/>
        </w:rPr>
      </w:pPr>
      <w:r>
        <w:rPr>
          <w:rFonts w:hint="eastAsia" w:ascii="仿宋" w:hAnsi="仿宋" w:eastAsia="仿宋" w:cs="仿宋"/>
          <w:b/>
          <w:spacing w:val="0"/>
          <w:sz w:val="32"/>
          <w:szCs w:val="32"/>
        </w:rPr>
        <w:t>二、收入决算表</w:t>
      </w:r>
    </w:p>
    <w:tbl>
      <w:tblPr>
        <w:tblStyle w:val="23"/>
        <w:tblW w:w="10506" w:type="dxa"/>
        <w:jc w:val="center"/>
        <w:tblInd w:w="0" w:type="dxa"/>
        <w:tblLayout w:type="fixed"/>
        <w:tblCellMar>
          <w:top w:w="15" w:type="dxa"/>
          <w:left w:w="15" w:type="dxa"/>
          <w:bottom w:w="15" w:type="dxa"/>
          <w:right w:w="15" w:type="dxa"/>
        </w:tblCellMar>
      </w:tblPr>
      <w:tblGrid>
        <w:gridCol w:w="1167"/>
        <w:gridCol w:w="1361"/>
        <w:gridCol w:w="1200"/>
        <w:gridCol w:w="1313"/>
        <w:gridCol w:w="1028"/>
        <w:gridCol w:w="935"/>
        <w:gridCol w:w="1167"/>
        <w:gridCol w:w="1168"/>
        <w:gridCol w:w="1167"/>
      </w:tblGrid>
      <w:tr>
        <w:tblPrEx>
          <w:tblLayout w:type="fixed"/>
          <w:tblCellMar>
            <w:top w:w="15" w:type="dxa"/>
            <w:left w:w="15" w:type="dxa"/>
            <w:bottom w:w="15" w:type="dxa"/>
            <w:right w:w="15" w:type="dxa"/>
          </w:tblCellMar>
        </w:tblPrEx>
        <w:trPr>
          <w:trHeight w:val="0" w:hRule="atLeast"/>
          <w:tblHeader/>
          <w:jc w:val="center"/>
        </w:trPr>
        <w:tc>
          <w:tcPr>
            <w:tcW w:w="10506" w:type="dxa"/>
            <w:gridSpan w:val="9"/>
            <w:noWrap w:val="0"/>
            <w:tcMar>
              <w:top w:w="20" w:type="dxa"/>
              <w:left w:w="20" w:type="dxa"/>
              <w:bottom w:w="20" w:type="dxa"/>
              <w:right w:w="20" w:type="dxa"/>
            </w:tcMar>
            <w:vAlign w:val="center"/>
          </w:tcPr>
          <w:p>
            <w:pPr>
              <w:widowControl/>
              <w:spacing w:line="900" w:lineRule="atLeast"/>
              <w:jc w:val="center"/>
              <w:rPr>
                <w:rFonts w:hint="eastAsia" w:ascii="仿宋" w:hAnsi="仿宋" w:eastAsia="仿宋" w:cs="仿宋"/>
                <w:b w:val="0"/>
                <w:bCs w:val="0"/>
                <w:i w:val="0"/>
                <w:iCs w:val="0"/>
                <w:smallCaps w:val="0"/>
                <w:color w:val="000000"/>
                <w:kern w:val="0"/>
                <w:sz w:val="28"/>
                <w:szCs w:val="28"/>
              </w:rPr>
            </w:pPr>
            <w:bookmarkStart w:id="33" w:name="_Toc256000101"/>
            <w:bookmarkStart w:id="34" w:name="_Toc256000039"/>
            <w:bookmarkStart w:id="35" w:name="_Toc256000008"/>
            <w:bookmarkStart w:id="36" w:name="_Toc256000070"/>
            <w:r>
              <w:rPr>
                <w:rFonts w:hint="eastAsia" w:ascii="仿宋" w:hAnsi="仿宋" w:eastAsia="仿宋" w:cs="仿宋"/>
                <w:b w:val="0"/>
                <w:bCs w:val="0"/>
                <w:i w:val="0"/>
                <w:iCs w:val="0"/>
                <w:smallCaps w:val="0"/>
                <w:color w:val="000000"/>
                <w:kern w:val="0"/>
                <w:sz w:val="32"/>
                <w:szCs w:val="32"/>
              </w:rPr>
              <w:t>收入决算表</w:t>
            </w:r>
          </w:p>
        </w:tc>
      </w:tr>
      <w:tr>
        <w:tblPrEx>
          <w:tblLayout w:type="fixed"/>
          <w:tblCellMar>
            <w:top w:w="15" w:type="dxa"/>
            <w:left w:w="15" w:type="dxa"/>
            <w:bottom w:w="15" w:type="dxa"/>
            <w:right w:w="15" w:type="dxa"/>
          </w:tblCellMar>
        </w:tblPrEx>
        <w:trPr>
          <w:trHeight w:val="0" w:hRule="atLeast"/>
          <w:jc w:val="center"/>
        </w:trPr>
        <w:tc>
          <w:tcPr>
            <w:tcW w:w="5041"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单位：厦门市高殿中心小学</w:t>
            </w:r>
          </w:p>
        </w:tc>
        <w:tc>
          <w:tcPr>
            <w:tcW w:w="1963"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2024年度</w:t>
            </w:r>
          </w:p>
        </w:tc>
        <w:tc>
          <w:tcPr>
            <w:tcW w:w="116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335"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金额单位：万元</w:t>
            </w:r>
          </w:p>
        </w:tc>
      </w:tr>
      <w:tr>
        <w:tblPrEx>
          <w:tblLayout w:type="fixed"/>
          <w:tblCellMar>
            <w:top w:w="15" w:type="dxa"/>
            <w:left w:w="15" w:type="dxa"/>
            <w:bottom w:w="15" w:type="dxa"/>
            <w:right w:w="15" w:type="dxa"/>
          </w:tblCellMar>
        </w:tblPrEx>
        <w:trPr>
          <w:trHeight w:val="0" w:hRule="atLeast"/>
          <w:tblHeader/>
          <w:jc w:val="center"/>
        </w:trPr>
        <w:tc>
          <w:tcPr>
            <w:tcW w:w="252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项目</w:t>
            </w:r>
          </w:p>
        </w:tc>
        <w:tc>
          <w:tcPr>
            <w:tcW w:w="120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本年收入合计</w:t>
            </w:r>
          </w:p>
        </w:tc>
        <w:tc>
          <w:tcPr>
            <w:tcW w:w="131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xml:space="preserve">财政拨款收入 </w:t>
            </w:r>
          </w:p>
        </w:tc>
        <w:tc>
          <w:tcPr>
            <w:tcW w:w="102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上级补助收入</w:t>
            </w:r>
          </w:p>
        </w:tc>
        <w:tc>
          <w:tcPr>
            <w:tcW w:w="93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事业收入</w:t>
            </w:r>
          </w:p>
        </w:tc>
        <w:tc>
          <w:tcPr>
            <w:tcW w:w="116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经营收入</w:t>
            </w:r>
          </w:p>
        </w:tc>
        <w:tc>
          <w:tcPr>
            <w:tcW w:w="116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附属单位上缴收入</w:t>
            </w:r>
          </w:p>
        </w:tc>
        <w:tc>
          <w:tcPr>
            <w:tcW w:w="116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其他收入</w:t>
            </w:r>
          </w:p>
        </w:tc>
      </w:tr>
      <w:tr>
        <w:tblPrEx>
          <w:tblLayout w:type="fixed"/>
          <w:tblCellMar>
            <w:top w:w="15" w:type="dxa"/>
            <w:left w:w="15" w:type="dxa"/>
            <w:bottom w:w="15" w:type="dxa"/>
            <w:right w:w="15" w:type="dxa"/>
          </w:tblCellMar>
        </w:tblPrEx>
        <w:trPr>
          <w:trHeight w:val="312" w:hRule="atLeast"/>
          <w:tblHeader/>
          <w:jc w:val="center"/>
        </w:trPr>
        <w:tc>
          <w:tcPr>
            <w:tcW w:w="116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科目代码</w:t>
            </w:r>
          </w:p>
        </w:tc>
        <w:tc>
          <w:tcPr>
            <w:tcW w:w="136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科目名称</w:t>
            </w:r>
          </w:p>
        </w:tc>
        <w:tc>
          <w:tcPr>
            <w:tcW w:w="1200"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131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102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93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116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116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116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r>
      <w:tr>
        <w:tblPrEx>
          <w:tblLayout w:type="fixed"/>
          <w:tblCellMar>
            <w:top w:w="15" w:type="dxa"/>
            <w:left w:w="15" w:type="dxa"/>
            <w:bottom w:w="15" w:type="dxa"/>
            <w:right w:w="15" w:type="dxa"/>
          </w:tblCellMar>
        </w:tblPrEx>
        <w:trPr>
          <w:trHeight w:val="312" w:hRule="atLeast"/>
          <w:tblHeader/>
          <w:jc w:val="center"/>
        </w:trPr>
        <w:tc>
          <w:tcPr>
            <w:tcW w:w="116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1361"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1200"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131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102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93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116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116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116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r>
      <w:tr>
        <w:tblPrEx>
          <w:tblLayout w:type="fixed"/>
          <w:tblCellMar>
            <w:top w:w="15" w:type="dxa"/>
            <w:left w:w="15" w:type="dxa"/>
            <w:bottom w:w="15" w:type="dxa"/>
            <w:right w:w="15" w:type="dxa"/>
          </w:tblCellMar>
        </w:tblPrEx>
        <w:trPr>
          <w:trHeight w:val="0" w:hRule="atLeast"/>
          <w:jc w:val="center"/>
        </w:trPr>
        <w:tc>
          <w:tcPr>
            <w:tcW w:w="252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栏次</w:t>
            </w:r>
          </w:p>
        </w:tc>
        <w:tc>
          <w:tcPr>
            <w:tcW w:w="12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w:t>
            </w:r>
          </w:p>
        </w:tc>
        <w:tc>
          <w:tcPr>
            <w:tcW w:w="13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w:t>
            </w:r>
          </w:p>
        </w:tc>
        <w:tc>
          <w:tcPr>
            <w:tcW w:w="1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w:t>
            </w:r>
          </w:p>
        </w:tc>
        <w:tc>
          <w:tcPr>
            <w:tcW w:w="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5</w:t>
            </w:r>
          </w:p>
        </w:tc>
        <w:tc>
          <w:tcPr>
            <w:tcW w:w="11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6</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7</w:t>
            </w:r>
          </w:p>
        </w:tc>
      </w:tr>
      <w:tr>
        <w:tblPrEx>
          <w:tblLayout w:type="fixed"/>
          <w:tblCellMar>
            <w:top w:w="15" w:type="dxa"/>
            <w:left w:w="15" w:type="dxa"/>
            <w:bottom w:w="15" w:type="dxa"/>
            <w:right w:w="15" w:type="dxa"/>
          </w:tblCellMar>
        </w:tblPrEx>
        <w:trPr>
          <w:trHeight w:val="0" w:hRule="atLeast"/>
          <w:jc w:val="center"/>
        </w:trPr>
        <w:tc>
          <w:tcPr>
            <w:tcW w:w="252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合计</w:t>
            </w:r>
          </w:p>
        </w:tc>
        <w:tc>
          <w:tcPr>
            <w:tcW w:w="12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3,774.09</w:t>
            </w:r>
          </w:p>
        </w:tc>
        <w:tc>
          <w:tcPr>
            <w:tcW w:w="13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3,774.09</w:t>
            </w:r>
          </w:p>
        </w:tc>
        <w:tc>
          <w:tcPr>
            <w:tcW w:w="1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205</w:t>
            </w:r>
          </w:p>
        </w:tc>
        <w:tc>
          <w:tcPr>
            <w:tcW w:w="13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教育支出</w:t>
            </w:r>
          </w:p>
        </w:tc>
        <w:tc>
          <w:tcPr>
            <w:tcW w:w="12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3,156.13</w:t>
            </w:r>
          </w:p>
        </w:tc>
        <w:tc>
          <w:tcPr>
            <w:tcW w:w="13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3,156.13</w:t>
            </w:r>
          </w:p>
        </w:tc>
        <w:tc>
          <w:tcPr>
            <w:tcW w:w="1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20502</w:t>
            </w:r>
          </w:p>
        </w:tc>
        <w:tc>
          <w:tcPr>
            <w:tcW w:w="13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普通教育</w:t>
            </w:r>
          </w:p>
        </w:tc>
        <w:tc>
          <w:tcPr>
            <w:tcW w:w="12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2,977.3</w:t>
            </w:r>
          </w:p>
        </w:tc>
        <w:tc>
          <w:tcPr>
            <w:tcW w:w="13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2,977.3</w:t>
            </w:r>
          </w:p>
        </w:tc>
        <w:tc>
          <w:tcPr>
            <w:tcW w:w="1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2050202</w:t>
            </w:r>
          </w:p>
        </w:tc>
        <w:tc>
          <w:tcPr>
            <w:tcW w:w="13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小学教育</w:t>
            </w:r>
          </w:p>
        </w:tc>
        <w:tc>
          <w:tcPr>
            <w:tcW w:w="12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2,765.6</w:t>
            </w:r>
          </w:p>
        </w:tc>
        <w:tc>
          <w:tcPr>
            <w:tcW w:w="13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2,765.6</w:t>
            </w:r>
          </w:p>
        </w:tc>
        <w:tc>
          <w:tcPr>
            <w:tcW w:w="1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2050299</w:t>
            </w:r>
          </w:p>
        </w:tc>
        <w:tc>
          <w:tcPr>
            <w:tcW w:w="13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其他普通教育支出</w:t>
            </w:r>
          </w:p>
        </w:tc>
        <w:tc>
          <w:tcPr>
            <w:tcW w:w="12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211.7</w:t>
            </w:r>
          </w:p>
        </w:tc>
        <w:tc>
          <w:tcPr>
            <w:tcW w:w="13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211.7</w:t>
            </w:r>
          </w:p>
        </w:tc>
        <w:tc>
          <w:tcPr>
            <w:tcW w:w="1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20509</w:t>
            </w:r>
          </w:p>
        </w:tc>
        <w:tc>
          <w:tcPr>
            <w:tcW w:w="13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教育费附加安排的支出</w:t>
            </w:r>
          </w:p>
        </w:tc>
        <w:tc>
          <w:tcPr>
            <w:tcW w:w="12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178.08</w:t>
            </w:r>
          </w:p>
        </w:tc>
        <w:tc>
          <w:tcPr>
            <w:tcW w:w="13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178.08</w:t>
            </w:r>
          </w:p>
        </w:tc>
        <w:tc>
          <w:tcPr>
            <w:tcW w:w="1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2050999</w:t>
            </w:r>
          </w:p>
        </w:tc>
        <w:tc>
          <w:tcPr>
            <w:tcW w:w="13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其他教育费附加安排的支出</w:t>
            </w:r>
          </w:p>
        </w:tc>
        <w:tc>
          <w:tcPr>
            <w:tcW w:w="12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178.08</w:t>
            </w:r>
          </w:p>
        </w:tc>
        <w:tc>
          <w:tcPr>
            <w:tcW w:w="13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178.08</w:t>
            </w:r>
          </w:p>
        </w:tc>
        <w:tc>
          <w:tcPr>
            <w:tcW w:w="1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20599</w:t>
            </w:r>
          </w:p>
        </w:tc>
        <w:tc>
          <w:tcPr>
            <w:tcW w:w="13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其他教育支出</w:t>
            </w:r>
          </w:p>
        </w:tc>
        <w:tc>
          <w:tcPr>
            <w:tcW w:w="12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0.75</w:t>
            </w:r>
          </w:p>
        </w:tc>
        <w:tc>
          <w:tcPr>
            <w:tcW w:w="13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0.75</w:t>
            </w:r>
          </w:p>
        </w:tc>
        <w:tc>
          <w:tcPr>
            <w:tcW w:w="1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2059999</w:t>
            </w:r>
          </w:p>
        </w:tc>
        <w:tc>
          <w:tcPr>
            <w:tcW w:w="13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其他教育支出</w:t>
            </w:r>
          </w:p>
        </w:tc>
        <w:tc>
          <w:tcPr>
            <w:tcW w:w="12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0.75</w:t>
            </w:r>
          </w:p>
        </w:tc>
        <w:tc>
          <w:tcPr>
            <w:tcW w:w="13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0.75</w:t>
            </w:r>
          </w:p>
        </w:tc>
        <w:tc>
          <w:tcPr>
            <w:tcW w:w="1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208</w:t>
            </w:r>
          </w:p>
        </w:tc>
        <w:tc>
          <w:tcPr>
            <w:tcW w:w="13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社会保障和就业支出</w:t>
            </w:r>
          </w:p>
        </w:tc>
        <w:tc>
          <w:tcPr>
            <w:tcW w:w="12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447.69</w:t>
            </w:r>
          </w:p>
        </w:tc>
        <w:tc>
          <w:tcPr>
            <w:tcW w:w="13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447.69</w:t>
            </w:r>
          </w:p>
        </w:tc>
        <w:tc>
          <w:tcPr>
            <w:tcW w:w="1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20805</w:t>
            </w:r>
          </w:p>
        </w:tc>
        <w:tc>
          <w:tcPr>
            <w:tcW w:w="13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行政事业单位养老支出</w:t>
            </w:r>
          </w:p>
        </w:tc>
        <w:tc>
          <w:tcPr>
            <w:tcW w:w="12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447.69</w:t>
            </w:r>
          </w:p>
        </w:tc>
        <w:tc>
          <w:tcPr>
            <w:tcW w:w="13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447.69</w:t>
            </w:r>
          </w:p>
        </w:tc>
        <w:tc>
          <w:tcPr>
            <w:tcW w:w="1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2080502</w:t>
            </w:r>
          </w:p>
        </w:tc>
        <w:tc>
          <w:tcPr>
            <w:tcW w:w="13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事业单位离退休</w:t>
            </w:r>
          </w:p>
        </w:tc>
        <w:tc>
          <w:tcPr>
            <w:tcW w:w="12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102.52</w:t>
            </w:r>
          </w:p>
        </w:tc>
        <w:tc>
          <w:tcPr>
            <w:tcW w:w="13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102.52</w:t>
            </w:r>
          </w:p>
        </w:tc>
        <w:tc>
          <w:tcPr>
            <w:tcW w:w="1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2080505</w:t>
            </w:r>
          </w:p>
        </w:tc>
        <w:tc>
          <w:tcPr>
            <w:tcW w:w="13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机关事业单位基本养老保险缴费支出</w:t>
            </w:r>
          </w:p>
        </w:tc>
        <w:tc>
          <w:tcPr>
            <w:tcW w:w="12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218.93</w:t>
            </w:r>
          </w:p>
        </w:tc>
        <w:tc>
          <w:tcPr>
            <w:tcW w:w="13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218.93</w:t>
            </w:r>
          </w:p>
        </w:tc>
        <w:tc>
          <w:tcPr>
            <w:tcW w:w="1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2080506</w:t>
            </w:r>
          </w:p>
        </w:tc>
        <w:tc>
          <w:tcPr>
            <w:tcW w:w="13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机关事业单位职业年金缴费支出</w:t>
            </w:r>
          </w:p>
        </w:tc>
        <w:tc>
          <w:tcPr>
            <w:tcW w:w="12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126.25</w:t>
            </w:r>
          </w:p>
        </w:tc>
        <w:tc>
          <w:tcPr>
            <w:tcW w:w="13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126.25</w:t>
            </w:r>
          </w:p>
        </w:tc>
        <w:tc>
          <w:tcPr>
            <w:tcW w:w="1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210</w:t>
            </w:r>
          </w:p>
        </w:tc>
        <w:tc>
          <w:tcPr>
            <w:tcW w:w="13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卫生健康支出</w:t>
            </w:r>
          </w:p>
        </w:tc>
        <w:tc>
          <w:tcPr>
            <w:tcW w:w="12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141.62</w:t>
            </w:r>
          </w:p>
        </w:tc>
        <w:tc>
          <w:tcPr>
            <w:tcW w:w="13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141.62</w:t>
            </w:r>
          </w:p>
        </w:tc>
        <w:tc>
          <w:tcPr>
            <w:tcW w:w="1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21011</w:t>
            </w:r>
          </w:p>
        </w:tc>
        <w:tc>
          <w:tcPr>
            <w:tcW w:w="13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行政事业单位医疗</w:t>
            </w:r>
          </w:p>
        </w:tc>
        <w:tc>
          <w:tcPr>
            <w:tcW w:w="12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141.62</w:t>
            </w:r>
          </w:p>
        </w:tc>
        <w:tc>
          <w:tcPr>
            <w:tcW w:w="13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141.62</w:t>
            </w:r>
          </w:p>
        </w:tc>
        <w:tc>
          <w:tcPr>
            <w:tcW w:w="1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2101102</w:t>
            </w:r>
          </w:p>
        </w:tc>
        <w:tc>
          <w:tcPr>
            <w:tcW w:w="13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事业单位医疗</w:t>
            </w:r>
          </w:p>
        </w:tc>
        <w:tc>
          <w:tcPr>
            <w:tcW w:w="12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93.73</w:t>
            </w:r>
          </w:p>
        </w:tc>
        <w:tc>
          <w:tcPr>
            <w:tcW w:w="13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93.73</w:t>
            </w:r>
          </w:p>
        </w:tc>
        <w:tc>
          <w:tcPr>
            <w:tcW w:w="1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2101199</w:t>
            </w:r>
          </w:p>
        </w:tc>
        <w:tc>
          <w:tcPr>
            <w:tcW w:w="13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其他行政事业单位医疗支出</w:t>
            </w:r>
          </w:p>
        </w:tc>
        <w:tc>
          <w:tcPr>
            <w:tcW w:w="12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47.89</w:t>
            </w:r>
          </w:p>
        </w:tc>
        <w:tc>
          <w:tcPr>
            <w:tcW w:w="13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47.89</w:t>
            </w:r>
          </w:p>
        </w:tc>
        <w:tc>
          <w:tcPr>
            <w:tcW w:w="1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221</w:t>
            </w:r>
          </w:p>
        </w:tc>
        <w:tc>
          <w:tcPr>
            <w:tcW w:w="13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住房保障支出</w:t>
            </w:r>
          </w:p>
        </w:tc>
        <w:tc>
          <w:tcPr>
            <w:tcW w:w="12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24.7</w:t>
            </w:r>
          </w:p>
        </w:tc>
        <w:tc>
          <w:tcPr>
            <w:tcW w:w="13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24.7</w:t>
            </w:r>
          </w:p>
        </w:tc>
        <w:tc>
          <w:tcPr>
            <w:tcW w:w="1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22102</w:t>
            </w:r>
          </w:p>
        </w:tc>
        <w:tc>
          <w:tcPr>
            <w:tcW w:w="13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住房改革支出</w:t>
            </w:r>
          </w:p>
        </w:tc>
        <w:tc>
          <w:tcPr>
            <w:tcW w:w="12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24.7</w:t>
            </w:r>
          </w:p>
        </w:tc>
        <w:tc>
          <w:tcPr>
            <w:tcW w:w="13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24.7</w:t>
            </w:r>
          </w:p>
        </w:tc>
        <w:tc>
          <w:tcPr>
            <w:tcW w:w="1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2210203</w:t>
            </w:r>
          </w:p>
        </w:tc>
        <w:tc>
          <w:tcPr>
            <w:tcW w:w="13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购房补贴</w:t>
            </w:r>
          </w:p>
        </w:tc>
        <w:tc>
          <w:tcPr>
            <w:tcW w:w="12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24.7</w:t>
            </w:r>
          </w:p>
        </w:tc>
        <w:tc>
          <w:tcPr>
            <w:tcW w:w="13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24.7</w:t>
            </w:r>
          </w:p>
        </w:tc>
        <w:tc>
          <w:tcPr>
            <w:tcW w:w="1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229</w:t>
            </w:r>
          </w:p>
        </w:tc>
        <w:tc>
          <w:tcPr>
            <w:tcW w:w="13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其他支出</w:t>
            </w:r>
          </w:p>
        </w:tc>
        <w:tc>
          <w:tcPr>
            <w:tcW w:w="12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3.95</w:t>
            </w:r>
          </w:p>
        </w:tc>
        <w:tc>
          <w:tcPr>
            <w:tcW w:w="13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3.95</w:t>
            </w:r>
          </w:p>
        </w:tc>
        <w:tc>
          <w:tcPr>
            <w:tcW w:w="1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22960</w:t>
            </w:r>
          </w:p>
        </w:tc>
        <w:tc>
          <w:tcPr>
            <w:tcW w:w="13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彩票公益金安排的支出</w:t>
            </w:r>
          </w:p>
        </w:tc>
        <w:tc>
          <w:tcPr>
            <w:tcW w:w="12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3.95</w:t>
            </w:r>
          </w:p>
        </w:tc>
        <w:tc>
          <w:tcPr>
            <w:tcW w:w="13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3.95</w:t>
            </w:r>
          </w:p>
        </w:tc>
        <w:tc>
          <w:tcPr>
            <w:tcW w:w="1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2296003</w:t>
            </w:r>
          </w:p>
        </w:tc>
        <w:tc>
          <w:tcPr>
            <w:tcW w:w="136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用于体育事业的彩票公益金支出</w:t>
            </w:r>
          </w:p>
        </w:tc>
        <w:tc>
          <w:tcPr>
            <w:tcW w:w="12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3.95</w:t>
            </w:r>
          </w:p>
        </w:tc>
        <w:tc>
          <w:tcPr>
            <w:tcW w:w="13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3.95</w:t>
            </w:r>
          </w:p>
        </w:tc>
        <w:tc>
          <w:tcPr>
            <w:tcW w:w="102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11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r>
      <w:tr>
        <w:tblPrEx>
          <w:tblLayout w:type="fixed"/>
          <w:tblCellMar>
            <w:top w:w="15" w:type="dxa"/>
            <w:left w:w="15" w:type="dxa"/>
            <w:bottom w:w="15" w:type="dxa"/>
            <w:right w:w="15" w:type="dxa"/>
          </w:tblCellMar>
        </w:tblPrEx>
        <w:trPr>
          <w:trHeight w:val="0" w:hRule="atLeast"/>
          <w:jc w:val="center"/>
        </w:trPr>
        <w:tc>
          <w:tcPr>
            <w:tcW w:w="10506" w:type="dxa"/>
            <w:gridSpan w:val="9"/>
            <w:noWrap w:val="0"/>
            <w:tcMar>
              <w:top w:w="20" w:type="dxa"/>
              <w:left w:w="20" w:type="dxa"/>
              <w:bottom w:w="20" w:type="dxa"/>
              <w:right w:w="20" w:type="dxa"/>
            </w:tcMar>
            <w:vAlign w:val="center"/>
          </w:tcPr>
          <w:p>
            <w:pPr>
              <w:widowControl/>
              <w:spacing w:line="375" w:lineRule="atLeast"/>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注：本表反映</w:t>
            </w:r>
            <w:r>
              <w:rPr>
                <w:rFonts w:hint="eastAsia" w:ascii="仿宋" w:hAnsi="仿宋" w:eastAsia="仿宋" w:cs="仿宋"/>
                <w:b w:val="0"/>
                <w:bCs w:val="0"/>
                <w:i w:val="0"/>
                <w:iCs w:val="0"/>
                <w:smallCaps w:val="0"/>
                <w:color w:val="000000"/>
                <w:kern w:val="0"/>
                <w:sz w:val="28"/>
                <w:szCs w:val="28"/>
                <w:lang w:eastAsia="zh-CN"/>
              </w:rPr>
              <w:t>单位</w:t>
            </w:r>
            <w:r>
              <w:rPr>
                <w:rFonts w:hint="eastAsia" w:ascii="仿宋" w:hAnsi="仿宋" w:eastAsia="仿宋" w:cs="仿宋"/>
                <w:b w:val="0"/>
                <w:bCs w:val="0"/>
                <w:i w:val="0"/>
                <w:iCs w:val="0"/>
                <w:smallCaps w:val="0"/>
                <w:color w:val="000000"/>
                <w:kern w:val="0"/>
                <w:sz w:val="28"/>
                <w:szCs w:val="28"/>
              </w:rPr>
              <w:t>本年度取得的各项收入情况。</w:t>
            </w:r>
          </w:p>
        </w:tc>
      </w:tr>
      <w:bookmarkEnd w:id="33"/>
      <w:bookmarkEnd w:id="34"/>
      <w:bookmarkEnd w:id="35"/>
      <w:bookmarkEnd w:id="36"/>
    </w:tbl>
    <w:p>
      <w:pPr>
        <w:widowControl/>
        <w:jc w:val="left"/>
        <w:rPr>
          <w:rFonts w:hint="eastAsia" w:ascii="仿宋" w:hAnsi="仿宋" w:eastAsia="仿宋" w:cs="仿宋"/>
          <w:b/>
          <w:spacing w:val="0"/>
          <w:sz w:val="32"/>
          <w:szCs w:val="32"/>
        </w:rPr>
      </w:pPr>
    </w:p>
    <w:p>
      <w:pPr>
        <w:widowControl/>
        <w:jc w:val="left"/>
        <w:rPr>
          <w:rFonts w:hint="eastAsia" w:ascii="仿宋" w:hAnsi="仿宋" w:eastAsia="仿宋" w:cs="仿宋"/>
          <w:b/>
          <w:spacing w:val="0"/>
          <w:sz w:val="32"/>
          <w:szCs w:val="32"/>
        </w:rPr>
      </w:pPr>
    </w:p>
    <w:p>
      <w:pPr>
        <w:widowControl/>
        <w:jc w:val="left"/>
        <w:rPr>
          <w:rFonts w:hint="eastAsia" w:ascii="仿宋" w:hAnsi="仿宋" w:eastAsia="仿宋" w:cs="仿宋"/>
          <w:b/>
          <w:spacing w:val="0"/>
          <w:sz w:val="32"/>
          <w:szCs w:val="32"/>
        </w:rPr>
      </w:pPr>
    </w:p>
    <w:p>
      <w:pPr>
        <w:widowControl/>
        <w:jc w:val="left"/>
        <w:rPr>
          <w:rFonts w:hint="eastAsia" w:ascii="仿宋" w:hAnsi="仿宋" w:eastAsia="仿宋" w:cs="仿宋"/>
          <w:b/>
          <w:spacing w:val="0"/>
          <w:sz w:val="32"/>
          <w:szCs w:val="32"/>
        </w:rPr>
      </w:pPr>
    </w:p>
    <w:p>
      <w:pPr>
        <w:widowControl/>
        <w:jc w:val="left"/>
        <w:rPr>
          <w:rFonts w:hint="eastAsia" w:ascii="仿宋" w:hAnsi="仿宋" w:eastAsia="仿宋" w:cs="仿宋"/>
          <w:sz w:val="32"/>
          <w:szCs w:val="32"/>
        </w:rPr>
      </w:pPr>
      <w:r>
        <w:rPr>
          <w:rFonts w:hint="eastAsia" w:ascii="仿宋" w:hAnsi="仿宋" w:eastAsia="仿宋" w:cs="仿宋"/>
          <w:b/>
          <w:spacing w:val="0"/>
          <w:sz w:val="32"/>
          <w:szCs w:val="32"/>
        </w:rPr>
        <w:t>三、支出决算表</w:t>
      </w:r>
    </w:p>
    <w:tbl>
      <w:tblPr>
        <w:tblStyle w:val="23"/>
        <w:tblW w:w="10506" w:type="dxa"/>
        <w:jc w:val="center"/>
        <w:tblInd w:w="0" w:type="dxa"/>
        <w:tblLayout w:type="fixed"/>
        <w:tblCellMar>
          <w:top w:w="15" w:type="dxa"/>
          <w:left w:w="15" w:type="dxa"/>
          <w:bottom w:w="15" w:type="dxa"/>
          <w:right w:w="15" w:type="dxa"/>
        </w:tblCellMar>
      </w:tblPr>
      <w:tblGrid>
        <w:gridCol w:w="1377"/>
        <w:gridCol w:w="2357"/>
        <w:gridCol w:w="1457"/>
        <w:gridCol w:w="1433"/>
        <w:gridCol w:w="1093"/>
        <w:gridCol w:w="854"/>
        <w:gridCol w:w="867"/>
        <w:gridCol w:w="1068"/>
      </w:tblGrid>
      <w:tr>
        <w:tblPrEx>
          <w:tblLayout w:type="fixed"/>
          <w:tblCellMar>
            <w:top w:w="15" w:type="dxa"/>
            <w:left w:w="15" w:type="dxa"/>
            <w:bottom w:w="15" w:type="dxa"/>
            <w:right w:w="15" w:type="dxa"/>
          </w:tblCellMar>
        </w:tblPrEx>
        <w:trPr>
          <w:trHeight w:val="0" w:hRule="atLeast"/>
          <w:tblHeader/>
          <w:jc w:val="center"/>
        </w:trPr>
        <w:tc>
          <w:tcPr>
            <w:tcW w:w="10506" w:type="dxa"/>
            <w:gridSpan w:val="8"/>
            <w:noWrap w:val="0"/>
            <w:tcMar>
              <w:top w:w="20" w:type="dxa"/>
              <w:left w:w="20" w:type="dxa"/>
              <w:bottom w:w="20" w:type="dxa"/>
              <w:right w:w="20" w:type="dxa"/>
            </w:tcMar>
            <w:vAlign w:val="center"/>
          </w:tcPr>
          <w:p>
            <w:pPr>
              <w:widowControl/>
              <w:spacing w:line="900" w:lineRule="atLeast"/>
              <w:jc w:val="center"/>
              <w:rPr>
                <w:rFonts w:hint="eastAsia" w:ascii="仿宋" w:hAnsi="仿宋" w:eastAsia="仿宋" w:cs="仿宋"/>
                <w:b w:val="0"/>
                <w:bCs w:val="0"/>
                <w:i w:val="0"/>
                <w:iCs w:val="0"/>
                <w:smallCaps w:val="0"/>
                <w:color w:val="000000"/>
                <w:kern w:val="0"/>
                <w:sz w:val="32"/>
                <w:szCs w:val="32"/>
              </w:rPr>
            </w:pPr>
            <w:bookmarkStart w:id="37" w:name="_Toc256000102"/>
            <w:bookmarkStart w:id="38" w:name="_Toc256000071"/>
            <w:bookmarkStart w:id="39" w:name="_Toc256000040"/>
            <w:bookmarkStart w:id="40" w:name="_Toc256000009"/>
            <w:r>
              <w:rPr>
                <w:rFonts w:hint="eastAsia" w:ascii="仿宋" w:hAnsi="仿宋" w:eastAsia="仿宋" w:cs="仿宋"/>
                <w:b w:val="0"/>
                <w:bCs w:val="0"/>
                <w:i w:val="0"/>
                <w:iCs w:val="0"/>
                <w:smallCaps w:val="0"/>
                <w:color w:val="000000"/>
                <w:kern w:val="0"/>
                <w:sz w:val="32"/>
                <w:szCs w:val="32"/>
              </w:rPr>
              <w:t>支出决算表</w:t>
            </w:r>
          </w:p>
        </w:tc>
      </w:tr>
      <w:tr>
        <w:tblPrEx>
          <w:tblLayout w:type="fixed"/>
          <w:tblCellMar>
            <w:top w:w="15" w:type="dxa"/>
            <w:left w:w="15" w:type="dxa"/>
            <w:bottom w:w="15" w:type="dxa"/>
            <w:right w:w="15" w:type="dxa"/>
          </w:tblCellMar>
        </w:tblPrEx>
        <w:trPr>
          <w:trHeight w:val="0" w:hRule="atLeast"/>
          <w:jc w:val="center"/>
        </w:trPr>
        <w:tc>
          <w:tcPr>
            <w:tcW w:w="5191"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单位：厦门市高殿中心小学</w:t>
            </w:r>
          </w:p>
        </w:tc>
        <w:tc>
          <w:tcPr>
            <w:tcW w:w="252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2024年度</w:t>
            </w:r>
          </w:p>
        </w:tc>
        <w:tc>
          <w:tcPr>
            <w:tcW w:w="2789"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金额单位：万元</w:t>
            </w:r>
          </w:p>
        </w:tc>
      </w:tr>
      <w:tr>
        <w:tblPrEx>
          <w:tblLayout w:type="fixed"/>
          <w:tblCellMar>
            <w:top w:w="15" w:type="dxa"/>
            <w:left w:w="15" w:type="dxa"/>
            <w:bottom w:w="15" w:type="dxa"/>
            <w:right w:w="15" w:type="dxa"/>
          </w:tblCellMar>
        </w:tblPrEx>
        <w:trPr>
          <w:trHeight w:val="0" w:hRule="atLeast"/>
          <w:tblHeader/>
          <w:jc w:val="center"/>
        </w:trPr>
        <w:tc>
          <w:tcPr>
            <w:tcW w:w="3734"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项目</w:t>
            </w:r>
          </w:p>
        </w:tc>
        <w:tc>
          <w:tcPr>
            <w:tcW w:w="145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本年支出合计</w:t>
            </w:r>
          </w:p>
        </w:tc>
        <w:tc>
          <w:tcPr>
            <w:tcW w:w="14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基本支出</w:t>
            </w:r>
          </w:p>
        </w:tc>
        <w:tc>
          <w:tcPr>
            <w:tcW w:w="109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项目支出</w:t>
            </w:r>
          </w:p>
        </w:tc>
        <w:tc>
          <w:tcPr>
            <w:tcW w:w="85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上缴上级支出</w:t>
            </w:r>
          </w:p>
        </w:tc>
        <w:tc>
          <w:tcPr>
            <w:tcW w:w="86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经营支出</w:t>
            </w:r>
          </w:p>
        </w:tc>
        <w:tc>
          <w:tcPr>
            <w:tcW w:w="106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对附属单位补助支出</w:t>
            </w:r>
          </w:p>
        </w:tc>
      </w:tr>
      <w:tr>
        <w:tblPrEx>
          <w:tblLayout w:type="fixed"/>
          <w:tblCellMar>
            <w:top w:w="15" w:type="dxa"/>
            <w:left w:w="15" w:type="dxa"/>
            <w:bottom w:w="15" w:type="dxa"/>
            <w:right w:w="15" w:type="dxa"/>
          </w:tblCellMar>
        </w:tblPrEx>
        <w:trPr>
          <w:trHeight w:val="312" w:hRule="atLeast"/>
          <w:tblHeader/>
          <w:jc w:val="center"/>
        </w:trPr>
        <w:tc>
          <w:tcPr>
            <w:tcW w:w="137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科目代码</w:t>
            </w:r>
          </w:p>
        </w:tc>
        <w:tc>
          <w:tcPr>
            <w:tcW w:w="235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科目名称</w:t>
            </w:r>
          </w:p>
        </w:tc>
        <w:tc>
          <w:tcPr>
            <w:tcW w:w="145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143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109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854"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86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106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r>
      <w:tr>
        <w:tblPrEx>
          <w:tblLayout w:type="fixed"/>
          <w:tblCellMar>
            <w:top w:w="15" w:type="dxa"/>
            <w:left w:w="15" w:type="dxa"/>
            <w:bottom w:w="15" w:type="dxa"/>
            <w:right w:w="15" w:type="dxa"/>
          </w:tblCellMar>
        </w:tblPrEx>
        <w:trPr>
          <w:trHeight w:val="312" w:hRule="atLeast"/>
          <w:tblHeader/>
          <w:jc w:val="center"/>
        </w:trPr>
        <w:tc>
          <w:tcPr>
            <w:tcW w:w="137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235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145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143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109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854"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86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106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r>
      <w:tr>
        <w:tblPrEx>
          <w:tblLayout w:type="fixed"/>
          <w:tblCellMar>
            <w:top w:w="15" w:type="dxa"/>
            <w:left w:w="15" w:type="dxa"/>
            <w:bottom w:w="15" w:type="dxa"/>
            <w:right w:w="15" w:type="dxa"/>
          </w:tblCellMar>
        </w:tblPrEx>
        <w:trPr>
          <w:trHeight w:val="0" w:hRule="atLeast"/>
          <w:jc w:val="center"/>
        </w:trPr>
        <w:tc>
          <w:tcPr>
            <w:tcW w:w="3734"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栏次</w:t>
            </w:r>
          </w:p>
        </w:tc>
        <w:tc>
          <w:tcPr>
            <w:tcW w:w="14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1</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3</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4</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5</w:t>
            </w:r>
          </w:p>
        </w:tc>
        <w:tc>
          <w:tcPr>
            <w:tcW w:w="10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6</w:t>
            </w:r>
          </w:p>
        </w:tc>
      </w:tr>
      <w:tr>
        <w:tblPrEx>
          <w:tblLayout w:type="fixed"/>
          <w:tblCellMar>
            <w:top w:w="15" w:type="dxa"/>
            <w:left w:w="15" w:type="dxa"/>
            <w:bottom w:w="15" w:type="dxa"/>
            <w:right w:w="15" w:type="dxa"/>
          </w:tblCellMar>
        </w:tblPrEx>
        <w:trPr>
          <w:trHeight w:val="0" w:hRule="atLeast"/>
          <w:jc w:val="center"/>
        </w:trPr>
        <w:tc>
          <w:tcPr>
            <w:tcW w:w="3734"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合计</w:t>
            </w:r>
          </w:p>
        </w:tc>
        <w:tc>
          <w:tcPr>
            <w:tcW w:w="14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3,774.09</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3,456.93</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317.16</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0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3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205</w:t>
            </w:r>
          </w:p>
        </w:tc>
        <w:tc>
          <w:tcPr>
            <w:tcW w:w="2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教育支出</w:t>
            </w:r>
          </w:p>
        </w:tc>
        <w:tc>
          <w:tcPr>
            <w:tcW w:w="14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3,156.13</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2,842.92</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313.21</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0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3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20502</w:t>
            </w:r>
          </w:p>
        </w:tc>
        <w:tc>
          <w:tcPr>
            <w:tcW w:w="2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普通教育</w:t>
            </w:r>
          </w:p>
        </w:tc>
        <w:tc>
          <w:tcPr>
            <w:tcW w:w="14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2,977.3</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2,842.92</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134.38</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0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3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2050202</w:t>
            </w:r>
          </w:p>
        </w:tc>
        <w:tc>
          <w:tcPr>
            <w:tcW w:w="2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小学教育</w:t>
            </w:r>
          </w:p>
        </w:tc>
        <w:tc>
          <w:tcPr>
            <w:tcW w:w="14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2,765.6</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2,765.6</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0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3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2050299</w:t>
            </w:r>
          </w:p>
        </w:tc>
        <w:tc>
          <w:tcPr>
            <w:tcW w:w="2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其他普通教育支出</w:t>
            </w:r>
          </w:p>
        </w:tc>
        <w:tc>
          <w:tcPr>
            <w:tcW w:w="14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211.7</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77.32</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134.38</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0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3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20509</w:t>
            </w:r>
          </w:p>
        </w:tc>
        <w:tc>
          <w:tcPr>
            <w:tcW w:w="2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教育费附加安排的支出</w:t>
            </w:r>
          </w:p>
        </w:tc>
        <w:tc>
          <w:tcPr>
            <w:tcW w:w="14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178.08</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178.08</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0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3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2050999</w:t>
            </w:r>
          </w:p>
        </w:tc>
        <w:tc>
          <w:tcPr>
            <w:tcW w:w="2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其他教育费附加安排的支出</w:t>
            </w:r>
          </w:p>
        </w:tc>
        <w:tc>
          <w:tcPr>
            <w:tcW w:w="14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178.08</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178.08</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0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3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20599</w:t>
            </w:r>
          </w:p>
        </w:tc>
        <w:tc>
          <w:tcPr>
            <w:tcW w:w="2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其他教育支出</w:t>
            </w:r>
          </w:p>
        </w:tc>
        <w:tc>
          <w:tcPr>
            <w:tcW w:w="14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0.75</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0.75</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0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3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2059999</w:t>
            </w:r>
          </w:p>
        </w:tc>
        <w:tc>
          <w:tcPr>
            <w:tcW w:w="2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其他教育支出</w:t>
            </w:r>
          </w:p>
        </w:tc>
        <w:tc>
          <w:tcPr>
            <w:tcW w:w="14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0.75</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0.75</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0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3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208</w:t>
            </w:r>
          </w:p>
        </w:tc>
        <w:tc>
          <w:tcPr>
            <w:tcW w:w="2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社会保障和就业支出</w:t>
            </w:r>
          </w:p>
        </w:tc>
        <w:tc>
          <w:tcPr>
            <w:tcW w:w="14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447.69</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447.69</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0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3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20805</w:t>
            </w:r>
          </w:p>
        </w:tc>
        <w:tc>
          <w:tcPr>
            <w:tcW w:w="2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行政事业单位养老支出</w:t>
            </w:r>
          </w:p>
        </w:tc>
        <w:tc>
          <w:tcPr>
            <w:tcW w:w="14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447.69</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447.69</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0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3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2080502</w:t>
            </w:r>
          </w:p>
        </w:tc>
        <w:tc>
          <w:tcPr>
            <w:tcW w:w="2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事业单位离退休</w:t>
            </w:r>
          </w:p>
        </w:tc>
        <w:tc>
          <w:tcPr>
            <w:tcW w:w="14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102.52</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102.52</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0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3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2080505</w:t>
            </w:r>
          </w:p>
        </w:tc>
        <w:tc>
          <w:tcPr>
            <w:tcW w:w="2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机关事业单位基本养老保险缴费支出</w:t>
            </w:r>
          </w:p>
        </w:tc>
        <w:tc>
          <w:tcPr>
            <w:tcW w:w="14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218.93</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218.93</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0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3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2080506</w:t>
            </w:r>
          </w:p>
        </w:tc>
        <w:tc>
          <w:tcPr>
            <w:tcW w:w="2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机关事业单位职业年金缴费支出</w:t>
            </w:r>
          </w:p>
        </w:tc>
        <w:tc>
          <w:tcPr>
            <w:tcW w:w="14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126.25</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126.25</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0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3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210</w:t>
            </w:r>
          </w:p>
        </w:tc>
        <w:tc>
          <w:tcPr>
            <w:tcW w:w="2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卫生健康支出</w:t>
            </w:r>
          </w:p>
        </w:tc>
        <w:tc>
          <w:tcPr>
            <w:tcW w:w="14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141.62</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141.62</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0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3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21011</w:t>
            </w:r>
          </w:p>
        </w:tc>
        <w:tc>
          <w:tcPr>
            <w:tcW w:w="2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行政事业单位医疗</w:t>
            </w:r>
          </w:p>
        </w:tc>
        <w:tc>
          <w:tcPr>
            <w:tcW w:w="14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141.62</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141.62</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0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3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2101102</w:t>
            </w:r>
          </w:p>
        </w:tc>
        <w:tc>
          <w:tcPr>
            <w:tcW w:w="2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事业单位医疗</w:t>
            </w:r>
          </w:p>
        </w:tc>
        <w:tc>
          <w:tcPr>
            <w:tcW w:w="14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93.73</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93.73</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0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3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2101199</w:t>
            </w:r>
          </w:p>
        </w:tc>
        <w:tc>
          <w:tcPr>
            <w:tcW w:w="2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其他行政事业单位医疗支出</w:t>
            </w:r>
          </w:p>
        </w:tc>
        <w:tc>
          <w:tcPr>
            <w:tcW w:w="14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47.89</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47.89</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0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3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221</w:t>
            </w:r>
          </w:p>
        </w:tc>
        <w:tc>
          <w:tcPr>
            <w:tcW w:w="2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住房保障支出</w:t>
            </w:r>
          </w:p>
        </w:tc>
        <w:tc>
          <w:tcPr>
            <w:tcW w:w="14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24.7</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24.7</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0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3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22102</w:t>
            </w:r>
          </w:p>
        </w:tc>
        <w:tc>
          <w:tcPr>
            <w:tcW w:w="2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住房改革支出</w:t>
            </w:r>
          </w:p>
        </w:tc>
        <w:tc>
          <w:tcPr>
            <w:tcW w:w="14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24.7</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24.7</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0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3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2210203</w:t>
            </w:r>
          </w:p>
        </w:tc>
        <w:tc>
          <w:tcPr>
            <w:tcW w:w="2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购房补贴</w:t>
            </w:r>
          </w:p>
        </w:tc>
        <w:tc>
          <w:tcPr>
            <w:tcW w:w="14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24.7</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24.7</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0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3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229</w:t>
            </w:r>
          </w:p>
        </w:tc>
        <w:tc>
          <w:tcPr>
            <w:tcW w:w="2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其他支出</w:t>
            </w:r>
          </w:p>
        </w:tc>
        <w:tc>
          <w:tcPr>
            <w:tcW w:w="14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3.95</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3.95</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0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3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22960</w:t>
            </w:r>
          </w:p>
        </w:tc>
        <w:tc>
          <w:tcPr>
            <w:tcW w:w="2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彩票公益金安排的支出</w:t>
            </w:r>
          </w:p>
        </w:tc>
        <w:tc>
          <w:tcPr>
            <w:tcW w:w="14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3.95</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3.95</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0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3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2296003</w:t>
            </w:r>
          </w:p>
        </w:tc>
        <w:tc>
          <w:tcPr>
            <w:tcW w:w="23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用于体育事业的彩票公益金支出</w:t>
            </w:r>
          </w:p>
        </w:tc>
        <w:tc>
          <w:tcPr>
            <w:tcW w:w="14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3.95</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0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3.95</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0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0506" w:type="dxa"/>
            <w:gridSpan w:val="8"/>
            <w:noWrap w:val="0"/>
            <w:tcMar>
              <w:top w:w="20" w:type="dxa"/>
              <w:left w:w="20" w:type="dxa"/>
              <w:bottom w:w="20" w:type="dxa"/>
              <w:right w:w="20" w:type="dxa"/>
            </w:tcMar>
            <w:vAlign w:val="center"/>
          </w:tcPr>
          <w:p>
            <w:pPr>
              <w:widowControl/>
              <w:spacing w:line="375" w:lineRule="atLeast"/>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注：本表反映</w:t>
            </w:r>
            <w:r>
              <w:rPr>
                <w:rFonts w:hint="eastAsia" w:ascii="仿宋" w:hAnsi="仿宋" w:eastAsia="仿宋" w:cs="仿宋"/>
                <w:b w:val="0"/>
                <w:bCs w:val="0"/>
                <w:i w:val="0"/>
                <w:iCs w:val="0"/>
                <w:smallCaps w:val="0"/>
                <w:color w:val="000000"/>
                <w:kern w:val="0"/>
                <w:sz w:val="32"/>
                <w:szCs w:val="32"/>
                <w:lang w:eastAsia="zh-CN"/>
              </w:rPr>
              <w:t>单位</w:t>
            </w:r>
            <w:r>
              <w:rPr>
                <w:rFonts w:hint="eastAsia" w:ascii="仿宋" w:hAnsi="仿宋" w:eastAsia="仿宋" w:cs="仿宋"/>
                <w:b w:val="0"/>
                <w:bCs w:val="0"/>
                <w:i w:val="0"/>
                <w:iCs w:val="0"/>
                <w:smallCaps w:val="0"/>
                <w:color w:val="000000"/>
                <w:kern w:val="0"/>
                <w:sz w:val="32"/>
                <w:szCs w:val="32"/>
              </w:rPr>
              <w:t>本年度各项支出情况。</w:t>
            </w:r>
          </w:p>
        </w:tc>
      </w:tr>
      <w:bookmarkEnd w:id="37"/>
      <w:bookmarkEnd w:id="38"/>
      <w:bookmarkEnd w:id="39"/>
      <w:bookmarkEnd w:id="40"/>
    </w:tbl>
    <w:p>
      <w:pPr>
        <w:widowControl/>
        <w:jc w:val="left"/>
        <w:rPr>
          <w:rFonts w:hint="eastAsia" w:ascii="仿宋" w:hAnsi="仿宋" w:eastAsia="仿宋" w:cs="仿宋"/>
          <w:sz w:val="32"/>
          <w:szCs w:val="32"/>
        </w:rPr>
        <w:sectPr>
          <w:footerReference r:id="rId6" w:type="default"/>
          <w:pgSz w:w="11906" w:h="16838"/>
          <w:pgMar w:top="1440" w:right="720" w:bottom="1440" w:left="720" w:header="720" w:footer="720" w:gutter="0"/>
          <w:pgBorders>
            <w:top w:val="none" w:sz="0" w:space="0"/>
            <w:left w:val="none" w:sz="0" w:space="0"/>
            <w:bottom w:val="none" w:sz="0" w:space="0"/>
            <w:right w:val="none" w:sz="0" w:space="0"/>
          </w:pgBorders>
          <w:cols w:space="720" w:num="1"/>
        </w:sectPr>
      </w:pPr>
    </w:p>
    <w:p>
      <w:pPr>
        <w:widowControl/>
        <w:jc w:val="left"/>
        <w:rPr>
          <w:rFonts w:hint="eastAsia" w:ascii="仿宋" w:hAnsi="仿宋" w:eastAsia="仿宋" w:cs="仿宋"/>
          <w:b/>
          <w:spacing w:val="0"/>
          <w:sz w:val="32"/>
          <w:szCs w:val="32"/>
        </w:rPr>
      </w:pPr>
      <w:bookmarkStart w:id="41" w:name="_Toc256000010"/>
      <w:bookmarkStart w:id="42" w:name="_Toc256000041"/>
      <w:bookmarkStart w:id="43" w:name="_Toc256000072"/>
      <w:bookmarkStart w:id="44" w:name="_Toc256000103"/>
      <w:r>
        <w:rPr>
          <w:rFonts w:hint="eastAsia" w:ascii="仿宋" w:hAnsi="仿宋" w:eastAsia="仿宋" w:cs="仿宋"/>
          <w:b/>
          <w:spacing w:val="0"/>
          <w:sz w:val="32"/>
          <w:szCs w:val="32"/>
        </w:rPr>
        <w:t>四、财政拨款收入支出决算总表</w:t>
      </w:r>
    </w:p>
    <w:tbl>
      <w:tblPr>
        <w:tblStyle w:val="23"/>
        <w:tblW w:w="9066" w:type="dxa"/>
        <w:jc w:val="center"/>
        <w:tblInd w:w="0" w:type="dxa"/>
        <w:tblLayout w:type="fixed"/>
        <w:tblCellMar>
          <w:top w:w="15" w:type="dxa"/>
          <w:left w:w="15" w:type="dxa"/>
          <w:bottom w:w="15" w:type="dxa"/>
          <w:right w:w="15" w:type="dxa"/>
        </w:tblCellMar>
      </w:tblPr>
      <w:tblGrid>
        <w:gridCol w:w="1007"/>
        <w:gridCol w:w="629"/>
        <w:gridCol w:w="1183"/>
        <w:gridCol w:w="1475"/>
        <w:gridCol w:w="617"/>
        <w:gridCol w:w="1235"/>
        <w:gridCol w:w="1147"/>
        <w:gridCol w:w="823"/>
        <w:gridCol w:w="950"/>
      </w:tblGrid>
      <w:tr>
        <w:tblPrEx>
          <w:tblLayout w:type="fixed"/>
          <w:tblCellMar>
            <w:top w:w="15" w:type="dxa"/>
            <w:left w:w="15" w:type="dxa"/>
            <w:bottom w:w="15" w:type="dxa"/>
            <w:right w:w="15" w:type="dxa"/>
          </w:tblCellMar>
        </w:tblPrEx>
        <w:trPr>
          <w:trHeight w:val="0" w:hRule="atLeast"/>
          <w:tblHeader/>
          <w:jc w:val="center"/>
        </w:trPr>
        <w:tc>
          <w:tcPr>
            <w:tcW w:w="9066" w:type="dxa"/>
            <w:gridSpan w:val="9"/>
            <w:noWrap w:val="0"/>
            <w:tcMar>
              <w:top w:w="20" w:type="dxa"/>
              <w:left w:w="20" w:type="dxa"/>
              <w:bottom w:w="20" w:type="dxa"/>
              <w:right w:w="20" w:type="dxa"/>
            </w:tcMar>
            <w:vAlign w:val="center"/>
          </w:tcPr>
          <w:p>
            <w:pPr>
              <w:widowControl/>
              <w:spacing w:line="900" w:lineRule="atLeast"/>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32"/>
                <w:szCs w:val="32"/>
              </w:rPr>
              <w:t>财政拨款收入支出决算总表</w:t>
            </w:r>
          </w:p>
        </w:tc>
      </w:tr>
      <w:tr>
        <w:tblPrEx>
          <w:tblLayout w:type="fixed"/>
          <w:tblCellMar>
            <w:top w:w="15" w:type="dxa"/>
            <w:left w:w="15" w:type="dxa"/>
            <w:bottom w:w="15" w:type="dxa"/>
            <w:right w:w="15" w:type="dxa"/>
          </w:tblCellMar>
        </w:tblPrEx>
        <w:trPr>
          <w:trHeight w:val="0" w:hRule="atLeast"/>
          <w:tblHeader/>
          <w:jc w:val="center"/>
        </w:trPr>
        <w:tc>
          <w:tcPr>
            <w:tcW w:w="4294"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单位：厦门市高殿中心小学</w:t>
            </w:r>
          </w:p>
        </w:tc>
        <w:tc>
          <w:tcPr>
            <w:tcW w:w="1852"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2024年度</w:t>
            </w:r>
          </w:p>
        </w:tc>
        <w:tc>
          <w:tcPr>
            <w:tcW w:w="2920"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金额单位：万元</w:t>
            </w:r>
          </w:p>
        </w:tc>
      </w:tr>
      <w:tr>
        <w:tblPrEx>
          <w:tblLayout w:type="fixed"/>
          <w:tblCellMar>
            <w:top w:w="15" w:type="dxa"/>
            <w:left w:w="15" w:type="dxa"/>
            <w:bottom w:w="15" w:type="dxa"/>
            <w:right w:w="15" w:type="dxa"/>
          </w:tblCellMar>
        </w:tblPrEx>
        <w:trPr>
          <w:trHeight w:val="0" w:hRule="atLeast"/>
          <w:jc w:val="center"/>
        </w:trPr>
        <w:tc>
          <w:tcPr>
            <w:tcW w:w="2819"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收入</w:t>
            </w:r>
          </w:p>
        </w:tc>
        <w:tc>
          <w:tcPr>
            <w:tcW w:w="6247" w:type="dxa"/>
            <w:gridSpan w:val="6"/>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支出</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xml:space="preserve">项目 </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行次</w:t>
            </w:r>
          </w:p>
        </w:tc>
        <w:tc>
          <w:tcPr>
            <w:tcW w:w="11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金额</w:t>
            </w:r>
          </w:p>
        </w:tc>
        <w:tc>
          <w:tcPr>
            <w:tcW w:w="1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项目</w:t>
            </w:r>
          </w:p>
        </w:tc>
        <w:tc>
          <w:tcPr>
            <w:tcW w:w="6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行次</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合计</w:t>
            </w:r>
          </w:p>
        </w:tc>
        <w:tc>
          <w:tcPr>
            <w:tcW w:w="11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一般公共预算财政拨款</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政府性基金预算财政拨款</w:t>
            </w:r>
          </w:p>
        </w:tc>
        <w:tc>
          <w:tcPr>
            <w:tcW w:w="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国有资本经营预算财政拨款</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栏次</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1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1</w:t>
            </w:r>
          </w:p>
        </w:tc>
        <w:tc>
          <w:tcPr>
            <w:tcW w:w="1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栏次</w:t>
            </w:r>
          </w:p>
        </w:tc>
        <w:tc>
          <w:tcPr>
            <w:tcW w:w="6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2</w:t>
            </w:r>
          </w:p>
        </w:tc>
        <w:tc>
          <w:tcPr>
            <w:tcW w:w="11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4</w:t>
            </w:r>
          </w:p>
        </w:tc>
        <w:tc>
          <w:tcPr>
            <w:tcW w:w="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5</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xml:space="preserve">一、一般公共预算财政拨款 </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1</w:t>
            </w:r>
          </w:p>
        </w:tc>
        <w:tc>
          <w:tcPr>
            <w:tcW w:w="11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3,770.14</w:t>
            </w:r>
          </w:p>
        </w:tc>
        <w:tc>
          <w:tcPr>
            <w:tcW w:w="1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一、一般公共服务支出</w:t>
            </w:r>
          </w:p>
        </w:tc>
        <w:tc>
          <w:tcPr>
            <w:tcW w:w="6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33</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1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二、政府性基金预算财政拨款</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2</w:t>
            </w:r>
          </w:p>
        </w:tc>
        <w:tc>
          <w:tcPr>
            <w:tcW w:w="11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3.95</w:t>
            </w:r>
          </w:p>
        </w:tc>
        <w:tc>
          <w:tcPr>
            <w:tcW w:w="1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二、外交支出</w:t>
            </w:r>
          </w:p>
        </w:tc>
        <w:tc>
          <w:tcPr>
            <w:tcW w:w="6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34</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1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三、国有资本经营预算财政拨款</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w:t>
            </w:r>
          </w:p>
        </w:tc>
        <w:tc>
          <w:tcPr>
            <w:tcW w:w="11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三、国防支出</w:t>
            </w:r>
          </w:p>
        </w:tc>
        <w:tc>
          <w:tcPr>
            <w:tcW w:w="6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35</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1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4</w:t>
            </w:r>
          </w:p>
        </w:tc>
        <w:tc>
          <w:tcPr>
            <w:tcW w:w="11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四、公共安全支出</w:t>
            </w:r>
          </w:p>
        </w:tc>
        <w:tc>
          <w:tcPr>
            <w:tcW w:w="6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36</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1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5</w:t>
            </w:r>
          </w:p>
        </w:tc>
        <w:tc>
          <w:tcPr>
            <w:tcW w:w="11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五、教育支出</w:t>
            </w:r>
          </w:p>
        </w:tc>
        <w:tc>
          <w:tcPr>
            <w:tcW w:w="6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37</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3,156.13</w:t>
            </w:r>
          </w:p>
        </w:tc>
        <w:tc>
          <w:tcPr>
            <w:tcW w:w="11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3,156.13</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6</w:t>
            </w:r>
          </w:p>
        </w:tc>
        <w:tc>
          <w:tcPr>
            <w:tcW w:w="11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六、科学技术支出</w:t>
            </w:r>
          </w:p>
        </w:tc>
        <w:tc>
          <w:tcPr>
            <w:tcW w:w="6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38</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1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7</w:t>
            </w:r>
          </w:p>
        </w:tc>
        <w:tc>
          <w:tcPr>
            <w:tcW w:w="11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七、文化旅游体育与传媒支出</w:t>
            </w:r>
          </w:p>
        </w:tc>
        <w:tc>
          <w:tcPr>
            <w:tcW w:w="6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39</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1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8</w:t>
            </w:r>
          </w:p>
        </w:tc>
        <w:tc>
          <w:tcPr>
            <w:tcW w:w="11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八、社会保障和就业支出</w:t>
            </w:r>
          </w:p>
        </w:tc>
        <w:tc>
          <w:tcPr>
            <w:tcW w:w="6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40</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447.69</w:t>
            </w:r>
          </w:p>
        </w:tc>
        <w:tc>
          <w:tcPr>
            <w:tcW w:w="11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447.69</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9</w:t>
            </w:r>
          </w:p>
        </w:tc>
        <w:tc>
          <w:tcPr>
            <w:tcW w:w="11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九、卫生健康支出</w:t>
            </w:r>
          </w:p>
        </w:tc>
        <w:tc>
          <w:tcPr>
            <w:tcW w:w="6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41</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141.62</w:t>
            </w:r>
          </w:p>
        </w:tc>
        <w:tc>
          <w:tcPr>
            <w:tcW w:w="11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141.62</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10</w:t>
            </w:r>
          </w:p>
        </w:tc>
        <w:tc>
          <w:tcPr>
            <w:tcW w:w="11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十、节能环保支出</w:t>
            </w:r>
          </w:p>
        </w:tc>
        <w:tc>
          <w:tcPr>
            <w:tcW w:w="6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42</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1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11</w:t>
            </w:r>
          </w:p>
        </w:tc>
        <w:tc>
          <w:tcPr>
            <w:tcW w:w="11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十一、城乡社区支出</w:t>
            </w:r>
          </w:p>
        </w:tc>
        <w:tc>
          <w:tcPr>
            <w:tcW w:w="6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43</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1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12</w:t>
            </w:r>
          </w:p>
        </w:tc>
        <w:tc>
          <w:tcPr>
            <w:tcW w:w="11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十二、农林水支出</w:t>
            </w:r>
          </w:p>
        </w:tc>
        <w:tc>
          <w:tcPr>
            <w:tcW w:w="6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44</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1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13</w:t>
            </w:r>
          </w:p>
        </w:tc>
        <w:tc>
          <w:tcPr>
            <w:tcW w:w="11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十三、交通运输支出</w:t>
            </w:r>
          </w:p>
        </w:tc>
        <w:tc>
          <w:tcPr>
            <w:tcW w:w="6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45</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1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14</w:t>
            </w:r>
          </w:p>
        </w:tc>
        <w:tc>
          <w:tcPr>
            <w:tcW w:w="11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十四、资源勘探工业信息等支出</w:t>
            </w:r>
          </w:p>
        </w:tc>
        <w:tc>
          <w:tcPr>
            <w:tcW w:w="6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46</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1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15</w:t>
            </w:r>
          </w:p>
        </w:tc>
        <w:tc>
          <w:tcPr>
            <w:tcW w:w="11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十五、商业服务业等支出</w:t>
            </w:r>
          </w:p>
        </w:tc>
        <w:tc>
          <w:tcPr>
            <w:tcW w:w="6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47</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1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16</w:t>
            </w:r>
          </w:p>
        </w:tc>
        <w:tc>
          <w:tcPr>
            <w:tcW w:w="11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十六、金融支出</w:t>
            </w:r>
          </w:p>
        </w:tc>
        <w:tc>
          <w:tcPr>
            <w:tcW w:w="6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48</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1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17</w:t>
            </w:r>
          </w:p>
        </w:tc>
        <w:tc>
          <w:tcPr>
            <w:tcW w:w="11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十七、援助其他地区支出</w:t>
            </w:r>
          </w:p>
        </w:tc>
        <w:tc>
          <w:tcPr>
            <w:tcW w:w="6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49</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1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18</w:t>
            </w:r>
          </w:p>
        </w:tc>
        <w:tc>
          <w:tcPr>
            <w:tcW w:w="11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十八、自然资源海洋气象等支出</w:t>
            </w:r>
          </w:p>
        </w:tc>
        <w:tc>
          <w:tcPr>
            <w:tcW w:w="6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50</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1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19</w:t>
            </w:r>
          </w:p>
        </w:tc>
        <w:tc>
          <w:tcPr>
            <w:tcW w:w="11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十九、住房保障支出</w:t>
            </w:r>
          </w:p>
        </w:tc>
        <w:tc>
          <w:tcPr>
            <w:tcW w:w="6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51</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24.7</w:t>
            </w:r>
          </w:p>
        </w:tc>
        <w:tc>
          <w:tcPr>
            <w:tcW w:w="11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24.7</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20</w:t>
            </w:r>
          </w:p>
        </w:tc>
        <w:tc>
          <w:tcPr>
            <w:tcW w:w="11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二十、粮油物资储备支出</w:t>
            </w:r>
          </w:p>
        </w:tc>
        <w:tc>
          <w:tcPr>
            <w:tcW w:w="6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52</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1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21</w:t>
            </w:r>
          </w:p>
        </w:tc>
        <w:tc>
          <w:tcPr>
            <w:tcW w:w="11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二十一、国有资本经营预算支出</w:t>
            </w:r>
          </w:p>
        </w:tc>
        <w:tc>
          <w:tcPr>
            <w:tcW w:w="6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53</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1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22</w:t>
            </w:r>
          </w:p>
        </w:tc>
        <w:tc>
          <w:tcPr>
            <w:tcW w:w="11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二十二、灾害防治及应急管理支出</w:t>
            </w:r>
          </w:p>
        </w:tc>
        <w:tc>
          <w:tcPr>
            <w:tcW w:w="6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54</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1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23</w:t>
            </w:r>
          </w:p>
        </w:tc>
        <w:tc>
          <w:tcPr>
            <w:tcW w:w="11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二十三、其他支出</w:t>
            </w:r>
          </w:p>
        </w:tc>
        <w:tc>
          <w:tcPr>
            <w:tcW w:w="6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55</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3.95</w:t>
            </w:r>
          </w:p>
        </w:tc>
        <w:tc>
          <w:tcPr>
            <w:tcW w:w="11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3.95</w:t>
            </w:r>
          </w:p>
        </w:tc>
        <w:tc>
          <w:tcPr>
            <w:tcW w:w="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24</w:t>
            </w:r>
          </w:p>
        </w:tc>
        <w:tc>
          <w:tcPr>
            <w:tcW w:w="11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二十四、债务还本支出</w:t>
            </w:r>
          </w:p>
        </w:tc>
        <w:tc>
          <w:tcPr>
            <w:tcW w:w="6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56</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1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25</w:t>
            </w:r>
          </w:p>
        </w:tc>
        <w:tc>
          <w:tcPr>
            <w:tcW w:w="11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二十五、债务付息支出</w:t>
            </w:r>
          </w:p>
        </w:tc>
        <w:tc>
          <w:tcPr>
            <w:tcW w:w="6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57</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1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26</w:t>
            </w:r>
          </w:p>
        </w:tc>
        <w:tc>
          <w:tcPr>
            <w:tcW w:w="11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二十六、抗疫特别国债安排的支出</w:t>
            </w:r>
          </w:p>
        </w:tc>
        <w:tc>
          <w:tcPr>
            <w:tcW w:w="6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58</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1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本年收入合计</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27</w:t>
            </w:r>
          </w:p>
        </w:tc>
        <w:tc>
          <w:tcPr>
            <w:tcW w:w="11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3,774.09</w:t>
            </w:r>
          </w:p>
        </w:tc>
        <w:tc>
          <w:tcPr>
            <w:tcW w:w="1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本年支出合计</w:t>
            </w:r>
          </w:p>
        </w:tc>
        <w:tc>
          <w:tcPr>
            <w:tcW w:w="6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59</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3,774.09</w:t>
            </w:r>
          </w:p>
        </w:tc>
        <w:tc>
          <w:tcPr>
            <w:tcW w:w="11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3,770.14</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3.95</w:t>
            </w:r>
          </w:p>
        </w:tc>
        <w:tc>
          <w:tcPr>
            <w:tcW w:w="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xml:space="preserve">年初财政拨款结转和结余 </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28</w:t>
            </w:r>
          </w:p>
        </w:tc>
        <w:tc>
          <w:tcPr>
            <w:tcW w:w="11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xml:space="preserve">年末财政拨款结转和结余 </w:t>
            </w:r>
          </w:p>
        </w:tc>
        <w:tc>
          <w:tcPr>
            <w:tcW w:w="6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60</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1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一、一般公共预算财政拨款</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29</w:t>
            </w:r>
          </w:p>
        </w:tc>
        <w:tc>
          <w:tcPr>
            <w:tcW w:w="11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6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61</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1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二、政府性基金预算财政拨款</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30</w:t>
            </w:r>
          </w:p>
        </w:tc>
        <w:tc>
          <w:tcPr>
            <w:tcW w:w="11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6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62</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1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三、国有资本经营预算财政拨款</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31</w:t>
            </w:r>
          </w:p>
        </w:tc>
        <w:tc>
          <w:tcPr>
            <w:tcW w:w="11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6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63</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11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c>
          <w:tcPr>
            <w:tcW w:w="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xml:space="preserve">总计 </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32</w:t>
            </w:r>
          </w:p>
        </w:tc>
        <w:tc>
          <w:tcPr>
            <w:tcW w:w="11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3,774.09</w:t>
            </w:r>
          </w:p>
        </w:tc>
        <w:tc>
          <w:tcPr>
            <w:tcW w:w="14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xml:space="preserve">总计 </w:t>
            </w:r>
          </w:p>
        </w:tc>
        <w:tc>
          <w:tcPr>
            <w:tcW w:w="6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64</w:t>
            </w:r>
          </w:p>
        </w:tc>
        <w:tc>
          <w:tcPr>
            <w:tcW w:w="12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3,774.09</w:t>
            </w:r>
          </w:p>
        </w:tc>
        <w:tc>
          <w:tcPr>
            <w:tcW w:w="114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3,770.14</w:t>
            </w:r>
          </w:p>
        </w:tc>
        <w:tc>
          <w:tcPr>
            <w:tcW w:w="8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3.95</w:t>
            </w:r>
          </w:p>
        </w:tc>
        <w:tc>
          <w:tcPr>
            <w:tcW w:w="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rPr>
          <w:trHeight w:val="0" w:hRule="atLeast"/>
          <w:jc w:val="center"/>
        </w:trPr>
        <w:tc>
          <w:tcPr>
            <w:tcW w:w="9066" w:type="dxa"/>
            <w:gridSpan w:val="9"/>
            <w:noWrap w:val="0"/>
            <w:tcMar>
              <w:top w:w="20" w:type="dxa"/>
              <w:left w:w="20" w:type="dxa"/>
              <w:bottom w:w="20" w:type="dxa"/>
              <w:right w:w="20" w:type="dxa"/>
            </w:tcMar>
            <w:vAlign w:val="center"/>
          </w:tcPr>
          <w:p>
            <w:pPr>
              <w:widowControl/>
              <w:spacing w:line="375" w:lineRule="atLeast"/>
              <w:jc w:val="left"/>
              <w:rPr>
                <w:rFonts w:hint="eastAsia" w:ascii="仿宋" w:hAnsi="仿宋" w:eastAsia="仿宋" w:cs="仿宋"/>
                <w:b w:val="0"/>
                <w:bCs w:val="0"/>
                <w:i w:val="0"/>
                <w:iCs w:val="0"/>
                <w:smallCaps w:val="0"/>
                <w:color w:val="000000"/>
                <w:kern w:val="0"/>
                <w:sz w:val="21"/>
                <w:szCs w:val="21"/>
              </w:rPr>
            </w:pPr>
            <w:r>
              <w:rPr>
                <w:rFonts w:hint="eastAsia" w:ascii="仿宋" w:hAnsi="仿宋" w:eastAsia="仿宋" w:cs="仿宋"/>
                <w:b w:val="0"/>
                <w:bCs w:val="0"/>
                <w:i w:val="0"/>
                <w:iCs w:val="0"/>
                <w:smallCaps w:val="0"/>
                <w:color w:val="000000"/>
                <w:kern w:val="0"/>
                <w:sz w:val="21"/>
                <w:szCs w:val="21"/>
              </w:rPr>
              <w:t>注：本表反映</w:t>
            </w:r>
            <w:r>
              <w:rPr>
                <w:rFonts w:hint="eastAsia" w:ascii="仿宋" w:hAnsi="仿宋" w:eastAsia="仿宋" w:cs="仿宋"/>
                <w:b w:val="0"/>
                <w:bCs w:val="0"/>
                <w:i w:val="0"/>
                <w:iCs w:val="0"/>
                <w:smallCaps w:val="0"/>
                <w:color w:val="000000"/>
                <w:kern w:val="0"/>
                <w:sz w:val="21"/>
                <w:szCs w:val="21"/>
                <w:lang w:eastAsia="zh-CN"/>
              </w:rPr>
              <w:t>单位</w:t>
            </w:r>
            <w:r>
              <w:rPr>
                <w:rFonts w:hint="eastAsia" w:ascii="仿宋" w:hAnsi="仿宋" w:eastAsia="仿宋" w:cs="仿宋"/>
                <w:b w:val="0"/>
                <w:bCs w:val="0"/>
                <w:i w:val="0"/>
                <w:iCs w:val="0"/>
                <w:smallCaps w:val="0"/>
                <w:color w:val="000000"/>
                <w:kern w:val="0"/>
                <w:sz w:val="21"/>
                <w:szCs w:val="21"/>
              </w:rPr>
              <w:t>本年度一般公共预算财政拨款、政府性基金预算财政拨款和国有资本经营预算财政拨款的总收支和年末结转结余情况。</w:t>
            </w:r>
          </w:p>
        </w:tc>
      </w:tr>
      <w:bookmarkEnd w:id="41"/>
      <w:bookmarkEnd w:id="42"/>
      <w:bookmarkEnd w:id="43"/>
      <w:bookmarkEnd w:id="44"/>
    </w:tbl>
    <w:p>
      <w:pPr>
        <w:rPr>
          <w:rFonts w:hint="eastAsia" w:ascii="仿宋" w:hAnsi="仿宋" w:eastAsia="仿宋" w:cs="仿宋"/>
          <w:sz w:val="32"/>
          <w:szCs w:val="32"/>
        </w:rPr>
        <w:sectPr>
          <w:footerReference r:id="rId7" w:type="default"/>
          <w:pgSz w:w="11906" w:h="16383"/>
          <w:pgMar w:top="720" w:right="1440" w:bottom="720" w:left="1440" w:header="720" w:footer="720" w:gutter="0"/>
          <w:pgBorders>
            <w:top w:val="none" w:sz="0" w:space="0"/>
            <w:left w:val="none" w:sz="0" w:space="0"/>
            <w:bottom w:val="none" w:sz="0" w:space="0"/>
            <w:right w:val="none" w:sz="0" w:space="0"/>
          </w:pgBorders>
          <w:cols w:space="720" w:num="1"/>
        </w:sectPr>
      </w:pPr>
    </w:p>
    <w:p>
      <w:pPr>
        <w:widowControl/>
        <w:spacing w:before="240" w:after="240"/>
        <w:jc w:val="left"/>
        <w:rPr>
          <w:rFonts w:hint="eastAsia" w:ascii="仿宋" w:hAnsi="仿宋" w:eastAsia="仿宋" w:cs="仿宋"/>
          <w:vanish/>
          <w:kern w:val="0"/>
          <w:sz w:val="32"/>
          <w:szCs w:val="32"/>
        </w:rPr>
      </w:pPr>
      <w:r>
        <w:rPr>
          <w:rFonts w:hint="eastAsia" w:ascii="仿宋" w:hAnsi="仿宋" w:eastAsia="仿宋" w:cs="仿宋"/>
          <w:vanish/>
          <w:kern w:val="0"/>
          <w:sz w:val="32"/>
          <w:szCs w:val="32"/>
        </w:rPr>
        <w:t>word horizontal layout</w:t>
      </w:r>
    </w:p>
    <w:p>
      <w:pPr>
        <w:widowControl/>
        <w:jc w:val="left"/>
        <w:rPr>
          <w:rFonts w:hint="eastAsia" w:ascii="仿宋" w:hAnsi="仿宋" w:eastAsia="仿宋" w:cs="仿宋"/>
          <w:b/>
          <w:spacing w:val="0"/>
          <w:sz w:val="32"/>
          <w:szCs w:val="32"/>
        </w:rPr>
      </w:pPr>
      <w:r>
        <w:rPr>
          <w:rFonts w:hint="eastAsia" w:ascii="仿宋" w:hAnsi="仿宋" w:eastAsia="仿宋" w:cs="仿宋"/>
          <w:kern w:val="0"/>
          <w:sz w:val="32"/>
          <w:szCs w:val="32"/>
        </w:rPr>
        <w:t> </w:t>
      </w:r>
      <w:bookmarkStart w:id="45" w:name="_Toc256000104"/>
      <w:bookmarkStart w:id="46" w:name="_Toc256000042"/>
      <w:bookmarkStart w:id="47" w:name="_Toc256000073"/>
      <w:bookmarkStart w:id="48" w:name="_Toc256000011"/>
      <w:r>
        <w:rPr>
          <w:rFonts w:hint="eastAsia" w:ascii="仿宋" w:hAnsi="仿宋" w:eastAsia="仿宋" w:cs="仿宋"/>
          <w:b/>
          <w:spacing w:val="0"/>
          <w:sz w:val="32"/>
          <w:szCs w:val="32"/>
        </w:rPr>
        <w:t>五、一般公共预算财政拨款支出决算表</w:t>
      </w:r>
    </w:p>
    <w:tbl>
      <w:tblPr>
        <w:tblStyle w:val="23"/>
        <w:tblW w:w="9066" w:type="dxa"/>
        <w:jc w:val="center"/>
        <w:tblInd w:w="0" w:type="dxa"/>
        <w:tblLayout w:type="fixed"/>
        <w:tblCellMar>
          <w:top w:w="15" w:type="dxa"/>
          <w:left w:w="15" w:type="dxa"/>
          <w:bottom w:w="15" w:type="dxa"/>
          <w:right w:w="15" w:type="dxa"/>
        </w:tblCellMar>
      </w:tblPr>
      <w:tblGrid>
        <w:gridCol w:w="1602"/>
        <w:gridCol w:w="2760"/>
        <w:gridCol w:w="1234"/>
        <w:gridCol w:w="1389"/>
        <w:gridCol w:w="2081"/>
      </w:tblGrid>
      <w:tr>
        <w:tblPrEx>
          <w:tblLayout w:type="fixed"/>
          <w:tblCellMar>
            <w:top w:w="15" w:type="dxa"/>
            <w:left w:w="15" w:type="dxa"/>
            <w:bottom w:w="15" w:type="dxa"/>
            <w:right w:w="15" w:type="dxa"/>
          </w:tblCellMar>
        </w:tblPrEx>
        <w:trPr>
          <w:trHeight w:val="0" w:hRule="atLeast"/>
          <w:tblHeader/>
          <w:jc w:val="center"/>
        </w:trPr>
        <w:tc>
          <w:tcPr>
            <w:tcW w:w="9066" w:type="dxa"/>
            <w:gridSpan w:val="5"/>
            <w:noWrap w:val="0"/>
            <w:tcMar>
              <w:top w:w="20" w:type="dxa"/>
              <w:left w:w="20" w:type="dxa"/>
              <w:bottom w:w="20" w:type="dxa"/>
              <w:right w:w="20" w:type="dxa"/>
            </w:tcMar>
            <w:vAlign w:val="center"/>
          </w:tcPr>
          <w:p>
            <w:pPr>
              <w:widowControl/>
              <w:spacing w:line="900" w:lineRule="atLeast"/>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32"/>
                <w:szCs w:val="32"/>
              </w:rPr>
              <w:t>一般公共预算财政拨款支出决算表</w:t>
            </w:r>
          </w:p>
        </w:tc>
      </w:tr>
      <w:tr>
        <w:tblPrEx>
          <w:tblLayout w:type="fixed"/>
          <w:tblCellMar>
            <w:top w:w="15" w:type="dxa"/>
            <w:left w:w="15" w:type="dxa"/>
            <w:bottom w:w="15" w:type="dxa"/>
            <w:right w:w="15" w:type="dxa"/>
          </w:tblCellMar>
        </w:tblPrEx>
        <w:trPr>
          <w:trHeight w:val="0" w:hRule="atLeast"/>
          <w:jc w:val="center"/>
        </w:trPr>
        <w:tc>
          <w:tcPr>
            <w:tcW w:w="5596"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单位：厦门市高殿中心小学</w:t>
            </w:r>
          </w:p>
        </w:tc>
        <w:tc>
          <w:tcPr>
            <w:tcW w:w="138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2024年度</w:t>
            </w:r>
          </w:p>
        </w:tc>
        <w:tc>
          <w:tcPr>
            <w:tcW w:w="208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金额单位：万元</w:t>
            </w:r>
          </w:p>
        </w:tc>
      </w:tr>
      <w:tr>
        <w:tblPrEx>
          <w:tblLayout w:type="fixed"/>
          <w:tblCellMar>
            <w:top w:w="15" w:type="dxa"/>
            <w:left w:w="15" w:type="dxa"/>
            <w:bottom w:w="15" w:type="dxa"/>
            <w:right w:w="15" w:type="dxa"/>
          </w:tblCellMar>
        </w:tblPrEx>
        <w:trPr>
          <w:trHeight w:val="0" w:hRule="atLeast"/>
          <w:jc w:val="center"/>
        </w:trPr>
        <w:tc>
          <w:tcPr>
            <w:tcW w:w="4362"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项目</w:t>
            </w:r>
          </w:p>
        </w:tc>
        <w:tc>
          <w:tcPr>
            <w:tcW w:w="4704"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本年支出</w:t>
            </w:r>
          </w:p>
        </w:tc>
      </w:tr>
      <w:tr>
        <w:tblPrEx>
          <w:tblLayout w:type="fixed"/>
          <w:tblCellMar>
            <w:top w:w="15" w:type="dxa"/>
            <w:left w:w="15" w:type="dxa"/>
            <w:bottom w:w="15" w:type="dxa"/>
            <w:right w:w="15" w:type="dxa"/>
          </w:tblCellMar>
        </w:tblPrEx>
        <w:trPr>
          <w:trHeight w:val="312" w:hRule="atLeast"/>
          <w:tblHeader/>
          <w:jc w:val="center"/>
        </w:trPr>
        <w:tc>
          <w:tcPr>
            <w:tcW w:w="160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科目代码</w:t>
            </w:r>
          </w:p>
        </w:tc>
        <w:tc>
          <w:tcPr>
            <w:tcW w:w="276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科目名称</w:t>
            </w:r>
          </w:p>
        </w:tc>
        <w:tc>
          <w:tcPr>
            <w:tcW w:w="123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小计</w:t>
            </w:r>
          </w:p>
        </w:tc>
        <w:tc>
          <w:tcPr>
            <w:tcW w:w="138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基本支出</w:t>
            </w:r>
          </w:p>
        </w:tc>
        <w:tc>
          <w:tcPr>
            <w:tcW w:w="208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项目支出</w:t>
            </w:r>
          </w:p>
        </w:tc>
      </w:tr>
      <w:tr>
        <w:tblPrEx>
          <w:tblLayout w:type="fixed"/>
          <w:tblCellMar>
            <w:top w:w="15" w:type="dxa"/>
            <w:left w:w="15" w:type="dxa"/>
            <w:bottom w:w="15" w:type="dxa"/>
            <w:right w:w="15" w:type="dxa"/>
          </w:tblCellMar>
        </w:tblPrEx>
        <w:trPr>
          <w:trHeight w:val="312" w:hRule="atLeast"/>
          <w:tblHeader/>
          <w:jc w:val="center"/>
        </w:trPr>
        <w:tc>
          <w:tcPr>
            <w:tcW w:w="1602"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2760"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1234"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1389"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2081"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r>
      <w:tr>
        <w:tblPrEx>
          <w:tblLayout w:type="fixed"/>
          <w:tblCellMar>
            <w:top w:w="15" w:type="dxa"/>
            <w:left w:w="15" w:type="dxa"/>
            <w:bottom w:w="15" w:type="dxa"/>
            <w:right w:w="15" w:type="dxa"/>
          </w:tblCellMar>
        </w:tblPrEx>
        <w:trPr>
          <w:trHeight w:val="0" w:hRule="atLeast"/>
          <w:tblHeader/>
          <w:jc w:val="center"/>
        </w:trPr>
        <w:tc>
          <w:tcPr>
            <w:tcW w:w="1602"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2760"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12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w:t>
            </w:r>
          </w:p>
        </w:tc>
        <w:tc>
          <w:tcPr>
            <w:tcW w:w="20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w:t>
            </w:r>
          </w:p>
        </w:tc>
      </w:tr>
      <w:tr>
        <w:tblPrEx>
          <w:tblLayout w:type="fixed"/>
          <w:tblCellMar>
            <w:top w:w="15" w:type="dxa"/>
            <w:left w:w="15" w:type="dxa"/>
            <w:bottom w:w="15" w:type="dxa"/>
            <w:right w:w="15" w:type="dxa"/>
          </w:tblCellMar>
        </w:tblPrEx>
        <w:trPr>
          <w:trHeight w:val="0" w:hRule="atLeast"/>
          <w:jc w:val="center"/>
        </w:trPr>
        <w:tc>
          <w:tcPr>
            <w:tcW w:w="4362"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合计</w:t>
            </w:r>
          </w:p>
        </w:tc>
        <w:tc>
          <w:tcPr>
            <w:tcW w:w="12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3,770.14</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3,456.93</w:t>
            </w:r>
          </w:p>
        </w:tc>
        <w:tc>
          <w:tcPr>
            <w:tcW w:w="20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313.21</w:t>
            </w:r>
          </w:p>
        </w:tc>
      </w:tr>
      <w:tr>
        <w:tblPrEx>
          <w:tblLayout w:type="fixed"/>
          <w:tblCellMar>
            <w:top w:w="15" w:type="dxa"/>
            <w:left w:w="15" w:type="dxa"/>
            <w:bottom w:w="15" w:type="dxa"/>
            <w:right w:w="15" w:type="dxa"/>
          </w:tblCellMar>
        </w:tblPrEx>
        <w:trPr>
          <w:trHeight w:val="0" w:hRule="atLeast"/>
          <w:jc w:val="center"/>
        </w:trPr>
        <w:tc>
          <w:tcPr>
            <w:tcW w:w="16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205</w:t>
            </w:r>
          </w:p>
        </w:tc>
        <w:tc>
          <w:tcPr>
            <w:tcW w:w="27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教育支出</w:t>
            </w:r>
          </w:p>
        </w:tc>
        <w:tc>
          <w:tcPr>
            <w:tcW w:w="12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3,156.13</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2,842.92</w:t>
            </w:r>
          </w:p>
        </w:tc>
        <w:tc>
          <w:tcPr>
            <w:tcW w:w="20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313.21</w:t>
            </w:r>
          </w:p>
        </w:tc>
      </w:tr>
      <w:tr>
        <w:tblPrEx>
          <w:tblLayout w:type="fixed"/>
          <w:tblCellMar>
            <w:top w:w="15" w:type="dxa"/>
            <w:left w:w="15" w:type="dxa"/>
            <w:bottom w:w="15" w:type="dxa"/>
            <w:right w:w="15" w:type="dxa"/>
          </w:tblCellMar>
        </w:tblPrEx>
        <w:trPr>
          <w:trHeight w:val="0" w:hRule="atLeast"/>
          <w:jc w:val="center"/>
        </w:trPr>
        <w:tc>
          <w:tcPr>
            <w:tcW w:w="16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20502</w:t>
            </w:r>
          </w:p>
        </w:tc>
        <w:tc>
          <w:tcPr>
            <w:tcW w:w="27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普通教育</w:t>
            </w:r>
          </w:p>
        </w:tc>
        <w:tc>
          <w:tcPr>
            <w:tcW w:w="12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2,977.3</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2,842.92</w:t>
            </w:r>
          </w:p>
        </w:tc>
        <w:tc>
          <w:tcPr>
            <w:tcW w:w="20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134.38</w:t>
            </w:r>
          </w:p>
        </w:tc>
      </w:tr>
      <w:tr>
        <w:tblPrEx>
          <w:tblLayout w:type="fixed"/>
          <w:tblCellMar>
            <w:top w:w="15" w:type="dxa"/>
            <w:left w:w="15" w:type="dxa"/>
            <w:bottom w:w="15" w:type="dxa"/>
            <w:right w:w="15" w:type="dxa"/>
          </w:tblCellMar>
        </w:tblPrEx>
        <w:trPr>
          <w:trHeight w:val="0" w:hRule="atLeast"/>
          <w:jc w:val="center"/>
        </w:trPr>
        <w:tc>
          <w:tcPr>
            <w:tcW w:w="16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2050202</w:t>
            </w:r>
          </w:p>
        </w:tc>
        <w:tc>
          <w:tcPr>
            <w:tcW w:w="27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小学教育</w:t>
            </w:r>
          </w:p>
        </w:tc>
        <w:tc>
          <w:tcPr>
            <w:tcW w:w="12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2,765.6</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2,765.6</w:t>
            </w:r>
          </w:p>
        </w:tc>
        <w:tc>
          <w:tcPr>
            <w:tcW w:w="20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6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2050299</w:t>
            </w:r>
          </w:p>
        </w:tc>
        <w:tc>
          <w:tcPr>
            <w:tcW w:w="27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其他普通教育支出</w:t>
            </w:r>
          </w:p>
        </w:tc>
        <w:tc>
          <w:tcPr>
            <w:tcW w:w="12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211.7</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77.32</w:t>
            </w:r>
          </w:p>
        </w:tc>
        <w:tc>
          <w:tcPr>
            <w:tcW w:w="20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134.38</w:t>
            </w:r>
          </w:p>
        </w:tc>
      </w:tr>
      <w:tr>
        <w:tblPrEx>
          <w:tblLayout w:type="fixed"/>
          <w:tblCellMar>
            <w:top w:w="15" w:type="dxa"/>
            <w:left w:w="15" w:type="dxa"/>
            <w:bottom w:w="15" w:type="dxa"/>
            <w:right w:w="15" w:type="dxa"/>
          </w:tblCellMar>
        </w:tblPrEx>
        <w:trPr>
          <w:trHeight w:val="0" w:hRule="atLeast"/>
          <w:jc w:val="center"/>
        </w:trPr>
        <w:tc>
          <w:tcPr>
            <w:tcW w:w="16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20509</w:t>
            </w:r>
          </w:p>
        </w:tc>
        <w:tc>
          <w:tcPr>
            <w:tcW w:w="27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教育费附加安排的支出</w:t>
            </w:r>
          </w:p>
        </w:tc>
        <w:tc>
          <w:tcPr>
            <w:tcW w:w="12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178.08</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20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178.08</w:t>
            </w:r>
          </w:p>
        </w:tc>
      </w:tr>
      <w:tr>
        <w:tblPrEx>
          <w:tblLayout w:type="fixed"/>
          <w:tblCellMar>
            <w:top w:w="15" w:type="dxa"/>
            <w:left w:w="15" w:type="dxa"/>
            <w:bottom w:w="15" w:type="dxa"/>
            <w:right w:w="15" w:type="dxa"/>
          </w:tblCellMar>
        </w:tblPrEx>
        <w:trPr>
          <w:trHeight w:val="0" w:hRule="atLeast"/>
          <w:jc w:val="center"/>
        </w:trPr>
        <w:tc>
          <w:tcPr>
            <w:tcW w:w="16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2050999</w:t>
            </w:r>
          </w:p>
        </w:tc>
        <w:tc>
          <w:tcPr>
            <w:tcW w:w="27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其他教育费附加安排的支出</w:t>
            </w:r>
          </w:p>
        </w:tc>
        <w:tc>
          <w:tcPr>
            <w:tcW w:w="12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178.08</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20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178.08</w:t>
            </w:r>
          </w:p>
        </w:tc>
      </w:tr>
      <w:tr>
        <w:tblPrEx>
          <w:tblLayout w:type="fixed"/>
          <w:tblCellMar>
            <w:top w:w="15" w:type="dxa"/>
            <w:left w:w="15" w:type="dxa"/>
            <w:bottom w:w="15" w:type="dxa"/>
            <w:right w:w="15" w:type="dxa"/>
          </w:tblCellMar>
        </w:tblPrEx>
        <w:trPr>
          <w:trHeight w:val="0" w:hRule="atLeast"/>
          <w:jc w:val="center"/>
        </w:trPr>
        <w:tc>
          <w:tcPr>
            <w:tcW w:w="16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20599</w:t>
            </w:r>
          </w:p>
        </w:tc>
        <w:tc>
          <w:tcPr>
            <w:tcW w:w="27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其他教育支出</w:t>
            </w:r>
          </w:p>
        </w:tc>
        <w:tc>
          <w:tcPr>
            <w:tcW w:w="12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0.75</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20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0.75</w:t>
            </w:r>
          </w:p>
        </w:tc>
      </w:tr>
      <w:tr>
        <w:tblPrEx>
          <w:tblLayout w:type="fixed"/>
          <w:tblCellMar>
            <w:top w:w="15" w:type="dxa"/>
            <w:left w:w="15" w:type="dxa"/>
            <w:bottom w:w="15" w:type="dxa"/>
            <w:right w:w="15" w:type="dxa"/>
          </w:tblCellMar>
        </w:tblPrEx>
        <w:trPr>
          <w:trHeight w:val="0" w:hRule="atLeast"/>
          <w:jc w:val="center"/>
        </w:trPr>
        <w:tc>
          <w:tcPr>
            <w:tcW w:w="16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2059999</w:t>
            </w:r>
          </w:p>
        </w:tc>
        <w:tc>
          <w:tcPr>
            <w:tcW w:w="27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其他教育支出</w:t>
            </w:r>
          </w:p>
        </w:tc>
        <w:tc>
          <w:tcPr>
            <w:tcW w:w="12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0.75</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20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0.75</w:t>
            </w:r>
          </w:p>
        </w:tc>
      </w:tr>
      <w:tr>
        <w:tblPrEx>
          <w:tblLayout w:type="fixed"/>
          <w:tblCellMar>
            <w:top w:w="15" w:type="dxa"/>
            <w:left w:w="15" w:type="dxa"/>
            <w:bottom w:w="15" w:type="dxa"/>
            <w:right w:w="15" w:type="dxa"/>
          </w:tblCellMar>
        </w:tblPrEx>
        <w:trPr>
          <w:trHeight w:val="0" w:hRule="atLeast"/>
          <w:jc w:val="center"/>
        </w:trPr>
        <w:tc>
          <w:tcPr>
            <w:tcW w:w="16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208</w:t>
            </w:r>
          </w:p>
        </w:tc>
        <w:tc>
          <w:tcPr>
            <w:tcW w:w="27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社会保障和就业支出</w:t>
            </w:r>
          </w:p>
        </w:tc>
        <w:tc>
          <w:tcPr>
            <w:tcW w:w="12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447.69</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447.69</w:t>
            </w:r>
          </w:p>
        </w:tc>
        <w:tc>
          <w:tcPr>
            <w:tcW w:w="20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6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20805</w:t>
            </w:r>
          </w:p>
        </w:tc>
        <w:tc>
          <w:tcPr>
            <w:tcW w:w="27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行政事业单位养老支出</w:t>
            </w:r>
          </w:p>
        </w:tc>
        <w:tc>
          <w:tcPr>
            <w:tcW w:w="12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447.69</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447.69</w:t>
            </w:r>
          </w:p>
        </w:tc>
        <w:tc>
          <w:tcPr>
            <w:tcW w:w="20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6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2080502</w:t>
            </w:r>
          </w:p>
        </w:tc>
        <w:tc>
          <w:tcPr>
            <w:tcW w:w="27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事业单位离退休</w:t>
            </w:r>
          </w:p>
        </w:tc>
        <w:tc>
          <w:tcPr>
            <w:tcW w:w="12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102.52</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102.52</w:t>
            </w:r>
          </w:p>
        </w:tc>
        <w:tc>
          <w:tcPr>
            <w:tcW w:w="20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6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2080505</w:t>
            </w:r>
          </w:p>
        </w:tc>
        <w:tc>
          <w:tcPr>
            <w:tcW w:w="27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机关事业单位基本养老保险缴费支出</w:t>
            </w:r>
          </w:p>
        </w:tc>
        <w:tc>
          <w:tcPr>
            <w:tcW w:w="12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218.93</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218.93</w:t>
            </w:r>
          </w:p>
        </w:tc>
        <w:tc>
          <w:tcPr>
            <w:tcW w:w="20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6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2080506</w:t>
            </w:r>
          </w:p>
        </w:tc>
        <w:tc>
          <w:tcPr>
            <w:tcW w:w="27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机关事业单位职业年金缴费支出</w:t>
            </w:r>
          </w:p>
        </w:tc>
        <w:tc>
          <w:tcPr>
            <w:tcW w:w="12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126.25</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126.25</w:t>
            </w:r>
          </w:p>
        </w:tc>
        <w:tc>
          <w:tcPr>
            <w:tcW w:w="20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6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210</w:t>
            </w:r>
          </w:p>
        </w:tc>
        <w:tc>
          <w:tcPr>
            <w:tcW w:w="27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卫生健康支出</w:t>
            </w:r>
          </w:p>
        </w:tc>
        <w:tc>
          <w:tcPr>
            <w:tcW w:w="12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141.62</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141.62</w:t>
            </w:r>
          </w:p>
        </w:tc>
        <w:tc>
          <w:tcPr>
            <w:tcW w:w="20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6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21011</w:t>
            </w:r>
          </w:p>
        </w:tc>
        <w:tc>
          <w:tcPr>
            <w:tcW w:w="27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行政事业单位医疗</w:t>
            </w:r>
          </w:p>
        </w:tc>
        <w:tc>
          <w:tcPr>
            <w:tcW w:w="12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141.62</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141.62</w:t>
            </w:r>
          </w:p>
        </w:tc>
        <w:tc>
          <w:tcPr>
            <w:tcW w:w="20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6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2101102</w:t>
            </w:r>
          </w:p>
        </w:tc>
        <w:tc>
          <w:tcPr>
            <w:tcW w:w="27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事业单位医疗</w:t>
            </w:r>
          </w:p>
        </w:tc>
        <w:tc>
          <w:tcPr>
            <w:tcW w:w="12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93.73</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93.73</w:t>
            </w:r>
          </w:p>
        </w:tc>
        <w:tc>
          <w:tcPr>
            <w:tcW w:w="20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6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2101199</w:t>
            </w:r>
          </w:p>
        </w:tc>
        <w:tc>
          <w:tcPr>
            <w:tcW w:w="27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其他行政事业单位医疗支出</w:t>
            </w:r>
          </w:p>
        </w:tc>
        <w:tc>
          <w:tcPr>
            <w:tcW w:w="12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47.89</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47.89</w:t>
            </w:r>
          </w:p>
        </w:tc>
        <w:tc>
          <w:tcPr>
            <w:tcW w:w="20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6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221</w:t>
            </w:r>
          </w:p>
        </w:tc>
        <w:tc>
          <w:tcPr>
            <w:tcW w:w="27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住房保障支出</w:t>
            </w:r>
          </w:p>
        </w:tc>
        <w:tc>
          <w:tcPr>
            <w:tcW w:w="12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24.7</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24.7</w:t>
            </w:r>
          </w:p>
        </w:tc>
        <w:tc>
          <w:tcPr>
            <w:tcW w:w="20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6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22102</w:t>
            </w:r>
          </w:p>
        </w:tc>
        <w:tc>
          <w:tcPr>
            <w:tcW w:w="27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住房改革支出</w:t>
            </w:r>
          </w:p>
        </w:tc>
        <w:tc>
          <w:tcPr>
            <w:tcW w:w="12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24.7</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24.7</w:t>
            </w:r>
          </w:p>
        </w:tc>
        <w:tc>
          <w:tcPr>
            <w:tcW w:w="20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6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2210203</w:t>
            </w:r>
          </w:p>
        </w:tc>
        <w:tc>
          <w:tcPr>
            <w:tcW w:w="27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购房补贴</w:t>
            </w:r>
          </w:p>
        </w:tc>
        <w:tc>
          <w:tcPr>
            <w:tcW w:w="12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24.7</w:t>
            </w:r>
          </w:p>
        </w:tc>
        <w:tc>
          <w:tcPr>
            <w:tcW w:w="138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24.7</w:t>
            </w:r>
          </w:p>
        </w:tc>
        <w:tc>
          <w:tcPr>
            <w:tcW w:w="20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9066" w:type="dxa"/>
            <w:gridSpan w:val="5"/>
            <w:noWrap w:val="0"/>
            <w:tcMar>
              <w:top w:w="20" w:type="dxa"/>
              <w:left w:w="20" w:type="dxa"/>
              <w:bottom w:w="20" w:type="dxa"/>
              <w:right w:w="20" w:type="dxa"/>
            </w:tcMar>
            <w:vAlign w:val="center"/>
          </w:tcPr>
          <w:p>
            <w:pPr>
              <w:widowControl/>
              <w:spacing w:line="375" w:lineRule="atLeast"/>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注：本表反映</w:t>
            </w:r>
            <w:r>
              <w:rPr>
                <w:rFonts w:hint="eastAsia" w:ascii="仿宋" w:hAnsi="仿宋" w:eastAsia="仿宋" w:cs="仿宋"/>
                <w:b w:val="0"/>
                <w:bCs w:val="0"/>
                <w:i w:val="0"/>
                <w:iCs w:val="0"/>
                <w:smallCaps w:val="0"/>
                <w:color w:val="000000"/>
                <w:kern w:val="0"/>
                <w:sz w:val="24"/>
                <w:szCs w:val="24"/>
                <w:lang w:eastAsia="zh-CN"/>
              </w:rPr>
              <w:t>单位</w:t>
            </w:r>
            <w:r>
              <w:rPr>
                <w:rFonts w:hint="eastAsia" w:ascii="仿宋" w:hAnsi="仿宋" w:eastAsia="仿宋" w:cs="仿宋"/>
                <w:b w:val="0"/>
                <w:bCs w:val="0"/>
                <w:i w:val="0"/>
                <w:iCs w:val="0"/>
                <w:smallCaps w:val="0"/>
                <w:color w:val="000000"/>
                <w:kern w:val="0"/>
                <w:sz w:val="24"/>
                <w:szCs w:val="24"/>
              </w:rPr>
              <w:t>本年度一般公共预算财政拨款支出情况。</w:t>
            </w:r>
          </w:p>
        </w:tc>
      </w:tr>
      <w:bookmarkEnd w:id="45"/>
      <w:bookmarkEnd w:id="46"/>
      <w:bookmarkEnd w:id="47"/>
      <w:bookmarkEnd w:id="48"/>
    </w:tbl>
    <w:p>
      <w:pPr>
        <w:rPr>
          <w:rFonts w:hint="eastAsia" w:ascii="仿宋" w:hAnsi="仿宋" w:eastAsia="仿宋" w:cs="仿宋"/>
          <w:sz w:val="32"/>
          <w:szCs w:val="32"/>
        </w:rPr>
        <w:sectPr>
          <w:footerReference r:id="rId8" w:type="default"/>
          <w:pgSz w:w="11906" w:h="16383"/>
          <w:pgMar w:top="720" w:right="1440" w:bottom="720" w:left="1440" w:header="720" w:footer="720" w:gutter="0"/>
          <w:pgBorders>
            <w:top w:val="none" w:sz="0" w:space="0"/>
            <w:left w:val="none" w:sz="0" w:space="0"/>
            <w:bottom w:val="none" w:sz="0" w:space="0"/>
            <w:right w:val="none" w:sz="0" w:space="0"/>
          </w:pgBorders>
          <w:cols w:space="720" w:num="1"/>
        </w:sectPr>
      </w:pPr>
    </w:p>
    <w:p>
      <w:pPr>
        <w:widowControl/>
        <w:spacing w:before="240" w:after="240"/>
        <w:jc w:val="left"/>
        <w:rPr>
          <w:rFonts w:hint="eastAsia" w:ascii="仿宋" w:hAnsi="仿宋" w:eastAsia="仿宋" w:cs="仿宋"/>
          <w:vanish/>
          <w:kern w:val="0"/>
          <w:sz w:val="32"/>
          <w:szCs w:val="32"/>
        </w:rPr>
      </w:pPr>
      <w:r>
        <w:rPr>
          <w:rFonts w:hint="eastAsia" w:ascii="仿宋" w:hAnsi="仿宋" w:eastAsia="仿宋" w:cs="仿宋"/>
          <w:vanish/>
          <w:kern w:val="0"/>
          <w:sz w:val="32"/>
          <w:szCs w:val="32"/>
        </w:rPr>
        <w:t>word horizontal layout</w:t>
      </w:r>
    </w:p>
    <w:p>
      <w:pPr>
        <w:widowControl/>
        <w:jc w:val="left"/>
        <w:rPr>
          <w:rFonts w:hint="eastAsia" w:ascii="仿宋" w:hAnsi="仿宋" w:eastAsia="仿宋" w:cs="仿宋"/>
          <w:b/>
          <w:bCs/>
          <w:kern w:val="0"/>
          <w:sz w:val="32"/>
          <w:szCs w:val="32"/>
        </w:rPr>
      </w:pPr>
      <w:r>
        <w:rPr>
          <w:rFonts w:hint="eastAsia" w:ascii="仿宋" w:hAnsi="仿宋" w:eastAsia="仿宋" w:cs="仿宋"/>
          <w:kern w:val="0"/>
          <w:sz w:val="32"/>
          <w:szCs w:val="32"/>
        </w:rPr>
        <w:t> </w:t>
      </w:r>
      <w:bookmarkStart w:id="49" w:name="_Toc256000074"/>
      <w:bookmarkStart w:id="50" w:name="_Toc256000105"/>
      <w:bookmarkStart w:id="51" w:name="_Toc256000012"/>
      <w:bookmarkStart w:id="52" w:name="_Toc256000043"/>
      <w:r>
        <w:rPr>
          <w:rFonts w:hint="eastAsia" w:ascii="仿宋" w:hAnsi="仿宋" w:eastAsia="仿宋" w:cs="仿宋"/>
          <w:b/>
          <w:spacing w:val="0"/>
          <w:sz w:val="32"/>
          <w:szCs w:val="32"/>
        </w:rPr>
        <w:t>六、一般公共预算财政拨款基本支出决算表</w:t>
      </w:r>
      <w:bookmarkEnd w:id="49"/>
      <w:bookmarkEnd w:id="50"/>
      <w:bookmarkEnd w:id="51"/>
      <w:bookmarkEnd w:id="52"/>
    </w:p>
    <w:tbl>
      <w:tblPr>
        <w:tblStyle w:val="23"/>
        <w:tblW w:w="9066" w:type="dxa"/>
        <w:jc w:val="center"/>
        <w:tblInd w:w="0" w:type="dxa"/>
        <w:tblLayout w:type="fixed"/>
        <w:tblCellMar>
          <w:top w:w="15" w:type="dxa"/>
          <w:left w:w="15" w:type="dxa"/>
          <w:bottom w:w="15" w:type="dxa"/>
          <w:right w:w="15" w:type="dxa"/>
        </w:tblCellMar>
      </w:tblPr>
      <w:tblGrid>
        <w:gridCol w:w="1007"/>
        <w:gridCol w:w="1007"/>
        <w:gridCol w:w="1148"/>
        <w:gridCol w:w="867"/>
        <w:gridCol w:w="1007"/>
        <w:gridCol w:w="1008"/>
        <w:gridCol w:w="1007"/>
        <w:gridCol w:w="1288"/>
        <w:gridCol w:w="727"/>
      </w:tblGrid>
      <w:tr>
        <w:tblPrEx>
          <w:tblLayout w:type="fixed"/>
          <w:tblCellMar>
            <w:top w:w="15" w:type="dxa"/>
            <w:left w:w="15" w:type="dxa"/>
            <w:bottom w:w="15" w:type="dxa"/>
            <w:right w:w="15" w:type="dxa"/>
          </w:tblCellMar>
        </w:tblPrEx>
        <w:trPr>
          <w:trHeight w:val="0" w:hRule="atLeast"/>
          <w:tblHeader/>
          <w:jc w:val="center"/>
        </w:trPr>
        <w:tc>
          <w:tcPr>
            <w:tcW w:w="9066" w:type="dxa"/>
            <w:gridSpan w:val="9"/>
            <w:noWrap w:val="0"/>
            <w:tcMar>
              <w:top w:w="20" w:type="dxa"/>
              <w:left w:w="20" w:type="dxa"/>
              <w:bottom w:w="20" w:type="dxa"/>
              <w:right w:w="20" w:type="dxa"/>
            </w:tcMar>
            <w:vAlign w:val="center"/>
          </w:tcPr>
          <w:p>
            <w:pPr>
              <w:widowControl/>
              <w:spacing w:line="900" w:lineRule="atLeast"/>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32"/>
                <w:szCs w:val="32"/>
              </w:rPr>
              <w:t>一般公共预算财政拨款基本支出决算表</w:t>
            </w:r>
          </w:p>
        </w:tc>
      </w:tr>
      <w:tr>
        <w:tblPrEx>
          <w:tblLayout w:type="fixed"/>
          <w:tblCellMar>
            <w:top w:w="15" w:type="dxa"/>
            <w:left w:w="15" w:type="dxa"/>
            <w:bottom w:w="15" w:type="dxa"/>
            <w:right w:w="15" w:type="dxa"/>
          </w:tblCellMar>
        </w:tblPrEx>
        <w:trPr>
          <w:trHeight w:val="0" w:hRule="atLeast"/>
          <w:tblHeader/>
          <w:jc w:val="center"/>
        </w:trPr>
        <w:tc>
          <w:tcPr>
            <w:tcW w:w="4029"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单位：厦门市高殿中心小学</w:t>
            </w:r>
          </w:p>
        </w:tc>
        <w:tc>
          <w:tcPr>
            <w:tcW w:w="2015"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2024年度</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2015"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金额单位：万元</w:t>
            </w:r>
          </w:p>
        </w:tc>
      </w:tr>
      <w:tr>
        <w:tblPrEx>
          <w:tblLayout w:type="fixed"/>
          <w:tblCellMar>
            <w:top w:w="15" w:type="dxa"/>
            <w:left w:w="15" w:type="dxa"/>
            <w:bottom w:w="15" w:type="dxa"/>
            <w:right w:w="15" w:type="dxa"/>
          </w:tblCellMar>
        </w:tblPrEx>
        <w:trPr>
          <w:trHeight w:val="312" w:hRule="atLeast"/>
          <w:tblHeader/>
          <w:jc w:val="center"/>
        </w:trPr>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经济分类科目编码</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科目名称</w:t>
            </w:r>
          </w:p>
        </w:tc>
        <w:tc>
          <w:tcPr>
            <w:tcW w:w="114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金额</w:t>
            </w:r>
          </w:p>
        </w:tc>
        <w:tc>
          <w:tcPr>
            <w:tcW w:w="86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经济分类科目编码</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科目名称</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金额</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经济分类科目编码</w:t>
            </w:r>
          </w:p>
        </w:tc>
        <w:tc>
          <w:tcPr>
            <w:tcW w:w="128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科目名称</w:t>
            </w:r>
          </w:p>
        </w:tc>
        <w:tc>
          <w:tcPr>
            <w:tcW w:w="72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金额</w:t>
            </w:r>
          </w:p>
        </w:tc>
      </w:tr>
      <w:tr>
        <w:tblPrEx>
          <w:tblLayout w:type="fixed"/>
          <w:tblCellMar>
            <w:top w:w="15" w:type="dxa"/>
            <w:left w:w="15" w:type="dxa"/>
            <w:bottom w:w="15" w:type="dxa"/>
            <w:right w:w="15" w:type="dxa"/>
          </w:tblCellMar>
        </w:tblPrEx>
        <w:trPr>
          <w:trHeight w:val="312" w:hRule="atLeast"/>
          <w:tblHeader/>
          <w:jc w:val="center"/>
        </w:trPr>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114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86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128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72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工资福利支出</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2,986.14</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商品和服务支出</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277.85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30703</w:t>
            </w:r>
          </w:p>
        </w:tc>
        <w:tc>
          <w:tcPr>
            <w:tcW w:w="12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国内债务发行费用</w:t>
            </w:r>
          </w:p>
        </w:tc>
        <w:tc>
          <w:tcPr>
            <w:tcW w:w="7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基本工资</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379.36</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办公费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134.47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30704</w:t>
            </w:r>
          </w:p>
        </w:tc>
        <w:tc>
          <w:tcPr>
            <w:tcW w:w="12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国外债务发行费用</w:t>
            </w:r>
          </w:p>
        </w:tc>
        <w:tc>
          <w:tcPr>
            <w:tcW w:w="7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津贴补贴</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570.08</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印刷费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w:t>
            </w:r>
          </w:p>
        </w:tc>
        <w:tc>
          <w:tcPr>
            <w:tcW w:w="12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资本性支出</w:t>
            </w:r>
          </w:p>
        </w:tc>
        <w:tc>
          <w:tcPr>
            <w:tcW w:w="7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70.9</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奖金</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936.96</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咨询费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31001</w:t>
            </w:r>
          </w:p>
        </w:tc>
        <w:tc>
          <w:tcPr>
            <w:tcW w:w="12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房屋建筑物购建</w:t>
            </w:r>
          </w:p>
        </w:tc>
        <w:tc>
          <w:tcPr>
            <w:tcW w:w="7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30106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伙食补助费</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30204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手续费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31002</w:t>
            </w:r>
          </w:p>
        </w:tc>
        <w:tc>
          <w:tcPr>
            <w:tcW w:w="12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办公设备购置</w:t>
            </w:r>
          </w:p>
        </w:tc>
        <w:tc>
          <w:tcPr>
            <w:tcW w:w="7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70.9</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30107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绩效工资</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170.61</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水费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31003</w:t>
            </w:r>
          </w:p>
        </w:tc>
        <w:tc>
          <w:tcPr>
            <w:tcW w:w="12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专用设备购置</w:t>
            </w:r>
          </w:p>
        </w:tc>
        <w:tc>
          <w:tcPr>
            <w:tcW w:w="7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30108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机关事业单位基本养老保险缴费</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218.93</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30206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电费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22.59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31005</w:t>
            </w:r>
          </w:p>
        </w:tc>
        <w:tc>
          <w:tcPr>
            <w:tcW w:w="12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基础设施建设</w:t>
            </w:r>
          </w:p>
        </w:tc>
        <w:tc>
          <w:tcPr>
            <w:tcW w:w="7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30109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职业年金缴费</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126.25</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30207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邮电费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0.29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31006</w:t>
            </w:r>
          </w:p>
        </w:tc>
        <w:tc>
          <w:tcPr>
            <w:tcW w:w="12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大型修缮</w:t>
            </w:r>
          </w:p>
        </w:tc>
        <w:tc>
          <w:tcPr>
            <w:tcW w:w="7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30110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职工基本医疗保险缴费</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93.73</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30208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取暖费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31007</w:t>
            </w:r>
          </w:p>
        </w:tc>
        <w:tc>
          <w:tcPr>
            <w:tcW w:w="12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信息网络及软件购置更新</w:t>
            </w:r>
          </w:p>
        </w:tc>
        <w:tc>
          <w:tcPr>
            <w:tcW w:w="7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30111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公务员医疗补助缴费</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30209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物业管理费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31008</w:t>
            </w:r>
          </w:p>
        </w:tc>
        <w:tc>
          <w:tcPr>
            <w:tcW w:w="12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物资储备</w:t>
            </w:r>
          </w:p>
        </w:tc>
        <w:tc>
          <w:tcPr>
            <w:tcW w:w="7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30112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其他社会保障缴费</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65.63</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30211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差旅费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0.96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31009</w:t>
            </w:r>
          </w:p>
        </w:tc>
        <w:tc>
          <w:tcPr>
            <w:tcW w:w="12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土地补偿</w:t>
            </w:r>
          </w:p>
        </w:tc>
        <w:tc>
          <w:tcPr>
            <w:tcW w:w="7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30113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住房公积金</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237.87</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30212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因公出国（境）费用</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31010</w:t>
            </w:r>
          </w:p>
        </w:tc>
        <w:tc>
          <w:tcPr>
            <w:tcW w:w="12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安置补助</w:t>
            </w:r>
          </w:p>
        </w:tc>
        <w:tc>
          <w:tcPr>
            <w:tcW w:w="7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30114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医疗费</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30213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维修（护）费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16.13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31011</w:t>
            </w:r>
          </w:p>
        </w:tc>
        <w:tc>
          <w:tcPr>
            <w:tcW w:w="12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地上附着物和青苗补偿</w:t>
            </w:r>
          </w:p>
        </w:tc>
        <w:tc>
          <w:tcPr>
            <w:tcW w:w="7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30199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其他工资福利支出</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186.73</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30214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租赁费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31012</w:t>
            </w:r>
          </w:p>
        </w:tc>
        <w:tc>
          <w:tcPr>
            <w:tcW w:w="12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拆迁补偿</w:t>
            </w:r>
          </w:p>
        </w:tc>
        <w:tc>
          <w:tcPr>
            <w:tcW w:w="7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对个人和家庭的补助</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122.03</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30215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会议费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31013</w:t>
            </w:r>
          </w:p>
        </w:tc>
        <w:tc>
          <w:tcPr>
            <w:tcW w:w="12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公务用车购置</w:t>
            </w:r>
          </w:p>
        </w:tc>
        <w:tc>
          <w:tcPr>
            <w:tcW w:w="7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离休费</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30216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培训费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22.17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31019</w:t>
            </w:r>
          </w:p>
        </w:tc>
        <w:tc>
          <w:tcPr>
            <w:tcW w:w="12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其他交通工具购置</w:t>
            </w:r>
          </w:p>
        </w:tc>
        <w:tc>
          <w:tcPr>
            <w:tcW w:w="7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退休费</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30217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公务接待费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31021</w:t>
            </w:r>
          </w:p>
        </w:tc>
        <w:tc>
          <w:tcPr>
            <w:tcW w:w="12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文物和陈列品购置</w:t>
            </w:r>
          </w:p>
        </w:tc>
        <w:tc>
          <w:tcPr>
            <w:tcW w:w="7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退职（役）费</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30218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专用材料费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31022</w:t>
            </w:r>
          </w:p>
        </w:tc>
        <w:tc>
          <w:tcPr>
            <w:tcW w:w="12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无形资产购置</w:t>
            </w:r>
          </w:p>
        </w:tc>
        <w:tc>
          <w:tcPr>
            <w:tcW w:w="7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30304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抚恤金</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30224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被装购置费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31099</w:t>
            </w:r>
          </w:p>
        </w:tc>
        <w:tc>
          <w:tcPr>
            <w:tcW w:w="12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其他资本性支出</w:t>
            </w:r>
          </w:p>
        </w:tc>
        <w:tc>
          <w:tcPr>
            <w:tcW w:w="7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生活补助</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7.53</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30225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专用燃料费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312</w:t>
            </w:r>
          </w:p>
        </w:tc>
        <w:tc>
          <w:tcPr>
            <w:tcW w:w="12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对企业补助</w:t>
            </w:r>
          </w:p>
        </w:tc>
        <w:tc>
          <w:tcPr>
            <w:tcW w:w="7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30306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救济费</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30226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劳务费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2.54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31201</w:t>
            </w:r>
          </w:p>
        </w:tc>
        <w:tc>
          <w:tcPr>
            <w:tcW w:w="12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资本金注入</w:t>
            </w:r>
          </w:p>
        </w:tc>
        <w:tc>
          <w:tcPr>
            <w:tcW w:w="7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30307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医疗费补助</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30227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委托业务费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31203</w:t>
            </w:r>
          </w:p>
        </w:tc>
        <w:tc>
          <w:tcPr>
            <w:tcW w:w="12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政府投资基金股权投资</w:t>
            </w:r>
          </w:p>
        </w:tc>
        <w:tc>
          <w:tcPr>
            <w:tcW w:w="7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30308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助学金</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30228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工会经费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54.75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31204</w:t>
            </w:r>
          </w:p>
        </w:tc>
        <w:tc>
          <w:tcPr>
            <w:tcW w:w="12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费用补贴</w:t>
            </w:r>
          </w:p>
        </w:tc>
        <w:tc>
          <w:tcPr>
            <w:tcW w:w="7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30309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奖励金</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6.82</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30229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福利费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5.26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31205</w:t>
            </w:r>
          </w:p>
        </w:tc>
        <w:tc>
          <w:tcPr>
            <w:tcW w:w="12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利息补贴</w:t>
            </w:r>
          </w:p>
        </w:tc>
        <w:tc>
          <w:tcPr>
            <w:tcW w:w="7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30310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个人农业生产补贴</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30231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公务用车运行维护费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31206</w:t>
            </w:r>
          </w:p>
        </w:tc>
        <w:tc>
          <w:tcPr>
            <w:tcW w:w="12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其他资本性补助</w:t>
            </w:r>
          </w:p>
        </w:tc>
        <w:tc>
          <w:tcPr>
            <w:tcW w:w="7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30311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代缴社会保险费</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30239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其他交通费用</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1.08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31299</w:t>
            </w:r>
          </w:p>
        </w:tc>
        <w:tc>
          <w:tcPr>
            <w:tcW w:w="12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其他对企业补助</w:t>
            </w:r>
          </w:p>
        </w:tc>
        <w:tc>
          <w:tcPr>
            <w:tcW w:w="7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30399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其他对个人和家庭的补助</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107.68</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30240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税金及附加费用</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399</w:t>
            </w:r>
          </w:p>
        </w:tc>
        <w:tc>
          <w:tcPr>
            <w:tcW w:w="12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其他支出</w:t>
            </w:r>
          </w:p>
        </w:tc>
        <w:tc>
          <w:tcPr>
            <w:tcW w:w="7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30299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其他商品和服务支出</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14.5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39907</w:t>
            </w:r>
          </w:p>
        </w:tc>
        <w:tc>
          <w:tcPr>
            <w:tcW w:w="12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国家赔偿费用支出</w:t>
            </w:r>
          </w:p>
        </w:tc>
        <w:tc>
          <w:tcPr>
            <w:tcW w:w="7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债务利息及费用支出</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39908</w:t>
            </w:r>
          </w:p>
        </w:tc>
        <w:tc>
          <w:tcPr>
            <w:tcW w:w="12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对民间非营利组织和群众性自治组织补贴</w:t>
            </w:r>
          </w:p>
        </w:tc>
        <w:tc>
          <w:tcPr>
            <w:tcW w:w="7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30701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国内债务付息</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39909</w:t>
            </w:r>
          </w:p>
        </w:tc>
        <w:tc>
          <w:tcPr>
            <w:tcW w:w="12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经常性赠与</w:t>
            </w:r>
          </w:p>
        </w:tc>
        <w:tc>
          <w:tcPr>
            <w:tcW w:w="7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30702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国外债务付息</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39910</w:t>
            </w:r>
          </w:p>
        </w:tc>
        <w:tc>
          <w:tcPr>
            <w:tcW w:w="12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资本性赠与</w:t>
            </w:r>
          </w:p>
        </w:tc>
        <w:tc>
          <w:tcPr>
            <w:tcW w:w="7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86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39999</w:t>
            </w:r>
          </w:p>
        </w:tc>
        <w:tc>
          <w:tcPr>
            <w:tcW w:w="12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其他支出</w:t>
            </w:r>
          </w:p>
        </w:tc>
        <w:tc>
          <w:tcPr>
            <w:tcW w:w="7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tblHeader/>
          <w:jc w:val="center"/>
        </w:trPr>
        <w:tc>
          <w:tcPr>
            <w:tcW w:w="2014"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xml:space="preserve">人员经费合计 </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3,108.17</w:t>
            </w:r>
          </w:p>
        </w:tc>
        <w:tc>
          <w:tcPr>
            <w:tcW w:w="3889"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公用经费合计</w:t>
            </w:r>
          </w:p>
        </w:tc>
        <w:tc>
          <w:tcPr>
            <w:tcW w:w="2015"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348.76</w:t>
            </w:r>
          </w:p>
        </w:tc>
      </w:tr>
      <w:tr>
        <w:tblPrEx>
          <w:tblLayout w:type="fixed"/>
          <w:tblCellMar>
            <w:top w:w="15" w:type="dxa"/>
            <w:left w:w="15" w:type="dxa"/>
            <w:bottom w:w="15" w:type="dxa"/>
            <w:right w:w="15" w:type="dxa"/>
          </w:tblCellMar>
        </w:tblPrEx>
        <w:trPr>
          <w:trHeight w:val="0" w:hRule="atLeast"/>
          <w:tblHeader/>
          <w:jc w:val="center"/>
        </w:trPr>
        <w:tc>
          <w:tcPr>
            <w:tcW w:w="9066" w:type="dxa"/>
            <w:gridSpan w:val="9"/>
            <w:noWrap w:val="0"/>
            <w:tcMar>
              <w:top w:w="20" w:type="dxa"/>
              <w:left w:w="20" w:type="dxa"/>
              <w:bottom w:w="20" w:type="dxa"/>
              <w:right w:w="20" w:type="dxa"/>
            </w:tcMar>
            <w:vAlign w:val="center"/>
          </w:tcPr>
          <w:p>
            <w:pPr>
              <w:widowControl/>
              <w:spacing w:line="375" w:lineRule="atLeast"/>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注：本表反映</w:t>
            </w:r>
            <w:r>
              <w:rPr>
                <w:rFonts w:hint="eastAsia" w:ascii="仿宋" w:hAnsi="仿宋" w:eastAsia="仿宋" w:cs="仿宋"/>
                <w:b w:val="0"/>
                <w:bCs w:val="0"/>
                <w:i w:val="0"/>
                <w:iCs w:val="0"/>
                <w:smallCaps w:val="0"/>
                <w:color w:val="000000"/>
                <w:kern w:val="0"/>
                <w:sz w:val="24"/>
                <w:szCs w:val="24"/>
                <w:lang w:eastAsia="zh-CN"/>
              </w:rPr>
              <w:t>单位</w:t>
            </w:r>
            <w:r>
              <w:rPr>
                <w:rFonts w:hint="eastAsia" w:ascii="仿宋" w:hAnsi="仿宋" w:eastAsia="仿宋" w:cs="仿宋"/>
                <w:b w:val="0"/>
                <w:bCs w:val="0"/>
                <w:i w:val="0"/>
                <w:iCs w:val="0"/>
                <w:smallCaps w:val="0"/>
                <w:color w:val="000000"/>
                <w:kern w:val="0"/>
                <w:sz w:val="24"/>
                <w:szCs w:val="24"/>
              </w:rPr>
              <w:t>本年度一般公共预算财政拨款基本支出明细情况。</w:t>
            </w:r>
          </w:p>
        </w:tc>
      </w:tr>
    </w:tbl>
    <w:p>
      <w:pPr>
        <w:rPr>
          <w:rFonts w:hint="eastAsia" w:ascii="仿宋" w:hAnsi="仿宋" w:eastAsia="仿宋" w:cs="仿宋"/>
          <w:sz w:val="32"/>
          <w:szCs w:val="32"/>
        </w:rPr>
        <w:sectPr>
          <w:footerReference r:id="rId9" w:type="default"/>
          <w:pgSz w:w="11906" w:h="16383"/>
          <w:pgMar w:top="720" w:right="1440" w:bottom="720" w:left="1440" w:header="720" w:footer="720" w:gutter="0"/>
          <w:pgBorders>
            <w:top w:val="none" w:sz="0" w:space="0"/>
            <w:left w:val="none" w:sz="0" w:space="0"/>
            <w:bottom w:val="none" w:sz="0" w:space="0"/>
            <w:right w:val="none" w:sz="0" w:space="0"/>
          </w:pgBorders>
          <w:cols w:space="720" w:num="1"/>
        </w:sectPr>
      </w:pPr>
    </w:p>
    <w:p>
      <w:pPr>
        <w:widowControl/>
        <w:spacing w:before="240" w:after="240"/>
        <w:jc w:val="left"/>
        <w:rPr>
          <w:rFonts w:hint="eastAsia" w:ascii="仿宋" w:hAnsi="仿宋" w:eastAsia="仿宋" w:cs="仿宋"/>
          <w:vanish/>
          <w:kern w:val="0"/>
          <w:sz w:val="32"/>
          <w:szCs w:val="32"/>
        </w:rPr>
      </w:pPr>
      <w:r>
        <w:rPr>
          <w:rFonts w:hint="eastAsia" w:ascii="仿宋" w:hAnsi="仿宋" w:eastAsia="仿宋" w:cs="仿宋"/>
          <w:vanish/>
          <w:kern w:val="0"/>
          <w:sz w:val="32"/>
          <w:szCs w:val="32"/>
        </w:rPr>
        <w:t>word horizontal layout</w:t>
      </w:r>
    </w:p>
    <w:p>
      <w:pPr>
        <w:widowControl/>
        <w:jc w:val="left"/>
        <w:rPr>
          <w:rFonts w:hint="eastAsia" w:ascii="仿宋" w:hAnsi="仿宋" w:eastAsia="仿宋" w:cs="仿宋"/>
          <w:b/>
          <w:bCs/>
          <w:kern w:val="0"/>
          <w:sz w:val="32"/>
          <w:szCs w:val="32"/>
        </w:rPr>
      </w:pPr>
      <w:r>
        <w:rPr>
          <w:rFonts w:hint="eastAsia" w:ascii="仿宋" w:hAnsi="仿宋" w:eastAsia="仿宋" w:cs="仿宋"/>
          <w:kern w:val="0"/>
          <w:sz w:val="32"/>
          <w:szCs w:val="32"/>
        </w:rPr>
        <w:t> </w:t>
      </w:r>
      <w:bookmarkStart w:id="53" w:name="_Toc256000075"/>
      <w:bookmarkStart w:id="54" w:name="_Toc256000013"/>
      <w:bookmarkStart w:id="55" w:name="_Toc256000044"/>
      <w:bookmarkStart w:id="56" w:name="_Toc256000106"/>
      <w:r>
        <w:rPr>
          <w:rFonts w:hint="eastAsia" w:ascii="仿宋" w:hAnsi="仿宋" w:eastAsia="仿宋" w:cs="仿宋"/>
          <w:b/>
          <w:spacing w:val="0"/>
          <w:sz w:val="32"/>
          <w:szCs w:val="32"/>
        </w:rPr>
        <w:t>七、一般公共预算财政拨款“三公”经费支出决算表</w:t>
      </w:r>
      <w:bookmarkEnd w:id="53"/>
      <w:bookmarkEnd w:id="54"/>
      <w:bookmarkEnd w:id="55"/>
      <w:bookmarkEnd w:id="56"/>
    </w:p>
    <w:tbl>
      <w:tblPr>
        <w:tblStyle w:val="23"/>
        <w:tblW w:w="9066" w:type="dxa"/>
        <w:jc w:val="center"/>
        <w:tblInd w:w="0" w:type="dxa"/>
        <w:tblLayout w:type="fixed"/>
        <w:tblCellMar>
          <w:top w:w="15" w:type="dxa"/>
          <w:left w:w="15" w:type="dxa"/>
          <w:bottom w:w="15" w:type="dxa"/>
          <w:right w:w="15" w:type="dxa"/>
        </w:tblCellMar>
      </w:tblPr>
      <w:tblGrid>
        <w:gridCol w:w="755"/>
        <w:gridCol w:w="755"/>
        <w:gridCol w:w="755"/>
        <w:gridCol w:w="755"/>
        <w:gridCol w:w="756"/>
        <w:gridCol w:w="755"/>
        <w:gridCol w:w="755"/>
        <w:gridCol w:w="756"/>
        <w:gridCol w:w="1"/>
        <w:gridCol w:w="755"/>
        <w:gridCol w:w="1"/>
        <w:gridCol w:w="755"/>
        <w:gridCol w:w="755"/>
        <w:gridCol w:w="757"/>
      </w:tblGrid>
      <w:tr>
        <w:tblPrEx>
          <w:tblLayout w:type="fixed"/>
          <w:tblCellMar>
            <w:top w:w="15" w:type="dxa"/>
            <w:left w:w="15" w:type="dxa"/>
            <w:bottom w:w="15" w:type="dxa"/>
            <w:right w:w="15" w:type="dxa"/>
          </w:tblCellMar>
        </w:tblPrEx>
        <w:trPr>
          <w:trHeight w:val="0" w:hRule="atLeast"/>
          <w:tblHeader/>
          <w:jc w:val="center"/>
        </w:trPr>
        <w:tc>
          <w:tcPr>
            <w:tcW w:w="9066" w:type="dxa"/>
            <w:gridSpan w:val="14"/>
            <w:noWrap w:val="0"/>
            <w:tcMar>
              <w:top w:w="20" w:type="dxa"/>
              <w:left w:w="20" w:type="dxa"/>
              <w:bottom w:w="20" w:type="dxa"/>
              <w:right w:w="20" w:type="dxa"/>
            </w:tcMar>
            <w:vAlign w:val="center"/>
          </w:tcPr>
          <w:p>
            <w:pPr>
              <w:widowControl/>
              <w:spacing w:line="900" w:lineRule="atLeast"/>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32"/>
                <w:szCs w:val="32"/>
              </w:rPr>
              <w:t>一般公共预算财政拨款“三公”经费支出决算</w:t>
            </w:r>
          </w:p>
        </w:tc>
      </w:tr>
      <w:tr>
        <w:tblPrEx>
          <w:tblLayout w:type="fixed"/>
          <w:tblCellMar>
            <w:top w:w="15" w:type="dxa"/>
            <w:left w:w="15" w:type="dxa"/>
            <w:bottom w:w="15" w:type="dxa"/>
            <w:right w:w="15" w:type="dxa"/>
          </w:tblCellMar>
        </w:tblPrEx>
        <w:trPr>
          <w:trHeight w:val="0" w:hRule="atLeast"/>
          <w:jc w:val="center"/>
        </w:trPr>
        <w:tc>
          <w:tcPr>
            <w:tcW w:w="4531" w:type="dxa"/>
            <w:gridSpan w:val="6"/>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单位：厦门市高殿中心小学</w:t>
            </w:r>
          </w:p>
        </w:tc>
        <w:tc>
          <w:tcPr>
            <w:tcW w:w="1512"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2024年度</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w:t>
            </w:r>
          </w:p>
        </w:tc>
        <w:tc>
          <w:tcPr>
            <w:tcW w:w="2267"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金额单位：万元</w:t>
            </w:r>
          </w:p>
        </w:tc>
      </w:tr>
      <w:tr>
        <w:tblPrEx>
          <w:tblLayout w:type="fixed"/>
          <w:tblCellMar>
            <w:top w:w="15" w:type="dxa"/>
            <w:left w:w="15" w:type="dxa"/>
            <w:bottom w:w="15" w:type="dxa"/>
            <w:right w:w="15" w:type="dxa"/>
          </w:tblCellMar>
        </w:tblPrEx>
        <w:trPr>
          <w:trHeight w:val="0" w:hRule="atLeast"/>
          <w:jc w:val="center"/>
        </w:trPr>
        <w:tc>
          <w:tcPr>
            <w:tcW w:w="4531" w:type="dxa"/>
            <w:gridSpan w:val="6"/>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预算数</w:t>
            </w:r>
          </w:p>
        </w:tc>
        <w:tc>
          <w:tcPr>
            <w:tcW w:w="4535" w:type="dxa"/>
            <w:gridSpan w:val="8"/>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决算数</w:t>
            </w:r>
          </w:p>
        </w:tc>
      </w:tr>
      <w:tr>
        <w:tblPrEx>
          <w:tblLayout w:type="fixed"/>
          <w:tblCellMar>
            <w:top w:w="15" w:type="dxa"/>
            <w:left w:w="15" w:type="dxa"/>
            <w:bottom w:w="15" w:type="dxa"/>
            <w:right w:w="15" w:type="dxa"/>
          </w:tblCellMar>
        </w:tblPrEx>
        <w:trPr>
          <w:trHeight w:val="0" w:hRule="atLeast"/>
          <w:tblHeader/>
          <w:jc w:val="center"/>
        </w:trPr>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合计</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因公出国 （境）费</w:t>
            </w:r>
          </w:p>
        </w:tc>
        <w:tc>
          <w:tcPr>
            <w:tcW w:w="2266"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公务用车购置及运行维护费</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公务接待费</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合计</w:t>
            </w:r>
          </w:p>
        </w:tc>
        <w:tc>
          <w:tcPr>
            <w:tcW w:w="75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因公出国 （境）费</w:t>
            </w:r>
          </w:p>
        </w:tc>
        <w:tc>
          <w:tcPr>
            <w:tcW w:w="2267" w:type="dxa"/>
            <w:gridSpan w:val="5"/>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公务用车购置及运行维护费</w:t>
            </w:r>
          </w:p>
        </w:tc>
        <w:tc>
          <w:tcPr>
            <w:tcW w:w="75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公务接待费</w:t>
            </w:r>
          </w:p>
        </w:tc>
      </w:tr>
      <w:tr>
        <w:tblPrEx>
          <w:tblLayout w:type="fixed"/>
          <w:tblCellMar>
            <w:top w:w="15" w:type="dxa"/>
            <w:left w:w="15" w:type="dxa"/>
            <w:bottom w:w="15" w:type="dxa"/>
            <w:right w:w="15" w:type="dxa"/>
          </w:tblCellMar>
        </w:tblPrEx>
        <w:trPr>
          <w:trHeight w:val="312" w:hRule="atLeast"/>
          <w:tblHeader/>
          <w:jc w:val="center"/>
        </w:trPr>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xml:space="preserve">小计 </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公务用车购置费</w:t>
            </w:r>
          </w:p>
        </w:tc>
        <w:tc>
          <w:tcPr>
            <w:tcW w:w="75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公务用车运行维护费</w:t>
            </w: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6"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6" w:type="dxa"/>
            <w:gridSpan w:val="2"/>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 xml:space="preserve">小计 </w:t>
            </w:r>
          </w:p>
        </w:tc>
        <w:tc>
          <w:tcPr>
            <w:tcW w:w="756" w:type="dxa"/>
            <w:gridSpan w:val="2"/>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公务用车购置费</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公务用车运行维护费</w:t>
            </w:r>
          </w:p>
        </w:tc>
        <w:tc>
          <w:tcPr>
            <w:tcW w:w="75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r>
      <w:tr>
        <w:tblPrEx>
          <w:tblLayout w:type="fixed"/>
          <w:tblCellMar>
            <w:top w:w="15" w:type="dxa"/>
            <w:left w:w="15" w:type="dxa"/>
            <w:bottom w:w="15" w:type="dxa"/>
            <w:right w:w="15" w:type="dxa"/>
          </w:tblCellMar>
        </w:tblPrEx>
        <w:trPr>
          <w:trHeight w:val="312" w:hRule="atLeast"/>
          <w:tblHeader/>
          <w:jc w:val="center"/>
        </w:trPr>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6"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6"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c>
          <w:tcPr>
            <w:tcW w:w="75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8"/>
                <w:szCs w:val="28"/>
              </w:rPr>
            </w:pPr>
          </w:p>
        </w:tc>
      </w:tr>
      <w:tr>
        <w:tblPrEx>
          <w:tblLayout w:type="fixed"/>
          <w:tblCellMar>
            <w:top w:w="15" w:type="dxa"/>
            <w:left w:w="15" w:type="dxa"/>
            <w:bottom w:w="15" w:type="dxa"/>
            <w:right w:w="15" w:type="dxa"/>
          </w:tblCellMar>
        </w:tblPrEx>
        <w:trPr>
          <w:trHeight w:val="0" w:hRule="atLeast"/>
          <w:jc w:val="center"/>
        </w:trPr>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2</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3</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4</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5</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6</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7</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8</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9</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11</w:t>
            </w:r>
          </w:p>
        </w:tc>
        <w:tc>
          <w:tcPr>
            <w:tcW w:w="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12</w:t>
            </w:r>
          </w:p>
        </w:tc>
      </w:tr>
      <w:tr>
        <w:tblPrEx>
          <w:tblLayout w:type="fixed"/>
          <w:tblCellMar>
            <w:top w:w="15" w:type="dxa"/>
            <w:left w:w="15" w:type="dxa"/>
            <w:bottom w:w="15" w:type="dxa"/>
            <w:right w:w="15" w:type="dxa"/>
          </w:tblCellMar>
        </w:tblPrEx>
        <w:trPr>
          <w:trHeight w:val="0" w:hRule="atLeast"/>
          <w:jc w:val="center"/>
        </w:trPr>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bookmarkStart w:id="125" w:name="_GoBack" w:colFirst="1" w:colLast="11"/>
            <w:r>
              <w:rPr>
                <w:rFonts w:hint="eastAsia" w:ascii="仿宋" w:hAnsi="仿宋" w:eastAsia="仿宋" w:cs="仿宋"/>
                <w:b w:val="0"/>
                <w:bCs w:val="0"/>
                <w:i w:val="0"/>
                <w:iCs w:val="0"/>
                <w:smallCaps w:val="0"/>
                <w:color w:val="000000"/>
                <w:kern w:val="0"/>
                <w:sz w:val="28"/>
                <w:szCs w:val="28"/>
                <w:lang w:val="en-US" w:eastAsia="zh-CN"/>
              </w:rPr>
              <w:t>0</w:t>
            </w:r>
            <w:r>
              <w:rPr>
                <w:rFonts w:hint="eastAsia" w:ascii="仿宋" w:hAnsi="仿宋" w:eastAsia="仿宋" w:cs="仿宋"/>
                <w:b w:val="0"/>
                <w:bCs w:val="0"/>
                <w:i w:val="0"/>
                <w:iCs w:val="0"/>
                <w:smallCaps w:val="0"/>
                <w:color w:val="000000"/>
                <w:kern w:val="0"/>
                <w:sz w:val="28"/>
                <w:szCs w:val="28"/>
              </w:rPr>
              <w:t> </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lang w:val="en-US" w:eastAsia="zh-CN"/>
              </w:rPr>
              <w:t>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lang w:val="en-US" w:eastAsia="zh-CN"/>
              </w:rPr>
              <w:t>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lang w:val="en-US" w:eastAsia="zh-CN"/>
              </w:rPr>
              <w:t>0</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lang w:val="en-US" w:eastAsia="zh-CN"/>
              </w:rPr>
              <w:t>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lang w:val="en-US" w:eastAsia="zh-CN"/>
              </w:rPr>
              <w:t>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lang w:val="en-US" w:eastAsia="zh-CN"/>
              </w:rPr>
              <w:t>0</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lang w:val="en-US" w:eastAsia="zh-CN"/>
              </w:rPr>
              <w:t>0</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lang w:val="en-US" w:eastAsia="zh-CN"/>
              </w:rPr>
              <w:t>0</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lang w:val="en-US" w:eastAsia="zh-CN"/>
              </w:rPr>
              <w:t>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lang w:val="en-US" w:eastAsia="zh-CN"/>
              </w:rPr>
              <w:t>0</w:t>
            </w:r>
          </w:p>
        </w:tc>
        <w:tc>
          <w:tcPr>
            <w:tcW w:w="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lang w:val="en-US" w:eastAsia="zh-CN"/>
              </w:rPr>
              <w:t>0</w:t>
            </w:r>
          </w:p>
        </w:tc>
      </w:tr>
      <w:bookmarkEnd w:id="125"/>
      <w:tr>
        <w:tblPrEx>
          <w:tblLayout w:type="fixed"/>
          <w:tblCellMar>
            <w:top w:w="15" w:type="dxa"/>
            <w:left w:w="15" w:type="dxa"/>
            <w:bottom w:w="15" w:type="dxa"/>
            <w:right w:w="15" w:type="dxa"/>
          </w:tblCellMar>
        </w:tblPrEx>
        <w:trPr>
          <w:trHeight w:val="0" w:hRule="atLeast"/>
          <w:jc w:val="center"/>
        </w:trPr>
        <w:tc>
          <w:tcPr>
            <w:tcW w:w="9066" w:type="dxa"/>
            <w:gridSpan w:val="14"/>
            <w:noWrap w:val="0"/>
            <w:tcMar>
              <w:top w:w="20" w:type="dxa"/>
              <w:left w:w="20" w:type="dxa"/>
              <w:bottom w:w="20" w:type="dxa"/>
              <w:right w:w="20" w:type="dxa"/>
            </w:tcMar>
            <w:vAlign w:val="center"/>
          </w:tcPr>
          <w:p>
            <w:pPr>
              <w:widowControl/>
              <w:spacing w:line="375" w:lineRule="atLeast"/>
              <w:jc w:val="left"/>
              <w:rPr>
                <w:rFonts w:hint="eastAsia" w:ascii="仿宋" w:hAnsi="仿宋" w:eastAsia="仿宋" w:cs="仿宋"/>
                <w:b w:val="0"/>
                <w:bCs w:val="0"/>
                <w:i w:val="0"/>
                <w:iCs w:val="0"/>
                <w:smallCaps w:val="0"/>
                <w:color w:val="000000"/>
                <w:kern w:val="0"/>
                <w:sz w:val="28"/>
                <w:szCs w:val="28"/>
              </w:rPr>
            </w:pPr>
            <w:r>
              <w:rPr>
                <w:rFonts w:hint="eastAsia" w:ascii="仿宋" w:hAnsi="仿宋" w:eastAsia="仿宋" w:cs="仿宋"/>
                <w:b w:val="0"/>
                <w:bCs w:val="0"/>
                <w:i w:val="0"/>
                <w:iCs w:val="0"/>
                <w:smallCaps w:val="0"/>
                <w:color w:val="000000"/>
                <w:kern w:val="0"/>
                <w:sz w:val="28"/>
                <w:szCs w:val="28"/>
              </w:rPr>
              <w:t>注：本表反映</w:t>
            </w:r>
            <w:r>
              <w:rPr>
                <w:rFonts w:hint="eastAsia" w:ascii="仿宋" w:hAnsi="仿宋" w:eastAsia="仿宋" w:cs="仿宋"/>
                <w:b w:val="0"/>
                <w:bCs w:val="0"/>
                <w:i w:val="0"/>
                <w:iCs w:val="0"/>
                <w:smallCaps w:val="0"/>
                <w:color w:val="000000"/>
                <w:kern w:val="0"/>
                <w:sz w:val="28"/>
                <w:szCs w:val="28"/>
                <w:lang w:eastAsia="zh-CN"/>
              </w:rPr>
              <w:t>单位</w:t>
            </w:r>
            <w:r>
              <w:rPr>
                <w:rFonts w:hint="eastAsia" w:ascii="仿宋" w:hAnsi="仿宋" w:eastAsia="仿宋" w:cs="仿宋"/>
                <w:b w:val="0"/>
                <w:bCs w:val="0"/>
                <w:i w:val="0"/>
                <w:iCs w:val="0"/>
                <w:smallCaps w:val="0"/>
                <w:color w:val="000000"/>
                <w:kern w:val="0"/>
                <w:sz w:val="28"/>
                <w:szCs w:val="28"/>
              </w:rPr>
              <w:t>本年度财政拨款“三公”经费支出预决算情况。其中，预算数为“三公”经费全年预算数，反映按规定程序调整后的预算数；决算数是包括当年财政拨款和以前年度结转资金安排的实际支出。</w:t>
            </w:r>
          </w:p>
        </w:tc>
      </w:tr>
    </w:tbl>
    <w:p>
      <w:pPr>
        <w:pStyle w:val="29"/>
        <w:widowControl/>
        <w:spacing w:before="100" w:after="100"/>
        <w:ind w:left="0" w:right="0" w:firstLine="640" w:firstLineChars="200"/>
        <w:jc w:val="left"/>
        <w:rPr>
          <w:rFonts w:hint="eastAsia" w:ascii="仿宋" w:hAnsi="仿宋" w:eastAsia="仿宋" w:cs="仿宋"/>
          <w:b/>
          <w:spacing w:val="0"/>
          <w:sz w:val="32"/>
          <w:szCs w:val="32"/>
        </w:rPr>
      </w:pPr>
      <w:bookmarkStart w:id="57" w:name="_Toc256000014"/>
      <w:bookmarkStart w:id="58" w:name="_Toc256000076"/>
      <w:bookmarkStart w:id="59" w:name="_Toc256000107"/>
      <w:bookmarkStart w:id="60" w:name="_Toc256000045"/>
      <w:r>
        <w:rPr>
          <w:rFonts w:hint="eastAsia" w:ascii="仿宋" w:hAnsi="仿宋" w:eastAsia="仿宋" w:cs="仿宋"/>
          <w:b w:val="0"/>
          <w:bCs w:val="0"/>
          <w:i w:val="0"/>
          <w:iCs w:val="0"/>
          <w:smallCaps w:val="0"/>
          <w:color w:val="000000"/>
          <w:kern w:val="0"/>
          <w:sz w:val="32"/>
          <w:szCs w:val="32"/>
          <w:lang w:eastAsia="zh-CN"/>
        </w:rPr>
        <w:t>本单位</w:t>
      </w:r>
      <w:r>
        <w:rPr>
          <w:rFonts w:hint="eastAsia" w:ascii="仿宋" w:hAnsi="仿宋" w:eastAsia="仿宋" w:cs="仿宋"/>
          <w:b w:val="0"/>
          <w:bCs w:val="0"/>
          <w:i w:val="0"/>
          <w:iCs w:val="0"/>
          <w:smallCaps w:val="0"/>
          <w:color w:val="000000"/>
          <w:kern w:val="0"/>
          <w:sz w:val="32"/>
          <w:szCs w:val="32"/>
          <w:lang w:val="en-US" w:eastAsia="zh-CN"/>
        </w:rPr>
        <w:t>2024年度没有使用一般公共预算财政拨款安排的“三公”经费支出。</w:t>
      </w:r>
    </w:p>
    <w:p>
      <w:pPr>
        <w:widowControl/>
        <w:jc w:val="left"/>
        <w:rPr>
          <w:rFonts w:hint="eastAsia" w:ascii="仿宋" w:hAnsi="仿宋" w:eastAsia="仿宋" w:cs="仿宋"/>
          <w:b/>
          <w:bCs/>
          <w:kern w:val="0"/>
          <w:sz w:val="32"/>
          <w:szCs w:val="32"/>
        </w:rPr>
      </w:pPr>
      <w:r>
        <w:rPr>
          <w:rFonts w:hint="eastAsia" w:ascii="仿宋" w:hAnsi="仿宋" w:eastAsia="仿宋" w:cs="仿宋"/>
          <w:b/>
          <w:spacing w:val="0"/>
          <w:sz w:val="32"/>
          <w:szCs w:val="32"/>
        </w:rPr>
        <w:t>八、政府性基金预算财政拨款收入支出决算表</w:t>
      </w:r>
      <w:bookmarkEnd w:id="57"/>
      <w:bookmarkEnd w:id="58"/>
      <w:bookmarkEnd w:id="59"/>
      <w:bookmarkEnd w:id="60"/>
    </w:p>
    <w:tbl>
      <w:tblPr>
        <w:tblStyle w:val="23"/>
        <w:tblW w:w="9066" w:type="dxa"/>
        <w:jc w:val="center"/>
        <w:tblInd w:w="0" w:type="dxa"/>
        <w:tblLayout w:type="fixed"/>
        <w:tblCellMar>
          <w:top w:w="15" w:type="dxa"/>
          <w:left w:w="15" w:type="dxa"/>
          <w:bottom w:w="15" w:type="dxa"/>
          <w:right w:w="15" w:type="dxa"/>
        </w:tblCellMar>
      </w:tblPr>
      <w:tblGrid>
        <w:gridCol w:w="1133"/>
        <w:gridCol w:w="1378"/>
        <w:gridCol w:w="1045"/>
        <w:gridCol w:w="977"/>
        <w:gridCol w:w="1133"/>
        <w:gridCol w:w="1133"/>
        <w:gridCol w:w="1134"/>
        <w:gridCol w:w="1133"/>
      </w:tblGrid>
      <w:tr>
        <w:tblPrEx>
          <w:tblLayout w:type="fixed"/>
          <w:tblCellMar>
            <w:top w:w="15" w:type="dxa"/>
            <w:left w:w="15" w:type="dxa"/>
            <w:bottom w:w="15" w:type="dxa"/>
            <w:right w:w="15" w:type="dxa"/>
          </w:tblCellMar>
        </w:tblPrEx>
        <w:trPr>
          <w:trHeight w:val="0" w:hRule="atLeast"/>
          <w:tblHeader/>
          <w:jc w:val="center"/>
        </w:trPr>
        <w:tc>
          <w:tcPr>
            <w:tcW w:w="9066" w:type="dxa"/>
            <w:gridSpan w:val="8"/>
            <w:noWrap w:val="0"/>
            <w:tcMar>
              <w:top w:w="20" w:type="dxa"/>
              <w:left w:w="20" w:type="dxa"/>
              <w:bottom w:w="20" w:type="dxa"/>
              <w:right w:w="20" w:type="dxa"/>
            </w:tcMar>
            <w:vAlign w:val="center"/>
          </w:tcPr>
          <w:p>
            <w:pPr>
              <w:widowControl/>
              <w:spacing w:line="900" w:lineRule="atLeast"/>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24"/>
                <w:szCs w:val="24"/>
              </w:rPr>
              <w:t>政府性基金预算财政拨款收入支出决算表</w:t>
            </w:r>
          </w:p>
        </w:tc>
      </w:tr>
      <w:tr>
        <w:tblPrEx>
          <w:tblLayout w:type="fixed"/>
          <w:tblCellMar>
            <w:top w:w="15" w:type="dxa"/>
            <w:left w:w="15" w:type="dxa"/>
            <w:bottom w:w="15" w:type="dxa"/>
            <w:right w:w="15" w:type="dxa"/>
          </w:tblCellMar>
        </w:tblPrEx>
        <w:trPr>
          <w:trHeight w:val="0" w:hRule="atLeast"/>
          <w:jc w:val="center"/>
        </w:trPr>
        <w:tc>
          <w:tcPr>
            <w:tcW w:w="4533"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单位：厦门市高殿中心小学</w:t>
            </w:r>
          </w:p>
        </w:tc>
        <w:tc>
          <w:tcPr>
            <w:tcW w:w="226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2024年度</w:t>
            </w:r>
          </w:p>
        </w:tc>
        <w:tc>
          <w:tcPr>
            <w:tcW w:w="2267"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金额单位：万元</w:t>
            </w:r>
          </w:p>
        </w:tc>
      </w:tr>
      <w:tr>
        <w:tblPrEx>
          <w:tblLayout w:type="fixed"/>
          <w:tblCellMar>
            <w:top w:w="15" w:type="dxa"/>
            <w:left w:w="15" w:type="dxa"/>
            <w:bottom w:w="15" w:type="dxa"/>
            <w:right w:w="15" w:type="dxa"/>
          </w:tblCellMar>
        </w:tblPrEx>
        <w:trPr>
          <w:trHeight w:val="0" w:hRule="atLeast"/>
          <w:tblHeader/>
          <w:jc w:val="center"/>
        </w:trPr>
        <w:tc>
          <w:tcPr>
            <w:tcW w:w="2511"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项目</w:t>
            </w:r>
          </w:p>
        </w:tc>
        <w:tc>
          <w:tcPr>
            <w:tcW w:w="104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xml:space="preserve">年初结转和结余 </w:t>
            </w:r>
          </w:p>
        </w:tc>
        <w:tc>
          <w:tcPr>
            <w:tcW w:w="97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本年收入</w:t>
            </w:r>
          </w:p>
        </w:tc>
        <w:tc>
          <w:tcPr>
            <w:tcW w:w="3400"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本年支出</w:t>
            </w: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年末结转和结余</w:t>
            </w:r>
          </w:p>
        </w:tc>
      </w:tr>
      <w:tr>
        <w:tblPrEx>
          <w:tblLayout w:type="fixed"/>
          <w:tblCellMar>
            <w:top w:w="15" w:type="dxa"/>
            <w:left w:w="15" w:type="dxa"/>
            <w:bottom w:w="15" w:type="dxa"/>
            <w:right w:w="15" w:type="dxa"/>
          </w:tblCellMar>
        </w:tblPrEx>
        <w:trPr>
          <w:trHeight w:val="312" w:hRule="atLeast"/>
          <w:tblHeader/>
          <w:jc w:val="center"/>
        </w:trPr>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支出功能分类科目编码</w:t>
            </w:r>
          </w:p>
        </w:tc>
        <w:tc>
          <w:tcPr>
            <w:tcW w:w="137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科目名称</w:t>
            </w:r>
          </w:p>
        </w:tc>
        <w:tc>
          <w:tcPr>
            <w:tcW w:w="104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97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小计</w:t>
            </w: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xml:space="preserve">基本支出 </w:t>
            </w:r>
          </w:p>
        </w:tc>
        <w:tc>
          <w:tcPr>
            <w:tcW w:w="113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项目支出</w:t>
            </w: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r>
      <w:tr>
        <w:tblPrEx>
          <w:tblLayout w:type="fixed"/>
          <w:tblCellMar>
            <w:top w:w="15" w:type="dxa"/>
            <w:left w:w="15" w:type="dxa"/>
            <w:bottom w:w="15" w:type="dxa"/>
            <w:right w:w="15" w:type="dxa"/>
          </w:tblCellMar>
        </w:tblPrEx>
        <w:trPr>
          <w:trHeight w:val="312" w:hRule="atLeast"/>
          <w:tblHeader/>
          <w:jc w:val="center"/>
        </w:trPr>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137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104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97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1134"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24"/>
                <w:szCs w:val="24"/>
              </w:rPr>
            </w:pPr>
          </w:p>
        </w:tc>
      </w:tr>
      <w:tr>
        <w:tblPrEx>
          <w:tblLayout w:type="fixed"/>
          <w:tblCellMar>
            <w:top w:w="15" w:type="dxa"/>
            <w:left w:w="15" w:type="dxa"/>
            <w:bottom w:w="15" w:type="dxa"/>
            <w:right w:w="15" w:type="dxa"/>
          </w:tblCellMar>
        </w:tblPrEx>
        <w:trPr>
          <w:trHeight w:val="0" w:hRule="atLeast"/>
          <w:jc w:val="center"/>
        </w:trPr>
        <w:tc>
          <w:tcPr>
            <w:tcW w:w="2511"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栏次</w:t>
            </w:r>
          </w:p>
        </w:tc>
        <w:tc>
          <w:tcPr>
            <w:tcW w:w="10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1</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4</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5</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6</w:t>
            </w:r>
          </w:p>
        </w:tc>
      </w:tr>
      <w:tr>
        <w:tblPrEx>
          <w:tblLayout w:type="fixed"/>
          <w:tblCellMar>
            <w:top w:w="15" w:type="dxa"/>
            <w:left w:w="15" w:type="dxa"/>
            <w:bottom w:w="15" w:type="dxa"/>
            <w:right w:w="15" w:type="dxa"/>
          </w:tblCellMar>
        </w:tblPrEx>
        <w:trPr>
          <w:trHeight w:val="0" w:hRule="atLeast"/>
          <w:jc w:val="center"/>
        </w:trPr>
        <w:tc>
          <w:tcPr>
            <w:tcW w:w="2511"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合计</w:t>
            </w:r>
          </w:p>
        </w:tc>
        <w:tc>
          <w:tcPr>
            <w:tcW w:w="10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3.95</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3.95</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3.95</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229</w:t>
            </w:r>
          </w:p>
        </w:tc>
        <w:tc>
          <w:tcPr>
            <w:tcW w:w="13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其他支出</w:t>
            </w:r>
          </w:p>
        </w:tc>
        <w:tc>
          <w:tcPr>
            <w:tcW w:w="10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3.95</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3.95</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3.95</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22960</w:t>
            </w:r>
          </w:p>
        </w:tc>
        <w:tc>
          <w:tcPr>
            <w:tcW w:w="13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彩票公益金安排的支出</w:t>
            </w:r>
          </w:p>
        </w:tc>
        <w:tc>
          <w:tcPr>
            <w:tcW w:w="10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3.95</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3.95</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3.95</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2296003</w:t>
            </w:r>
          </w:p>
        </w:tc>
        <w:tc>
          <w:tcPr>
            <w:tcW w:w="137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用于体育事业的彩票公益金支出</w:t>
            </w:r>
          </w:p>
        </w:tc>
        <w:tc>
          <w:tcPr>
            <w:tcW w:w="10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3.95</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3.95</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3.95</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 </w:t>
            </w:r>
          </w:p>
        </w:tc>
      </w:tr>
      <w:tr>
        <w:tblPrEx>
          <w:tblLayout w:type="fixed"/>
          <w:tblCellMar>
            <w:top w:w="15" w:type="dxa"/>
            <w:left w:w="15" w:type="dxa"/>
            <w:bottom w:w="15" w:type="dxa"/>
            <w:right w:w="15" w:type="dxa"/>
          </w:tblCellMar>
        </w:tblPrEx>
        <w:trPr>
          <w:trHeight w:val="0" w:hRule="atLeast"/>
          <w:jc w:val="center"/>
        </w:trPr>
        <w:tc>
          <w:tcPr>
            <w:tcW w:w="9066" w:type="dxa"/>
            <w:gridSpan w:val="8"/>
            <w:noWrap w:val="0"/>
            <w:tcMar>
              <w:top w:w="20" w:type="dxa"/>
              <w:left w:w="20" w:type="dxa"/>
              <w:bottom w:w="20" w:type="dxa"/>
              <w:right w:w="20" w:type="dxa"/>
            </w:tcMar>
            <w:vAlign w:val="center"/>
          </w:tcPr>
          <w:p>
            <w:pPr>
              <w:widowControl/>
              <w:spacing w:line="375" w:lineRule="atLeast"/>
              <w:jc w:val="left"/>
              <w:rPr>
                <w:rFonts w:hint="eastAsia" w:ascii="仿宋" w:hAnsi="仿宋" w:eastAsia="仿宋" w:cs="仿宋"/>
                <w:b w:val="0"/>
                <w:bCs w:val="0"/>
                <w:i w:val="0"/>
                <w:iCs w:val="0"/>
                <w:smallCaps w:val="0"/>
                <w:color w:val="000000"/>
                <w:kern w:val="0"/>
                <w:sz w:val="24"/>
                <w:szCs w:val="24"/>
              </w:rPr>
            </w:pPr>
            <w:r>
              <w:rPr>
                <w:rFonts w:hint="eastAsia" w:ascii="仿宋" w:hAnsi="仿宋" w:eastAsia="仿宋" w:cs="仿宋"/>
                <w:b w:val="0"/>
                <w:bCs w:val="0"/>
                <w:i w:val="0"/>
                <w:iCs w:val="0"/>
                <w:smallCaps w:val="0"/>
                <w:color w:val="000000"/>
                <w:kern w:val="0"/>
                <w:sz w:val="24"/>
                <w:szCs w:val="24"/>
              </w:rPr>
              <w:t>注：本表反映</w:t>
            </w:r>
            <w:r>
              <w:rPr>
                <w:rFonts w:hint="eastAsia" w:ascii="仿宋" w:hAnsi="仿宋" w:eastAsia="仿宋" w:cs="仿宋"/>
                <w:b w:val="0"/>
                <w:bCs w:val="0"/>
                <w:i w:val="0"/>
                <w:iCs w:val="0"/>
                <w:smallCaps w:val="0"/>
                <w:color w:val="000000"/>
                <w:kern w:val="0"/>
                <w:sz w:val="24"/>
                <w:szCs w:val="24"/>
                <w:lang w:eastAsia="zh-CN"/>
              </w:rPr>
              <w:t>单位</w:t>
            </w:r>
            <w:r>
              <w:rPr>
                <w:rFonts w:hint="eastAsia" w:ascii="仿宋" w:hAnsi="仿宋" w:eastAsia="仿宋" w:cs="仿宋"/>
                <w:b w:val="0"/>
                <w:bCs w:val="0"/>
                <w:i w:val="0"/>
                <w:iCs w:val="0"/>
                <w:smallCaps w:val="0"/>
                <w:color w:val="000000"/>
                <w:kern w:val="0"/>
                <w:sz w:val="24"/>
                <w:szCs w:val="24"/>
              </w:rPr>
              <w:t>本年度政府性基金预算财政拨款收入、支出及结转和结余情况。</w:t>
            </w:r>
          </w:p>
        </w:tc>
      </w:tr>
    </w:tbl>
    <w:p>
      <w:pPr>
        <w:rPr>
          <w:rFonts w:hint="eastAsia" w:ascii="仿宋" w:hAnsi="仿宋" w:eastAsia="仿宋" w:cs="仿宋"/>
          <w:sz w:val="32"/>
          <w:szCs w:val="32"/>
        </w:rPr>
        <w:sectPr>
          <w:footerReference r:id="rId10" w:type="default"/>
          <w:pgSz w:w="11906" w:h="16383"/>
          <w:pgMar w:top="720" w:right="1440" w:bottom="720" w:left="1440" w:header="720" w:footer="720" w:gutter="0"/>
          <w:pgBorders>
            <w:top w:val="none" w:sz="0" w:space="0"/>
            <w:left w:val="none" w:sz="0" w:space="0"/>
            <w:bottom w:val="none" w:sz="0" w:space="0"/>
            <w:right w:val="none" w:sz="0" w:space="0"/>
          </w:pgBorders>
          <w:cols w:space="720" w:num="1"/>
        </w:sectPr>
      </w:pPr>
    </w:p>
    <w:p>
      <w:pPr>
        <w:widowControl/>
        <w:spacing w:before="240" w:after="240"/>
        <w:jc w:val="left"/>
        <w:rPr>
          <w:rFonts w:hint="eastAsia" w:ascii="仿宋" w:hAnsi="仿宋" w:eastAsia="仿宋" w:cs="仿宋"/>
          <w:vanish/>
          <w:kern w:val="0"/>
          <w:sz w:val="32"/>
          <w:szCs w:val="32"/>
        </w:rPr>
      </w:pPr>
      <w:r>
        <w:rPr>
          <w:rFonts w:hint="eastAsia" w:ascii="仿宋" w:hAnsi="仿宋" w:eastAsia="仿宋" w:cs="仿宋"/>
          <w:vanish/>
          <w:kern w:val="0"/>
          <w:sz w:val="32"/>
          <w:szCs w:val="32"/>
        </w:rPr>
        <w:t>word horizontal layout</w:t>
      </w:r>
    </w:p>
    <w:p>
      <w:pPr>
        <w:widowControl/>
        <w:jc w:val="left"/>
        <w:rPr>
          <w:rFonts w:hint="eastAsia" w:ascii="仿宋" w:hAnsi="仿宋" w:eastAsia="仿宋" w:cs="仿宋"/>
          <w:b/>
          <w:bCs/>
          <w:kern w:val="0"/>
          <w:sz w:val="32"/>
          <w:szCs w:val="32"/>
        </w:rPr>
      </w:pPr>
      <w:r>
        <w:rPr>
          <w:rFonts w:hint="eastAsia" w:ascii="仿宋" w:hAnsi="仿宋" w:eastAsia="仿宋" w:cs="仿宋"/>
          <w:kern w:val="0"/>
          <w:sz w:val="32"/>
          <w:szCs w:val="32"/>
        </w:rPr>
        <w:t> </w:t>
      </w:r>
      <w:bookmarkStart w:id="61" w:name="_Toc256000015"/>
      <w:bookmarkStart w:id="62" w:name="_Toc256000108"/>
      <w:bookmarkStart w:id="63" w:name="_Toc256000077"/>
      <w:bookmarkStart w:id="64" w:name="_Toc256000046"/>
      <w:r>
        <w:rPr>
          <w:rFonts w:hint="eastAsia" w:ascii="仿宋" w:hAnsi="仿宋" w:eastAsia="仿宋" w:cs="仿宋"/>
          <w:b/>
          <w:spacing w:val="0"/>
          <w:sz w:val="32"/>
          <w:szCs w:val="32"/>
        </w:rPr>
        <w:t>九、国有资本经营预算财政拨款支出决算表</w:t>
      </w:r>
      <w:bookmarkEnd w:id="61"/>
      <w:bookmarkEnd w:id="62"/>
      <w:bookmarkEnd w:id="63"/>
      <w:bookmarkEnd w:id="64"/>
    </w:p>
    <w:tbl>
      <w:tblPr>
        <w:tblStyle w:val="23"/>
        <w:tblW w:w="9066" w:type="dxa"/>
        <w:jc w:val="center"/>
        <w:tblInd w:w="0" w:type="dxa"/>
        <w:tblLayout w:type="fixed"/>
        <w:tblCellMar>
          <w:top w:w="15" w:type="dxa"/>
          <w:left w:w="15" w:type="dxa"/>
          <w:bottom w:w="15" w:type="dxa"/>
          <w:right w:w="15" w:type="dxa"/>
        </w:tblCellMar>
      </w:tblPr>
      <w:tblGrid>
        <w:gridCol w:w="1813"/>
        <w:gridCol w:w="2480"/>
        <w:gridCol w:w="1146"/>
        <w:gridCol w:w="1134"/>
        <w:gridCol w:w="2493"/>
      </w:tblGrid>
      <w:tr>
        <w:tblPrEx>
          <w:tblLayout w:type="fixed"/>
          <w:tblCellMar>
            <w:top w:w="15" w:type="dxa"/>
            <w:left w:w="15" w:type="dxa"/>
            <w:bottom w:w="15" w:type="dxa"/>
            <w:right w:w="15" w:type="dxa"/>
          </w:tblCellMar>
        </w:tblPrEx>
        <w:trPr>
          <w:trHeight w:val="0" w:hRule="atLeast"/>
          <w:tblHeader/>
          <w:jc w:val="center"/>
        </w:trPr>
        <w:tc>
          <w:tcPr>
            <w:tcW w:w="9066" w:type="dxa"/>
            <w:gridSpan w:val="5"/>
            <w:noWrap w:val="0"/>
            <w:tcMar>
              <w:top w:w="20" w:type="dxa"/>
              <w:left w:w="20" w:type="dxa"/>
              <w:bottom w:w="20" w:type="dxa"/>
              <w:right w:w="20" w:type="dxa"/>
            </w:tcMar>
            <w:vAlign w:val="center"/>
          </w:tcPr>
          <w:p>
            <w:pPr>
              <w:widowControl/>
              <w:spacing w:line="900" w:lineRule="atLeast"/>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国有资本经营预算财政拨款支出决算表</w:t>
            </w:r>
          </w:p>
        </w:tc>
      </w:tr>
      <w:tr>
        <w:tblPrEx>
          <w:tblLayout w:type="fixed"/>
          <w:tblCellMar>
            <w:top w:w="15" w:type="dxa"/>
            <w:left w:w="15" w:type="dxa"/>
            <w:bottom w:w="15" w:type="dxa"/>
            <w:right w:w="15" w:type="dxa"/>
          </w:tblCellMar>
        </w:tblPrEx>
        <w:trPr>
          <w:trHeight w:val="0" w:hRule="atLeast"/>
          <w:jc w:val="center"/>
        </w:trPr>
        <w:tc>
          <w:tcPr>
            <w:tcW w:w="4293"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单位：厦门市高殿中心小学</w:t>
            </w:r>
          </w:p>
        </w:tc>
        <w:tc>
          <w:tcPr>
            <w:tcW w:w="2280"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2024年度</w:t>
            </w:r>
          </w:p>
        </w:tc>
        <w:tc>
          <w:tcPr>
            <w:tcW w:w="249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金额单位：万元</w:t>
            </w:r>
          </w:p>
        </w:tc>
      </w:tr>
      <w:tr>
        <w:tblPrEx>
          <w:tblLayout w:type="fixed"/>
          <w:tblCellMar>
            <w:top w:w="15" w:type="dxa"/>
            <w:left w:w="15" w:type="dxa"/>
            <w:bottom w:w="15" w:type="dxa"/>
            <w:right w:w="15" w:type="dxa"/>
          </w:tblCellMar>
        </w:tblPrEx>
        <w:trPr>
          <w:trHeight w:val="0" w:hRule="atLeast"/>
          <w:jc w:val="center"/>
        </w:trPr>
        <w:tc>
          <w:tcPr>
            <w:tcW w:w="4293"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项目</w:t>
            </w:r>
          </w:p>
        </w:tc>
        <w:tc>
          <w:tcPr>
            <w:tcW w:w="4773"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本年支出</w:t>
            </w:r>
          </w:p>
        </w:tc>
      </w:tr>
      <w:tr>
        <w:tblPrEx>
          <w:tblLayout w:type="fixed"/>
          <w:tblCellMar>
            <w:top w:w="15" w:type="dxa"/>
            <w:left w:w="15" w:type="dxa"/>
            <w:bottom w:w="15" w:type="dxa"/>
            <w:right w:w="15" w:type="dxa"/>
          </w:tblCellMar>
        </w:tblPrEx>
        <w:trPr>
          <w:trHeight w:val="312" w:hRule="atLeast"/>
          <w:tblHeader/>
          <w:jc w:val="center"/>
        </w:trPr>
        <w:tc>
          <w:tcPr>
            <w:tcW w:w="181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科目代码</w:t>
            </w:r>
          </w:p>
        </w:tc>
        <w:tc>
          <w:tcPr>
            <w:tcW w:w="248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科目名称</w:t>
            </w:r>
          </w:p>
        </w:tc>
        <w:tc>
          <w:tcPr>
            <w:tcW w:w="114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合计</w:t>
            </w:r>
          </w:p>
        </w:tc>
        <w:tc>
          <w:tcPr>
            <w:tcW w:w="113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基本支出</w:t>
            </w:r>
          </w:p>
        </w:tc>
        <w:tc>
          <w:tcPr>
            <w:tcW w:w="249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项目支出</w:t>
            </w:r>
          </w:p>
        </w:tc>
      </w:tr>
      <w:tr>
        <w:tblPrEx>
          <w:tblLayout w:type="fixed"/>
          <w:tblCellMar>
            <w:top w:w="15" w:type="dxa"/>
            <w:left w:w="15" w:type="dxa"/>
            <w:bottom w:w="15" w:type="dxa"/>
            <w:right w:w="15" w:type="dxa"/>
          </w:tblCellMar>
        </w:tblPrEx>
        <w:trPr>
          <w:trHeight w:val="312" w:hRule="atLeast"/>
          <w:tblHeader/>
          <w:jc w:val="center"/>
        </w:trPr>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2480"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1146"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1134"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249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r>
      <w:tr>
        <w:tblPrEx>
          <w:tblLayout w:type="fixed"/>
          <w:tblCellMar>
            <w:top w:w="15" w:type="dxa"/>
            <w:left w:w="15" w:type="dxa"/>
            <w:bottom w:w="15" w:type="dxa"/>
            <w:right w:w="15" w:type="dxa"/>
          </w:tblCellMar>
        </w:tblPrEx>
        <w:trPr>
          <w:trHeight w:val="312" w:hRule="atLeast"/>
          <w:tblHeader/>
          <w:jc w:val="center"/>
        </w:trPr>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2480"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1146"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1134"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c>
          <w:tcPr>
            <w:tcW w:w="249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仿宋" w:hAnsi="仿宋" w:eastAsia="仿宋" w:cs="仿宋"/>
                <w:b w:val="0"/>
                <w:bCs w:val="0"/>
                <w:i w:val="0"/>
                <w:iCs w:val="0"/>
                <w:smallCaps w:val="0"/>
                <w:color w:val="000000"/>
                <w:kern w:val="0"/>
                <w:sz w:val="32"/>
                <w:szCs w:val="32"/>
              </w:rPr>
            </w:pPr>
          </w:p>
        </w:tc>
      </w:tr>
      <w:tr>
        <w:tblPrEx>
          <w:tblLayout w:type="fixed"/>
          <w:tblCellMar>
            <w:top w:w="15" w:type="dxa"/>
            <w:left w:w="15" w:type="dxa"/>
            <w:bottom w:w="15" w:type="dxa"/>
            <w:right w:w="15" w:type="dxa"/>
          </w:tblCellMar>
        </w:tblPrEx>
        <w:trPr>
          <w:trHeight w:val="0" w:hRule="atLeast"/>
          <w:jc w:val="center"/>
        </w:trPr>
        <w:tc>
          <w:tcPr>
            <w:tcW w:w="4293"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栏次</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1</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2</w:t>
            </w:r>
          </w:p>
        </w:tc>
        <w:tc>
          <w:tcPr>
            <w:tcW w:w="24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3</w:t>
            </w:r>
          </w:p>
        </w:tc>
      </w:tr>
      <w:tr>
        <w:tblPrEx>
          <w:tblLayout w:type="fixed"/>
          <w:tblCellMar>
            <w:top w:w="15" w:type="dxa"/>
            <w:left w:w="15" w:type="dxa"/>
            <w:bottom w:w="15" w:type="dxa"/>
            <w:right w:w="15" w:type="dxa"/>
          </w:tblCellMar>
        </w:tblPrEx>
        <w:trPr>
          <w:trHeight w:val="0" w:hRule="atLeast"/>
          <w:jc w:val="center"/>
        </w:trPr>
        <w:tc>
          <w:tcPr>
            <w:tcW w:w="4293"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合计</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24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24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c>
          <w:tcPr>
            <w:tcW w:w="249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 </w:t>
            </w:r>
          </w:p>
        </w:tc>
      </w:tr>
      <w:tr>
        <w:tblPrEx>
          <w:tblLayout w:type="fixed"/>
          <w:tblCellMar>
            <w:top w:w="15" w:type="dxa"/>
            <w:left w:w="15" w:type="dxa"/>
            <w:bottom w:w="15" w:type="dxa"/>
            <w:right w:w="15" w:type="dxa"/>
          </w:tblCellMar>
        </w:tblPrEx>
        <w:trPr>
          <w:trHeight w:val="0" w:hRule="atLeast"/>
          <w:jc w:val="center"/>
        </w:trPr>
        <w:tc>
          <w:tcPr>
            <w:tcW w:w="9066" w:type="dxa"/>
            <w:gridSpan w:val="5"/>
            <w:noWrap w:val="0"/>
            <w:tcMar>
              <w:top w:w="20" w:type="dxa"/>
              <w:left w:w="20" w:type="dxa"/>
              <w:bottom w:w="20" w:type="dxa"/>
              <w:right w:w="20" w:type="dxa"/>
            </w:tcMar>
            <w:vAlign w:val="center"/>
          </w:tcPr>
          <w:p>
            <w:pPr>
              <w:widowControl/>
              <w:spacing w:line="375" w:lineRule="atLeast"/>
              <w:jc w:val="left"/>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注：本表反映</w:t>
            </w:r>
            <w:r>
              <w:rPr>
                <w:rFonts w:hint="eastAsia" w:ascii="仿宋" w:hAnsi="仿宋" w:eastAsia="仿宋" w:cs="仿宋"/>
                <w:b w:val="0"/>
                <w:bCs w:val="0"/>
                <w:i w:val="0"/>
                <w:iCs w:val="0"/>
                <w:smallCaps w:val="0"/>
                <w:color w:val="000000"/>
                <w:kern w:val="0"/>
                <w:sz w:val="32"/>
                <w:szCs w:val="32"/>
                <w:lang w:eastAsia="zh-CN"/>
              </w:rPr>
              <w:t>单位</w:t>
            </w:r>
            <w:r>
              <w:rPr>
                <w:rFonts w:hint="eastAsia" w:ascii="仿宋" w:hAnsi="仿宋" w:eastAsia="仿宋" w:cs="仿宋"/>
                <w:b w:val="0"/>
                <w:bCs w:val="0"/>
                <w:i w:val="0"/>
                <w:iCs w:val="0"/>
                <w:smallCaps w:val="0"/>
                <w:color w:val="000000"/>
                <w:kern w:val="0"/>
                <w:sz w:val="32"/>
                <w:szCs w:val="32"/>
              </w:rPr>
              <w:t>本年度国有资本经营预算财政拨款支出情况。</w:t>
            </w:r>
          </w:p>
        </w:tc>
      </w:tr>
    </w:tbl>
    <w:p>
      <w:pPr>
        <w:pStyle w:val="29"/>
        <w:widowControl/>
        <w:spacing w:before="240" w:after="240"/>
        <w:ind w:firstLine="640" w:firstLineChars="200"/>
        <w:jc w:val="both"/>
        <w:rPr>
          <w:rFonts w:ascii="黑体" w:hAnsi="黑体" w:eastAsia="黑体" w:cs="黑体"/>
          <w:kern w:val="0"/>
          <w:sz w:val="36"/>
          <w:szCs w:val="36"/>
        </w:rPr>
      </w:pPr>
      <w:r>
        <w:rPr>
          <w:rFonts w:hint="eastAsia" w:ascii="仿宋" w:hAnsi="仿宋" w:eastAsia="仿宋" w:cs="仿宋"/>
          <w:kern w:val="0"/>
          <w:sz w:val="32"/>
          <w:szCs w:val="32"/>
        </w:rPr>
        <w:t>本</w:t>
      </w:r>
      <w:r>
        <w:rPr>
          <w:rFonts w:hint="eastAsia" w:ascii="仿宋" w:hAnsi="仿宋" w:eastAsia="仿宋" w:cs="仿宋"/>
          <w:kern w:val="0"/>
          <w:sz w:val="32"/>
          <w:szCs w:val="32"/>
          <w:lang w:eastAsia="zh-CN"/>
        </w:rPr>
        <w:t>单位</w:t>
      </w: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年度没有使用国有资本经营预算财政拨款安排的</w:t>
      </w:r>
      <w:r>
        <w:rPr>
          <w:rFonts w:hint="eastAsia" w:ascii="仿宋" w:hAnsi="仿宋" w:eastAsia="仿宋" w:cs="仿宋"/>
          <w:kern w:val="0"/>
          <w:sz w:val="32"/>
          <w:szCs w:val="32"/>
          <w:lang w:eastAsia="zh-CN"/>
        </w:rPr>
        <w:t>支出。</w:t>
      </w:r>
    </w:p>
    <w:p>
      <w:pPr>
        <w:pStyle w:val="4"/>
        <w:keepNext w:val="0"/>
        <w:keepLines w:val="0"/>
        <w:spacing w:before="100" w:after="100" w:line="240" w:lineRule="auto"/>
        <w:ind w:left="0" w:right="0" w:firstLine="0" w:firstLineChars="0"/>
        <w:rPr>
          <w:rFonts w:hint="eastAsia" w:ascii="仿宋" w:hAnsi="仿宋" w:eastAsia="仿宋" w:cs="仿宋"/>
          <w:b/>
          <w:spacing w:val="0"/>
          <w:sz w:val="32"/>
          <w:szCs w:val="32"/>
        </w:rPr>
      </w:pPr>
      <w:bookmarkStart w:id="65" w:name="_Toc256000016"/>
      <w:bookmarkStart w:id="66" w:name="_Toc256000109"/>
      <w:bookmarkStart w:id="67" w:name="_Toc256000078"/>
      <w:bookmarkStart w:id="68" w:name="_Toc256000047"/>
    </w:p>
    <w:p>
      <w:pPr>
        <w:pStyle w:val="4"/>
        <w:keepNext w:val="0"/>
        <w:keepLines w:val="0"/>
        <w:spacing w:before="100" w:after="100" w:line="240" w:lineRule="auto"/>
        <w:ind w:left="0" w:right="0" w:firstLine="0" w:firstLineChars="0"/>
        <w:jc w:val="center"/>
        <w:rPr>
          <w:rFonts w:hint="eastAsia" w:ascii="仿宋" w:hAnsi="仿宋" w:eastAsia="仿宋" w:cs="仿宋"/>
          <w:b/>
          <w:bCs/>
          <w:kern w:val="0"/>
          <w:sz w:val="32"/>
          <w:szCs w:val="32"/>
        </w:rPr>
      </w:pPr>
      <w:r>
        <w:rPr>
          <w:rFonts w:hint="eastAsia" w:ascii="仿宋" w:hAnsi="仿宋" w:eastAsia="仿宋" w:cs="仿宋"/>
          <w:b/>
          <w:spacing w:val="0"/>
          <w:sz w:val="32"/>
          <w:szCs w:val="32"/>
        </w:rPr>
        <w:t>第三部分</w:t>
      </w:r>
      <w:bookmarkEnd w:id="65"/>
      <w:bookmarkEnd w:id="66"/>
      <w:bookmarkEnd w:id="67"/>
      <w:bookmarkEnd w:id="68"/>
      <w:r>
        <w:rPr>
          <w:rFonts w:hint="eastAsia" w:ascii="仿宋" w:hAnsi="仿宋" w:eastAsia="仿宋" w:cs="仿宋"/>
          <w:b/>
          <w:spacing w:val="0"/>
          <w:sz w:val="32"/>
          <w:szCs w:val="32"/>
        </w:rPr>
        <w:t> </w:t>
      </w:r>
      <w:bookmarkStart w:id="69" w:name="_Toc256000048"/>
      <w:bookmarkStart w:id="70" w:name="_Toc256000017"/>
      <w:bookmarkStart w:id="71" w:name="_Toc256000110"/>
      <w:bookmarkStart w:id="72" w:name="_Toc256000079"/>
      <w:r>
        <w:rPr>
          <w:rFonts w:hint="eastAsia" w:ascii="仿宋" w:hAnsi="仿宋" w:cs="仿宋"/>
          <w:b/>
          <w:spacing w:val="0"/>
          <w:sz w:val="32"/>
          <w:szCs w:val="32"/>
          <w:lang w:val="en-US" w:eastAsia="zh-CN"/>
        </w:rPr>
        <w:t xml:space="preserve">  </w:t>
      </w:r>
      <w:r>
        <w:rPr>
          <w:rFonts w:hint="eastAsia" w:ascii="仿宋" w:hAnsi="仿宋" w:eastAsia="仿宋" w:cs="仿宋"/>
          <w:b/>
          <w:spacing w:val="0"/>
          <w:sz w:val="32"/>
          <w:szCs w:val="32"/>
        </w:rPr>
        <w:t>2024年度决算情况说明</w:t>
      </w:r>
      <w:bookmarkEnd w:id="69"/>
      <w:bookmarkEnd w:id="70"/>
      <w:bookmarkEnd w:id="71"/>
      <w:bookmarkEnd w:id="72"/>
    </w:p>
    <w:p>
      <w:pPr>
        <w:pStyle w:val="6"/>
        <w:keepNext w:val="0"/>
        <w:keepLines w:val="0"/>
        <w:spacing w:before="100" w:after="100" w:line="600" w:lineRule="atLeast"/>
        <w:ind w:left="0" w:leftChars="0" w:right="0" w:firstLine="643" w:firstLineChars="200"/>
        <w:jc w:val="both"/>
        <w:rPr>
          <w:rFonts w:hint="eastAsia" w:ascii="仿宋" w:hAnsi="仿宋" w:eastAsia="仿宋" w:cs="仿宋"/>
          <w:b/>
          <w:bCs/>
          <w:kern w:val="0"/>
          <w:sz w:val="32"/>
          <w:szCs w:val="32"/>
        </w:rPr>
      </w:pPr>
      <w:bookmarkStart w:id="73" w:name="_Toc256000049"/>
      <w:bookmarkStart w:id="74" w:name="_Toc256000080"/>
      <w:bookmarkStart w:id="75" w:name="_Toc256000018"/>
      <w:bookmarkStart w:id="76" w:name="_Toc256000111"/>
      <w:r>
        <w:rPr>
          <w:rFonts w:hint="eastAsia" w:ascii="仿宋" w:hAnsi="仿宋" w:eastAsia="仿宋" w:cs="仿宋"/>
          <w:b/>
          <w:spacing w:val="0"/>
          <w:sz w:val="32"/>
          <w:szCs w:val="32"/>
        </w:rPr>
        <w:t>一、收入支出决算总体情况说明</w:t>
      </w:r>
      <w:bookmarkEnd w:id="73"/>
      <w:bookmarkEnd w:id="74"/>
      <w:bookmarkEnd w:id="75"/>
      <w:bookmarkEnd w:id="76"/>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（一）收入支出决算总体情况说明</w:t>
      </w:r>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2024年度本单位收入总计3774.09万元，支出总计3774.09万元，与上年决算数相比，各增加172.22万元，各增长4.78%。主要是</w:t>
      </w:r>
      <w:r>
        <w:rPr>
          <w:rFonts w:hint="eastAsia" w:ascii="仿宋" w:hAnsi="仿宋" w:eastAsia="仿宋" w:cs="仿宋"/>
          <w:kern w:val="0"/>
          <w:sz w:val="32"/>
          <w:szCs w:val="32"/>
        </w:rPr>
        <w:t>学校环境提升建设相关支出</w:t>
      </w:r>
      <w:r>
        <w:rPr>
          <w:rFonts w:hint="eastAsia" w:ascii="仿宋" w:hAnsi="仿宋" w:eastAsia="仿宋" w:cs="仿宋"/>
          <w:spacing w:val="0"/>
          <w:kern w:val="0"/>
          <w:sz w:val="32"/>
          <w:szCs w:val="32"/>
          <w:lang w:val="en-US" w:eastAsia="zh-CN"/>
        </w:rPr>
        <w:t>增加。</w:t>
      </w:r>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（二）收入决算情况说明</w:t>
      </w:r>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2024年度收入3774.09万元，比上年决算数</w:t>
      </w:r>
      <w:r>
        <w:rPr>
          <w:rFonts w:hint="eastAsia" w:ascii="仿宋" w:hAnsi="仿宋" w:eastAsia="仿宋" w:cs="仿宋"/>
          <w:kern w:val="0"/>
          <w:sz w:val="32"/>
          <w:szCs w:val="32"/>
        </w:rPr>
        <w:t>增加</w:t>
      </w:r>
      <w:r>
        <w:rPr>
          <w:rFonts w:hint="eastAsia" w:ascii="仿宋" w:hAnsi="仿宋" w:eastAsia="仿宋" w:cs="仿宋"/>
          <w:spacing w:val="0"/>
          <w:kern w:val="0"/>
          <w:sz w:val="32"/>
          <w:szCs w:val="32"/>
        </w:rPr>
        <w:t>172.22万元，</w:t>
      </w:r>
      <w:r>
        <w:rPr>
          <w:rFonts w:hint="eastAsia" w:ascii="仿宋" w:hAnsi="仿宋" w:eastAsia="仿宋" w:cs="仿宋"/>
          <w:kern w:val="0"/>
          <w:sz w:val="32"/>
          <w:szCs w:val="32"/>
        </w:rPr>
        <w:t>增长</w:t>
      </w:r>
      <w:r>
        <w:rPr>
          <w:rFonts w:hint="eastAsia" w:ascii="仿宋" w:hAnsi="仿宋" w:eastAsia="仿宋" w:cs="仿宋"/>
          <w:spacing w:val="0"/>
          <w:kern w:val="0"/>
          <w:sz w:val="32"/>
          <w:szCs w:val="32"/>
        </w:rPr>
        <w:t>4.78%，具体情况如下：</w:t>
      </w:r>
    </w:p>
    <w:p>
      <w:pPr>
        <w:pStyle w:val="29"/>
        <w:widowControl/>
        <w:spacing w:before="100" w:after="100" w:line="600" w:lineRule="atLeast"/>
        <w:ind w:left="160" w:right="0" w:firstLine="48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1.一般公共预算财政拨款收入3770.14万元。</w:t>
      </w:r>
    </w:p>
    <w:p>
      <w:pPr>
        <w:pStyle w:val="29"/>
        <w:widowControl/>
        <w:spacing w:before="100" w:after="100" w:line="600" w:lineRule="atLeast"/>
        <w:ind w:left="160" w:right="0" w:firstLine="48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2.政府性基金预算财政拨款收入3.95万元。</w:t>
      </w:r>
    </w:p>
    <w:p>
      <w:pPr>
        <w:pStyle w:val="29"/>
        <w:widowControl/>
        <w:spacing w:before="100" w:after="100" w:line="600" w:lineRule="atLeast"/>
        <w:ind w:left="160" w:right="0" w:firstLine="48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3.国有资本经营预算财政拨款收入0万元。</w:t>
      </w:r>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4.上级补助收入0万元。</w:t>
      </w:r>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5.事业收入0万元。</w:t>
      </w:r>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6.经营收入0万元。</w:t>
      </w:r>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7.附属单位上缴收入0万元。</w:t>
      </w:r>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8.其他收入0万元。</w:t>
      </w:r>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（三）支出决算情况说明</w:t>
      </w:r>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2024年度支出3774.09万元，比上年决算数增加172.22万元，增长4.78%，具体情况如下：</w:t>
      </w:r>
    </w:p>
    <w:p>
      <w:pPr>
        <w:pStyle w:val="29"/>
        <w:widowControl/>
        <w:spacing w:before="100" w:after="100" w:line="600" w:lineRule="atLeast"/>
        <w:ind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1.基本支出3456.93万元。其中，人员支出3108.17万元，公用支出348.76万元。</w:t>
      </w:r>
    </w:p>
    <w:p>
      <w:pPr>
        <w:pStyle w:val="29"/>
        <w:widowControl/>
        <w:spacing w:before="240" w:after="240"/>
        <w:ind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2.项目支出317.16万元。</w:t>
      </w:r>
    </w:p>
    <w:p>
      <w:pPr>
        <w:pStyle w:val="29"/>
        <w:widowControl/>
        <w:spacing w:before="100" w:after="100" w:line="600" w:lineRule="atLeast"/>
        <w:ind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3.上缴上级支出0万元。</w:t>
      </w:r>
    </w:p>
    <w:p>
      <w:pPr>
        <w:pStyle w:val="29"/>
        <w:widowControl/>
        <w:spacing w:before="100" w:after="100" w:line="600" w:lineRule="atLeast"/>
        <w:ind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4.经营支出0万元。</w:t>
      </w:r>
    </w:p>
    <w:p>
      <w:pPr>
        <w:pStyle w:val="29"/>
        <w:widowControl/>
        <w:spacing w:before="100" w:after="100" w:line="600" w:lineRule="atLeast"/>
        <w:ind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5.对附属单位补助支出0万元。</w:t>
      </w:r>
    </w:p>
    <w:p>
      <w:pPr>
        <w:pStyle w:val="6"/>
        <w:keepNext w:val="0"/>
        <w:keepLines w:val="0"/>
        <w:spacing w:before="100" w:after="100" w:line="240" w:lineRule="auto"/>
        <w:ind w:left="0" w:right="0" w:firstLine="480" w:firstLineChars="0"/>
        <w:jc w:val="both"/>
        <w:rPr>
          <w:rFonts w:hint="eastAsia" w:ascii="仿宋" w:hAnsi="仿宋" w:eastAsia="仿宋" w:cs="仿宋"/>
          <w:b/>
          <w:bCs/>
          <w:kern w:val="0"/>
          <w:sz w:val="32"/>
          <w:szCs w:val="32"/>
        </w:rPr>
      </w:pPr>
      <w:bookmarkStart w:id="77" w:name="_Toc256000050"/>
      <w:bookmarkStart w:id="78" w:name="_Toc256000019"/>
      <w:bookmarkStart w:id="79" w:name="_Toc256000081"/>
      <w:bookmarkStart w:id="80" w:name="_Toc256000112"/>
      <w:r>
        <w:rPr>
          <w:rFonts w:hint="eastAsia" w:ascii="仿宋" w:hAnsi="仿宋" w:eastAsia="仿宋" w:cs="仿宋"/>
          <w:b/>
          <w:spacing w:val="0"/>
          <w:sz w:val="32"/>
          <w:szCs w:val="32"/>
        </w:rPr>
        <w:t>二、财政拨款收入支出决算总体情况说明</w:t>
      </w:r>
      <w:bookmarkEnd w:id="77"/>
      <w:bookmarkEnd w:id="78"/>
      <w:bookmarkEnd w:id="79"/>
      <w:bookmarkEnd w:id="80"/>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2024年度财政拨款收入总计3774.09万元，支出总计3774.09万元，与上年决算数相比，各增加172.22万元，增长4.78%，主要是：</w:t>
      </w:r>
      <w:r>
        <w:rPr>
          <w:rFonts w:hint="eastAsia" w:ascii="仿宋" w:hAnsi="仿宋" w:eastAsia="仿宋" w:cs="仿宋"/>
          <w:kern w:val="0"/>
          <w:sz w:val="32"/>
          <w:szCs w:val="32"/>
        </w:rPr>
        <w:t>学校环境提升建设相关支出</w:t>
      </w:r>
      <w:r>
        <w:rPr>
          <w:rFonts w:hint="eastAsia" w:ascii="仿宋" w:hAnsi="仿宋" w:eastAsia="仿宋" w:cs="仿宋"/>
          <w:spacing w:val="0"/>
          <w:kern w:val="0"/>
          <w:sz w:val="32"/>
          <w:szCs w:val="32"/>
          <w:lang w:val="en-US" w:eastAsia="zh-CN"/>
        </w:rPr>
        <w:t>增加。</w:t>
      </w:r>
    </w:p>
    <w:p>
      <w:pPr>
        <w:pStyle w:val="6"/>
        <w:keepNext w:val="0"/>
        <w:keepLines w:val="0"/>
        <w:spacing w:before="100" w:after="100" w:line="600" w:lineRule="atLeast"/>
        <w:ind w:left="0" w:right="0" w:firstLine="640" w:firstLineChars="0"/>
        <w:jc w:val="both"/>
        <w:rPr>
          <w:rFonts w:hint="eastAsia" w:ascii="仿宋" w:hAnsi="仿宋" w:eastAsia="仿宋" w:cs="仿宋"/>
          <w:b/>
          <w:bCs/>
          <w:kern w:val="0"/>
          <w:sz w:val="32"/>
          <w:szCs w:val="32"/>
        </w:rPr>
      </w:pPr>
      <w:bookmarkStart w:id="81" w:name="_Toc256000082"/>
      <w:bookmarkStart w:id="82" w:name="_Toc256000113"/>
      <w:bookmarkStart w:id="83" w:name="_Toc256000051"/>
      <w:bookmarkStart w:id="84" w:name="_Toc256000020"/>
      <w:r>
        <w:rPr>
          <w:rFonts w:hint="eastAsia" w:ascii="仿宋" w:hAnsi="仿宋" w:eastAsia="仿宋" w:cs="仿宋"/>
          <w:b/>
          <w:spacing w:val="0"/>
          <w:sz w:val="32"/>
          <w:szCs w:val="32"/>
        </w:rPr>
        <w:t>三、一般公共预算拨款支出决算情况说明</w:t>
      </w:r>
      <w:bookmarkEnd w:id="81"/>
      <w:bookmarkEnd w:id="82"/>
      <w:bookmarkEnd w:id="83"/>
      <w:bookmarkEnd w:id="84"/>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2024年一般公共预算支出3770.14万元，比上年决算数增加183.53万元，增长5.12%，具体情况如下(按</w:t>
      </w:r>
      <w:r>
        <w:rPr>
          <w:rStyle w:val="31"/>
          <w:rFonts w:hint="eastAsia" w:ascii="仿宋" w:hAnsi="仿宋" w:eastAsia="仿宋" w:cs="仿宋"/>
          <w:spacing w:val="0"/>
          <w:kern w:val="0"/>
          <w:sz w:val="32"/>
          <w:szCs w:val="32"/>
        </w:rPr>
        <w:t>项级科目</w:t>
      </w:r>
      <w:r>
        <w:rPr>
          <w:rFonts w:hint="eastAsia" w:ascii="仿宋" w:hAnsi="仿宋" w:eastAsia="仿宋" w:cs="仿宋"/>
          <w:spacing w:val="0"/>
          <w:kern w:val="0"/>
          <w:sz w:val="32"/>
          <w:szCs w:val="32"/>
        </w:rPr>
        <w:t>分类统计)：</w:t>
      </w:r>
    </w:p>
    <w:p>
      <w:pPr>
        <w:pStyle w:val="29"/>
        <w:keepNext w:val="0"/>
        <w:keepLines w:val="0"/>
        <w:pageBreakBefore w:val="0"/>
        <w:widowControl/>
        <w:kinsoku/>
        <w:wordWrap/>
        <w:overflowPunct/>
        <w:topLinePunct w:val="0"/>
        <w:autoSpaceDE/>
        <w:autoSpaceDN/>
        <w:bidi w:val="0"/>
        <w:adjustRightInd/>
        <w:snapToGrid/>
        <w:spacing w:before="100" w:after="100" w:line="600" w:lineRule="exact"/>
        <w:ind w:right="0" w:firstLine="640" w:firstLineChars="200"/>
        <w:jc w:val="both"/>
        <w:textAlignment w:val="auto"/>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rPr>
        <w:t>（一）2050202 小学教育2,765.60万元，较上年决算数减少7.26万元，下降0.26%。主要原因是</w:t>
      </w:r>
      <w:r>
        <w:rPr>
          <w:rFonts w:hint="eastAsia" w:ascii="仿宋" w:hAnsi="仿宋" w:eastAsia="仿宋" w:cs="仿宋"/>
          <w:spacing w:val="0"/>
          <w:kern w:val="0"/>
          <w:sz w:val="32"/>
          <w:szCs w:val="32"/>
          <w:lang w:val="en-US" w:eastAsia="zh-CN"/>
        </w:rPr>
        <w:t>教师及学生人数减少，项目支出减少。</w:t>
      </w:r>
      <w:r>
        <w:rPr>
          <w:rFonts w:hint="eastAsia"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hint="eastAsia" w:ascii="仿宋" w:hAnsi="仿宋" w:eastAsia="仿宋" w:cs="仿宋"/>
          <w:spacing w:val="0"/>
          <w:kern w:val="0"/>
          <w:sz w:val="32"/>
          <w:szCs w:val="32"/>
        </w:rPr>
        <w:t>（二）2050299 其他普通教育支出211.70万元，较上年决算数增加30.9</w:t>
      </w:r>
      <w:r>
        <w:rPr>
          <w:rFonts w:hint="eastAsia" w:ascii="仿宋" w:hAnsi="仿宋" w:eastAsia="仿宋" w:cs="仿宋"/>
          <w:spacing w:val="0"/>
          <w:kern w:val="0"/>
          <w:sz w:val="32"/>
          <w:szCs w:val="32"/>
          <w:lang w:val="en-US" w:eastAsia="zh-CN"/>
        </w:rPr>
        <w:t>7</w:t>
      </w:r>
      <w:r>
        <w:rPr>
          <w:rFonts w:hint="eastAsia" w:ascii="仿宋" w:hAnsi="仿宋" w:eastAsia="仿宋" w:cs="仿宋"/>
          <w:spacing w:val="0"/>
          <w:kern w:val="0"/>
          <w:sz w:val="32"/>
          <w:szCs w:val="32"/>
        </w:rPr>
        <w:t>万元，增长17.14%。主要原因是</w:t>
      </w:r>
      <w:r>
        <w:rPr>
          <w:rFonts w:hint="eastAsia" w:ascii="仿宋" w:hAnsi="仿宋" w:eastAsia="仿宋" w:cs="仿宋"/>
          <w:spacing w:val="0"/>
          <w:kern w:val="0"/>
          <w:sz w:val="32"/>
          <w:szCs w:val="32"/>
          <w:lang w:val="en-US" w:eastAsia="zh-CN"/>
        </w:rPr>
        <w:t>项目支出增加。</w:t>
      </w:r>
      <w:r>
        <w:rPr>
          <w:rFonts w:hint="eastAsia"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hint="eastAsia" w:ascii="仿宋" w:hAnsi="仿宋" w:eastAsia="仿宋" w:cs="仿宋"/>
          <w:spacing w:val="0"/>
          <w:kern w:val="0"/>
          <w:sz w:val="32"/>
          <w:szCs w:val="32"/>
        </w:rPr>
        <w:t>（三）2050999 其他教育费附加安排的支出178.08万元，较上年决算数增加113.75万元，增长176.8</w:t>
      </w:r>
      <w:r>
        <w:rPr>
          <w:rFonts w:hint="eastAsia" w:ascii="仿宋" w:hAnsi="仿宋" w:eastAsia="仿宋" w:cs="仿宋"/>
          <w:spacing w:val="0"/>
          <w:kern w:val="0"/>
          <w:sz w:val="32"/>
          <w:szCs w:val="32"/>
          <w:lang w:val="en-US" w:eastAsia="zh-CN"/>
        </w:rPr>
        <w:t>2</w:t>
      </w:r>
      <w:r>
        <w:rPr>
          <w:rFonts w:hint="eastAsia" w:ascii="仿宋" w:hAnsi="仿宋" w:eastAsia="仿宋" w:cs="仿宋"/>
          <w:spacing w:val="0"/>
          <w:kern w:val="0"/>
          <w:sz w:val="32"/>
          <w:szCs w:val="32"/>
        </w:rPr>
        <w:t>%。主要原因是</w:t>
      </w:r>
      <w:r>
        <w:rPr>
          <w:rFonts w:hint="eastAsia" w:ascii="仿宋" w:hAnsi="仿宋" w:eastAsia="仿宋" w:cs="仿宋"/>
          <w:kern w:val="0"/>
          <w:sz w:val="32"/>
          <w:szCs w:val="32"/>
        </w:rPr>
        <w:t>学校环境提升建设相关支出</w:t>
      </w:r>
      <w:r>
        <w:rPr>
          <w:rFonts w:hint="eastAsia" w:ascii="仿宋" w:hAnsi="仿宋" w:eastAsia="仿宋" w:cs="仿宋"/>
          <w:spacing w:val="0"/>
          <w:kern w:val="0"/>
          <w:sz w:val="32"/>
          <w:szCs w:val="32"/>
          <w:lang w:val="en-US" w:eastAsia="zh-CN"/>
        </w:rPr>
        <w:t>增加。</w:t>
      </w:r>
      <w:r>
        <w:rPr>
          <w:rFonts w:hint="eastAsia"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hint="eastAsia" w:ascii="仿宋" w:hAnsi="仿宋" w:eastAsia="仿宋" w:cs="仿宋"/>
          <w:spacing w:val="0"/>
          <w:kern w:val="0"/>
          <w:sz w:val="32"/>
          <w:szCs w:val="32"/>
        </w:rPr>
        <w:t>（四）2059999 其他教育支出0.75万元，较上年决算数增加0.48万元，增长177.78%。主要原因是</w:t>
      </w:r>
      <w:r>
        <w:rPr>
          <w:rFonts w:hint="eastAsia" w:ascii="仿宋" w:hAnsi="仿宋" w:eastAsia="仿宋" w:cs="仿宋"/>
          <w:spacing w:val="0"/>
          <w:kern w:val="0"/>
          <w:sz w:val="32"/>
          <w:szCs w:val="32"/>
          <w:lang w:val="en-US" w:eastAsia="zh-CN"/>
        </w:rPr>
        <w:t>夏令营活动经费增加。</w:t>
      </w:r>
    </w:p>
    <w:p>
      <w:pPr>
        <w:pStyle w:val="29"/>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firstLineChars="200"/>
        <w:jc w:val="both"/>
        <w:textAlignment w:val="auto"/>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rPr>
        <w:t>（五）2080502 事业单位离退休102.52万元，较上年决算数增加5.1</w:t>
      </w:r>
      <w:r>
        <w:rPr>
          <w:rFonts w:hint="eastAsia" w:ascii="仿宋" w:hAnsi="仿宋" w:eastAsia="仿宋" w:cs="仿宋"/>
          <w:spacing w:val="0"/>
          <w:kern w:val="0"/>
          <w:sz w:val="32"/>
          <w:szCs w:val="32"/>
          <w:lang w:val="en-US" w:eastAsia="zh-CN"/>
        </w:rPr>
        <w:t>7</w:t>
      </w:r>
      <w:r>
        <w:rPr>
          <w:rFonts w:hint="eastAsia" w:ascii="仿宋" w:hAnsi="仿宋" w:eastAsia="仿宋" w:cs="仿宋"/>
          <w:spacing w:val="0"/>
          <w:kern w:val="0"/>
          <w:sz w:val="32"/>
          <w:szCs w:val="32"/>
        </w:rPr>
        <w:t>万元，增长5.3</w:t>
      </w:r>
      <w:r>
        <w:rPr>
          <w:rFonts w:hint="eastAsia" w:ascii="仿宋" w:hAnsi="仿宋" w:eastAsia="仿宋" w:cs="仿宋"/>
          <w:spacing w:val="0"/>
          <w:kern w:val="0"/>
          <w:sz w:val="32"/>
          <w:szCs w:val="32"/>
          <w:lang w:val="en-US" w:eastAsia="zh-CN"/>
        </w:rPr>
        <w:t>1</w:t>
      </w:r>
      <w:r>
        <w:rPr>
          <w:rFonts w:hint="eastAsia" w:ascii="仿宋" w:hAnsi="仿宋" w:eastAsia="仿宋" w:cs="仿宋"/>
          <w:spacing w:val="0"/>
          <w:kern w:val="0"/>
          <w:sz w:val="32"/>
          <w:szCs w:val="32"/>
        </w:rPr>
        <w:t>%。主要原因是</w:t>
      </w:r>
      <w:r>
        <w:rPr>
          <w:rFonts w:hint="eastAsia" w:ascii="仿宋" w:hAnsi="仿宋" w:eastAsia="仿宋" w:cs="仿宋"/>
          <w:spacing w:val="0"/>
          <w:kern w:val="0"/>
          <w:sz w:val="32"/>
          <w:szCs w:val="32"/>
          <w:lang w:val="en-US" w:eastAsia="zh-CN"/>
        </w:rPr>
        <w:t>退休人员增加。</w:t>
      </w:r>
    </w:p>
    <w:p>
      <w:pPr>
        <w:pStyle w:val="29"/>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firstLineChars="200"/>
        <w:jc w:val="both"/>
        <w:textAlignment w:val="auto"/>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rPr>
        <w:t>（六）2080505 机关事业单位基本养老保险缴费支出218.93万元，较上年决算数减少0.49万元，下降0.22%。主要原因是</w:t>
      </w:r>
      <w:r>
        <w:rPr>
          <w:rFonts w:hint="eastAsia" w:ascii="仿宋" w:hAnsi="仿宋" w:eastAsia="仿宋" w:cs="仿宋"/>
          <w:spacing w:val="0"/>
          <w:kern w:val="0"/>
          <w:sz w:val="32"/>
          <w:szCs w:val="32"/>
          <w:lang w:val="en-US" w:eastAsia="zh-CN"/>
        </w:rPr>
        <w:t>缴费人员变动。</w:t>
      </w:r>
    </w:p>
    <w:p>
      <w:pPr>
        <w:pStyle w:val="29"/>
        <w:keepNext w:val="0"/>
        <w:keepLines w:val="0"/>
        <w:pageBreakBefore w:val="0"/>
        <w:widowControl/>
        <w:kinsoku/>
        <w:wordWrap/>
        <w:overflowPunct/>
        <w:topLinePunct w:val="0"/>
        <w:autoSpaceDE/>
        <w:autoSpaceDN/>
        <w:bidi w:val="0"/>
        <w:adjustRightInd/>
        <w:snapToGrid/>
        <w:spacing w:before="100" w:after="100" w:line="600" w:lineRule="exact"/>
        <w:ind w:left="0" w:right="0" w:firstLine="640" w:firstLineChars="200"/>
        <w:jc w:val="both"/>
        <w:textAlignment w:val="auto"/>
        <w:rPr>
          <w:rFonts w:hint="default" w:ascii="仿宋" w:hAnsi="仿宋" w:eastAsia="仿宋" w:cs="仿宋"/>
          <w:kern w:val="0"/>
          <w:sz w:val="32"/>
          <w:szCs w:val="32"/>
          <w:lang w:val="en-US" w:eastAsia="zh-CN"/>
        </w:rPr>
      </w:pPr>
      <w:r>
        <w:rPr>
          <w:rFonts w:hint="eastAsia" w:ascii="仿宋" w:hAnsi="仿宋" w:eastAsia="仿宋" w:cs="仿宋"/>
          <w:spacing w:val="0"/>
          <w:kern w:val="0"/>
          <w:sz w:val="32"/>
          <w:szCs w:val="32"/>
        </w:rPr>
        <w:t>（七）2080506 机关事业单位职业年金缴费支出126.25万元，较上年决算数增加16.54万元，增长15.0</w:t>
      </w:r>
      <w:r>
        <w:rPr>
          <w:rFonts w:hint="eastAsia" w:ascii="仿宋" w:hAnsi="仿宋" w:eastAsia="仿宋" w:cs="仿宋"/>
          <w:spacing w:val="0"/>
          <w:kern w:val="0"/>
          <w:sz w:val="32"/>
          <w:szCs w:val="32"/>
          <w:lang w:val="en-US" w:eastAsia="zh-CN"/>
        </w:rPr>
        <w:t>8</w:t>
      </w:r>
      <w:r>
        <w:rPr>
          <w:rFonts w:hint="eastAsia" w:ascii="仿宋" w:hAnsi="仿宋" w:eastAsia="仿宋" w:cs="仿宋"/>
          <w:spacing w:val="0"/>
          <w:kern w:val="0"/>
          <w:sz w:val="32"/>
          <w:szCs w:val="32"/>
        </w:rPr>
        <w:t>%。主要原因是</w:t>
      </w:r>
      <w:r>
        <w:rPr>
          <w:rFonts w:hint="eastAsia" w:ascii="仿宋" w:hAnsi="仿宋" w:eastAsia="仿宋" w:cs="仿宋"/>
          <w:spacing w:val="0"/>
          <w:kern w:val="0"/>
          <w:sz w:val="32"/>
          <w:szCs w:val="32"/>
          <w:lang w:val="en-US" w:eastAsia="zh-CN"/>
        </w:rPr>
        <w:t>退休人员职业年金记实支出增加。</w:t>
      </w:r>
      <w:r>
        <w:rPr>
          <w:rFonts w:hint="eastAsia"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hint="eastAsia" w:ascii="仿宋" w:hAnsi="仿宋" w:eastAsia="仿宋" w:cs="仿宋"/>
          <w:spacing w:val="0"/>
          <w:kern w:val="0"/>
          <w:sz w:val="32"/>
          <w:szCs w:val="32"/>
        </w:rPr>
        <w:t>（八）2101102 事业单位医疗93.73万元，较上年决算数减少0.21万元，下降0.22%。主要原因是</w:t>
      </w:r>
      <w:r>
        <w:rPr>
          <w:rFonts w:hint="eastAsia" w:ascii="仿宋" w:hAnsi="仿宋" w:eastAsia="仿宋" w:cs="仿宋"/>
          <w:spacing w:val="0"/>
          <w:kern w:val="0"/>
          <w:sz w:val="32"/>
          <w:szCs w:val="32"/>
          <w:lang w:val="en-US" w:eastAsia="zh-CN"/>
        </w:rPr>
        <w:t>缴费人员变动。</w:t>
      </w:r>
      <w:r>
        <w:rPr>
          <w:rFonts w:hint="eastAsia"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hint="eastAsia" w:ascii="仿宋" w:hAnsi="仿宋" w:eastAsia="仿宋" w:cs="仿宋"/>
          <w:spacing w:val="0"/>
          <w:kern w:val="0"/>
          <w:sz w:val="32"/>
          <w:szCs w:val="32"/>
        </w:rPr>
        <w:t>（九）2101199 其他行政事业单位医疗支出47.89万元，较上年决算数减少0.11万元，下降0.23%。主要原因是</w:t>
      </w:r>
      <w:r>
        <w:rPr>
          <w:rFonts w:hint="eastAsia" w:ascii="仿宋" w:hAnsi="仿宋" w:eastAsia="仿宋" w:cs="仿宋"/>
          <w:spacing w:val="0"/>
          <w:kern w:val="0"/>
          <w:sz w:val="32"/>
          <w:szCs w:val="32"/>
          <w:lang w:val="en-US" w:eastAsia="zh-CN"/>
        </w:rPr>
        <w:t>缴费人员变动。</w:t>
      </w:r>
      <w:r>
        <w:rPr>
          <w:rFonts w:hint="eastAsia"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hint="eastAsia" w:ascii="仿宋" w:hAnsi="仿宋" w:eastAsia="仿宋" w:cs="仿宋"/>
          <w:spacing w:val="0"/>
          <w:kern w:val="0"/>
          <w:sz w:val="32"/>
          <w:szCs w:val="32"/>
        </w:rPr>
        <w:t>（十）2210203 购房补贴24.70万元，较上年决算数增加24.70万元，增长100%。主要原因是</w:t>
      </w:r>
      <w:r>
        <w:rPr>
          <w:rFonts w:hint="eastAsia" w:ascii="仿宋" w:hAnsi="仿宋" w:eastAsia="仿宋" w:cs="仿宋"/>
          <w:spacing w:val="0"/>
          <w:kern w:val="0"/>
          <w:sz w:val="32"/>
          <w:szCs w:val="32"/>
          <w:lang w:val="en-US" w:eastAsia="zh-CN"/>
        </w:rPr>
        <w:t>新增教师购房补贴。</w:t>
      </w:r>
    </w:p>
    <w:p>
      <w:pPr>
        <w:pStyle w:val="6"/>
        <w:keepNext w:val="0"/>
        <w:keepLines w:val="0"/>
        <w:spacing w:before="100" w:after="100" w:line="600" w:lineRule="atLeast"/>
        <w:ind w:left="0" w:right="0" w:firstLine="640" w:firstLineChars="0"/>
        <w:jc w:val="both"/>
        <w:rPr>
          <w:rFonts w:hint="eastAsia" w:ascii="仿宋" w:hAnsi="仿宋" w:eastAsia="仿宋" w:cs="仿宋"/>
          <w:b/>
          <w:bCs/>
          <w:kern w:val="0"/>
          <w:sz w:val="32"/>
          <w:szCs w:val="32"/>
        </w:rPr>
      </w:pPr>
      <w:bookmarkStart w:id="85" w:name="_Toc256000052"/>
      <w:bookmarkStart w:id="86" w:name="_Toc256000021"/>
      <w:bookmarkStart w:id="87" w:name="_Toc256000083"/>
      <w:bookmarkStart w:id="88" w:name="_Toc256000114"/>
      <w:r>
        <w:rPr>
          <w:rFonts w:hint="eastAsia" w:ascii="仿宋" w:hAnsi="仿宋" w:eastAsia="仿宋" w:cs="仿宋"/>
          <w:b/>
          <w:spacing w:val="0"/>
          <w:sz w:val="32"/>
          <w:szCs w:val="32"/>
        </w:rPr>
        <w:t>四、政府性基金预算财政拨款支出决算情况说明</w:t>
      </w:r>
      <w:bookmarkEnd w:id="85"/>
      <w:bookmarkEnd w:id="86"/>
      <w:bookmarkEnd w:id="87"/>
      <w:bookmarkEnd w:id="88"/>
    </w:p>
    <w:p>
      <w:pPr>
        <w:pStyle w:val="29"/>
        <w:widowControl/>
        <w:spacing w:before="100" w:after="100" w:line="600" w:lineRule="atLeast"/>
        <w:ind w:left="0" w:right="0" w:firstLine="704"/>
        <w:jc w:val="both"/>
        <w:rPr>
          <w:rFonts w:hint="eastAsia" w:ascii="仿宋" w:hAnsi="仿宋" w:eastAsia="仿宋" w:cs="仿宋"/>
          <w:kern w:val="0"/>
          <w:sz w:val="32"/>
          <w:szCs w:val="32"/>
        </w:rPr>
      </w:pPr>
      <w:r>
        <w:rPr>
          <w:rFonts w:hint="eastAsia" w:ascii="仿宋" w:hAnsi="仿宋" w:eastAsia="仿宋" w:cs="仿宋"/>
          <w:spacing w:val="0"/>
          <w:kern w:val="0"/>
          <w:sz w:val="32"/>
          <w:szCs w:val="32"/>
        </w:rPr>
        <w:t>2024年度政府性基金支出3.95万元，比上年决算数减少11.3</w:t>
      </w:r>
      <w:r>
        <w:rPr>
          <w:rFonts w:hint="eastAsia" w:ascii="仿宋" w:hAnsi="仿宋" w:eastAsia="仿宋" w:cs="仿宋"/>
          <w:spacing w:val="0"/>
          <w:kern w:val="0"/>
          <w:sz w:val="32"/>
          <w:szCs w:val="32"/>
          <w:lang w:val="en-US" w:eastAsia="zh-CN"/>
        </w:rPr>
        <w:t>0</w:t>
      </w:r>
      <w:r>
        <w:rPr>
          <w:rFonts w:hint="eastAsia" w:ascii="仿宋" w:hAnsi="仿宋" w:eastAsia="仿宋" w:cs="仿宋"/>
          <w:spacing w:val="0"/>
          <w:kern w:val="0"/>
          <w:sz w:val="32"/>
          <w:szCs w:val="32"/>
        </w:rPr>
        <w:t>万元，下降74.</w:t>
      </w:r>
      <w:r>
        <w:rPr>
          <w:rFonts w:hint="eastAsia" w:ascii="仿宋" w:hAnsi="仿宋" w:eastAsia="仿宋" w:cs="仿宋"/>
          <w:spacing w:val="0"/>
          <w:kern w:val="0"/>
          <w:sz w:val="32"/>
          <w:szCs w:val="32"/>
          <w:lang w:val="en-US" w:eastAsia="zh-CN"/>
        </w:rPr>
        <w:t>10</w:t>
      </w:r>
      <w:r>
        <w:rPr>
          <w:rFonts w:hint="eastAsia" w:ascii="仿宋" w:hAnsi="仿宋" w:eastAsia="仿宋" w:cs="仿宋"/>
          <w:spacing w:val="0"/>
          <w:kern w:val="0"/>
          <w:sz w:val="32"/>
          <w:szCs w:val="32"/>
        </w:rPr>
        <w:t>%，具体情况如下(按项级科目统计)：</w:t>
      </w:r>
    </w:p>
    <w:p>
      <w:pPr>
        <w:pStyle w:val="29"/>
        <w:widowControl/>
        <w:spacing w:before="100" w:after="100" w:line="600" w:lineRule="atLeast"/>
        <w:ind w:left="0" w:right="0" w:firstLine="640"/>
        <w:jc w:val="both"/>
        <w:rPr>
          <w:rFonts w:hint="eastAsia" w:ascii="仿宋" w:hAnsi="仿宋" w:eastAsia="仿宋" w:cs="仿宋"/>
          <w:kern w:val="0"/>
          <w:sz w:val="32"/>
          <w:szCs w:val="32"/>
          <w:lang w:eastAsia="zh-CN"/>
        </w:rPr>
      </w:pPr>
      <w:r>
        <w:rPr>
          <w:rFonts w:hint="eastAsia" w:ascii="仿宋" w:hAnsi="仿宋" w:eastAsia="仿宋" w:cs="仿宋"/>
          <w:spacing w:val="0"/>
          <w:kern w:val="0"/>
          <w:sz w:val="32"/>
          <w:szCs w:val="32"/>
        </w:rPr>
        <w:t>2296003 用于体育事业的彩票公益金支出3.95万元，较上年决算数减少11.3</w:t>
      </w:r>
      <w:r>
        <w:rPr>
          <w:rFonts w:hint="eastAsia" w:ascii="仿宋" w:hAnsi="仿宋" w:eastAsia="仿宋" w:cs="仿宋"/>
          <w:spacing w:val="0"/>
          <w:kern w:val="0"/>
          <w:sz w:val="32"/>
          <w:szCs w:val="32"/>
          <w:lang w:val="en-US" w:eastAsia="zh-CN"/>
        </w:rPr>
        <w:t>0</w:t>
      </w:r>
      <w:r>
        <w:rPr>
          <w:rFonts w:hint="eastAsia" w:ascii="仿宋" w:hAnsi="仿宋" w:eastAsia="仿宋" w:cs="仿宋"/>
          <w:spacing w:val="0"/>
          <w:kern w:val="0"/>
          <w:sz w:val="32"/>
          <w:szCs w:val="32"/>
        </w:rPr>
        <w:t>万元，下降74.1</w:t>
      </w:r>
      <w:r>
        <w:rPr>
          <w:rFonts w:hint="eastAsia" w:ascii="仿宋" w:hAnsi="仿宋" w:eastAsia="仿宋" w:cs="仿宋"/>
          <w:spacing w:val="0"/>
          <w:kern w:val="0"/>
          <w:sz w:val="32"/>
          <w:szCs w:val="32"/>
          <w:lang w:val="en-US" w:eastAsia="zh-CN"/>
        </w:rPr>
        <w:t>0</w:t>
      </w:r>
      <w:r>
        <w:rPr>
          <w:rFonts w:hint="eastAsia" w:ascii="仿宋" w:hAnsi="仿宋" w:eastAsia="仿宋" w:cs="仿宋"/>
          <w:spacing w:val="0"/>
          <w:kern w:val="0"/>
          <w:sz w:val="32"/>
          <w:szCs w:val="32"/>
        </w:rPr>
        <w:t>%。主要原因是</w:t>
      </w:r>
      <w:r>
        <w:rPr>
          <w:rFonts w:hint="eastAsia" w:ascii="仿宋" w:hAnsi="仿宋" w:eastAsia="仿宋" w:cs="仿宋"/>
          <w:kern w:val="0"/>
          <w:sz w:val="32"/>
          <w:szCs w:val="32"/>
        </w:rPr>
        <w:t>学校体育场地设施开放相关支出</w:t>
      </w:r>
      <w:r>
        <w:rPr>
          <w:rFonts w:hint="eastAsia" w:ascii="仿宋" w:hAnsi="仿宋" w:eastAsia="仿宋" w:cs="仿宋"/>
          <w:kern w:val="0"/>
          <w:sz w:val="32"/>
          <w:szCs w:val="32"/>
          <w:lang w:val="en-US" w:eastAsia="zh-CN"/>
        </w:rPr>
        <w:t>减少。</w:t>
      </w:r>
    </w:p>
    <w:p>
      <w:pPr>
        <w:pStyle w:val="6"/>
        <w:keepNext w:val="0"/>
        <w:keepLines w:val="0"/>
        <w:spacing w:before="100" w:after="100" w:line="600" w:lineRule="atLeast"/>
        <w:ind w:left="0" w:right="0" w:firstLine="640" w:firstLineChars="0"/>
        <w:jc w:val="both"/>
        <w:rPr>
          <w:rFonts w:hint="eastAsia" w:ascii="仿宋" w:hAnsi="仿宋" w:eastAsia="仿宋" w:cs="仿宋"/>
          <w:b/>
          <w:bCs/>
          <w:kern w:val="0"/>
          <w:sz w:val="32"/>
          <w:szCs w:val="32"/>
        </w:rPr>
      </w:pPr>
      <w:bookmarkStart w:id="89" w:name="_Toc256000053"/>
      <w:bookmarkStart w:id="90" w:name="_Toc256000084"/>
      <w:bookmarkStart w:id="91" w:name="_Toc256000115"/>
      <w:bookmarkStart w:id="92" w:name="_Toc256000022"/>
      <w:r>
        <w:rPr>
          <w:rFonts w:hint="eastAsia" w:ascii="仿宋" w:hAnsi="仿宋" w:eastAsia="仿宋" w:cs="仿宋"/>
          <w:b/>
          <w:spacing w:val="0"/>
          <w:sz w:val="32"/>
          <w:szCs w:val="32"/>
        </w:rPr>
        <w:t>五、国有资本经营预算财政拨款支出决算情况说明</w:t>
      </w:r>
      <w:bookmarkEnd w:id="89"/>
      <w:bookmarkEnd w:id="90"/>
      <w:bookmarkEnd w:id="91"/>
      <w:bookmarkEnd w:id="92"/>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hint="eastAsia" w:ascii="仿宋" w:hAnsi="仿宋" w:eastAsia="仿宋" w:cs="仿宋"/>
          <w:spacing w:val="0"/>
          <w:kern w:val="0"/>
          <w:sz w:val="32"/>
          <w:szCs w:val="32"/>
          <w:lang w:eastAsia="zh-CN"/>
        </w:rPr>
      </w:pPr>
      <w:bookmarkStart w:id="93" w:name="_Toc256000085"/>
      <w:bookmarkStart w:id="94" w:name="_Toc256000054"/>
      <w:bookmarkStart w:id="95" w:name="_Toc256000023"/>
      <w:bookmarkStart w:id="96" w:name="_Toc256000116"/>
      <w:r>
        <w:rPr>
          <w:rFonts w:ascii="仿宋" w:hAnsi="仿宋" w:eastAsia="仿宋" w:cs="仿宋"/>
          <w:spacing w:val="0"/>
          <w:kern w:val="0"/>
          <w:sz w:val="32"/>
          <w:szCs w:val="32"/>
        </w:rPr>
        <w:t>2024年度国有资本经营预算支出0万元，比上年决算数增加0万元，增长0%</w:t>
      </w:r>
      <w:r>
        <w:rPr>
          <w:rFonts w:hint="eastAsia" w:ascii="仿宋" w:hAnsi="仿宋" w:eastAsia="仿宋" w:cs="仿宋"/>
          <w:spacing w:val="0"/>
          <w:kern w:val="0"/>
          <w:sz w:val="32"/>
          <w:szCs w:val="32"/>
          <w:lang w:eastAsia="zh-CN"/>
        </w:rPr>
        <w:t>。</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32"/>
          <w:szCs w:val="32"/>
        </w:rPr>
        <w:t>本单位2024年度没有使用国有资本经营预算财政拨款安排的支出。</w:t>
      </w:r>
    </w:p>
    <w:p>
      <w:pPr>
        <w:pStyle w:val="6"/>
        <w:keepNext w:val="0"/>
        <w:keepLines w:val="0"/>
        <w:spacing w:before="100" w:after="100" w:line="600" w:lineRule="atLeast"/>
        <w:ind w:left="0" w:right="0" w:firstLine="640" w:firstLineChars="0"/>
        <w:jc w:val="both"/>
        <w:rPr>
          <w:rFonts w:hint="eastAsia" w:ascii="仿宋" w:hAnsi="仿宋" w:eastAsia="仿宋" w:cs="仿宋"/>
          <w:b/>
          <w:bCs/>
          <w:kern w:val="0"/>
          <w:sz w:val="32"/>
          <w:szCs w:val="32"/>
        </w:rPr>
      </w:pPr>
      <w:r>
        <w:rPr>
          <w:rFonts w:hint="eastAsia" w:ascii="仿宋" w:hAnsi="仿宋" w:eastAsia="仿宋" w:cs="仿宋"/>
          <w:b/>
          <w:spacing w:val="0"/>
          <w:sz w:val="32"/>
          <w:szCs w:val="32"/>
        </w:rPr>
        <w:t>六、一般公共预算财政拨款基本支出决算情况说明</w:t>
      </w:r>
      <w:bookmarkEnd w:id="93"/>
      <w:bookmarkEnd w:id="94"/>
      <w:bookmarkEnd w:id="95"/>
      <w:bookmarkEnd w:id="96"/>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2024年度一般公共预算财政拨款基本支出3456.93万元，其中：</w:t>
      </w:r>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一）人员经费3108.17万元，主要包括：基本工资、津贴补贴、奖金、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pStyle w:val="29"/>
        <w:widowControl/>
        <w:spacing w:before="100" w:after="100" w:line="600" w:lineRule="atLeast"/>
        <w:ind w:left="0" w:right="0" w:firstLine="640"/>
        <w:jc w:val="both"/>
        <w:rPr>
          <w:rFonts w:hint="eastAsia" w:ascii="仿宋" w:hAnsi="仿宋" w:eastAsia="仿宋" w:cs="仿宋"/>
          <w:kern w:val="0"/>
          <w:sz w:val="32"/>
          <w:szCs w:val="32"/>
        </w:rPr>
      </w:pPr>
      <w:r>
        <w:rPr>
          <w:rFonts w:hint="eastAsia" w:ascii="仿宋" w:hAnsi="仿宋" w:eastAsia="仿宋" w:cs="仿宋"/>
          <w:spacing w:val="0"/>
          <w:kern w:val="0"/>
          <w:sz w:val="32"/>
          <w:szCs w:val="32"/>
        </w:rPr>
        <w:t>（二）公用经费348.76万元，主要包括：办公费、印刷费、咨询费、手续费、水费、电费、邮电费、取暖费、物业管理费、差旅费、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6"/>
        <w:keepNext w:val="0"/>
        <w:keepLines w:val="0"/>
        <w:spacing w:before="100" w:after="100" w:line="600" w:lineRule="atLeast"/>
        <w:ind w:left="0" w:right="0" w:firstLine="640" w:firstLineChars="0"/>
        <w:jc w:val="both"/>
        <w:rPr>
          <w:rFonts w:hint="eastAsia" w:ascii="仿宋" w:hAnsi="仿宋" w:eastAsia="仿宋" w:cs="仿宋"/>
          <w:b/>
          <w:bCs/>
          <w:kern w:val="0"/>
          <w:sz w:val="32"/>
          <w:szCs w:val="32"/>
        </w:rPr>
      </w:pPr>
      <w:bookmarkStart w:id="97" w:name="_Toc256000117"/>
      <w:bookmarkStart w:id="98" w:name="_Toc256000086"/>
      <w:bookmarkStart w:id="99" w:name="_Toc256000055"/>
      <w:bookmarkStart w:id="100" w:name="_Toc256000024"/>
      <w:r>
        <w:rPr>
          <w:rFonts w:hint="eastAsia" w:ascii="仿宋" w:hAnsi="仿宋" w:eastAsia="仿宋" w:cs="仿宋"/>
          <w:b/>
          <w:spacing w:val="0"/>
          <w:sz w:val="32"/>
          <w:szCs w:val="32"/>
        </w:rPr>
        <w:t>七、一般公共预算拨款“三公”经费支出决算情况说明</w:t>
      </w:r>
      <w:bookmarkEnd w:id="97"/>
      <w:bookmarkEnd w:id="98"/>
      <w:bookmarkEnd w:id="99"/>
      <w:bookmarkEnd w:id="100"/>
    </w:p>
    <w:p>
      <w:pPr>
        <w:pStyle w:val="29"/>
        <w:widowControl/>
        <w:spacing w:before="100" w:after="100" w:line="600" w:lineRule="atLeast"/>
        <w:ind w:left="0" w:right="0" w:firstLine="640"/>
        <w:jc w:val="both"/>
        <w:rPr>
          <w:rFonts w:hint="eastAsia" w:ascii="仿宋" w:hAnsi="仿宋" w:eastAsia="仿宋" w:cs="仿宋"/>
          <w:spacing w:val="0"/>
          <w:kern w:val="0"/>
          <w:sz w:val="32"/>
          <w:szCs w:val="32"/>
        </w:rPr>
      </w:pPr>
      <w:bookmarkStart w:id="101" w:name="_Toc256000056"/>
      <w:bookmarkStart w:id="102" w:name="_Toc256000087"/>
      <w:bookmarkStart w:id="103" w:name="_Toc256000025"/>
      <w:bookmarkStart w:id="104" w:name="_Toc256000118"/>
      <w:r>
        <w:rPr>
          <w:rFonts w:hint="eastAsia" w:ascii="仿宋" w:hAnsi="仿宋" w:eastAsia="仿宋" w:cs="仿宋"/>
          <w:spacing w:val="0"/>
          <w:kern w:val="0"/>
          <w:sz w:val="32"/>
          <w:szCs w:val="32"/>
        </w:rPr>
        <w:t>2024年度一般公共预算拨款“三公”经费支出0万元，</w:t>
      </w:r>
      <w:r>
        <w:rPr>
          <w:rFonts w:hint="eastAsia" w:ascii="仿宋" w:hAnsi="仿宋" w:eastAsia="仿宋" w:cs="仿宋"/>
          <w:spacing w:val="0"/>
          <w:kern w:val="0"/>
          <w:sz w:val="32"/>
          <w:szCs w:val="32"/>
          <w:lang w:eastAsia="zh-CN"/>
        </w:rPr>
        <w:t>与</w:t>
      </w:r>
      <w:r>
        <w:rPr>
          <w:rFonts w:hint="eastAsia" w:ascii="仿宋" w:hAnsi="仿宋" w:eastAsia="仿宋" w:cs="仿宋"/>
          <w:spacing w:val="0"/>
          <w:kern w:val="0"/>
          <w:sz w:val="32"/>
          <w:szCs w:val="32"/>
        </w:rPr>
        <w:t>全年预算</w:t>
      </w:r>
      <w:r>
        <w:rPr>
          <w:rFonts w:hint="eastAsia" w:ascii="仿宋" w:hAnsi="仿宋" w:eastAsia="仿宋" w:cs="仿宋"/>
          <w:spacing w:val="0"/>
          <w:kern w:val="0"/>
          <w:sz w:val="32"/>
          <w:szCs w:val="32"/>
          <w:lang w:val="en-US" w:eastAsia="zh-CN"/>
        </w:rPr>
        <w:t>0.00万元持平，</w:t>
      </w:r>
      <w:r>
        <w:rPr>
          <w:rFonts w:hint="eastAsia" w:ascii="仿宋" w:hAnsi="仿宋" w:eastAsia="仿宋" w:cs="仿宋"/>
          <w:spacing w:val="0"/>
          <w:kern w:val="0"/>
          <w:sz w:val="32"/>
          <w:szCs w:val="32"/>
        </w:rPr>
        <w:t>较上年</w:t>
      </w:r>
      <w:r>
        <w:rPr>
          <w:rFonts w:hint="eastAsia" w:ascii="仿宋" w:hAnsi="仿宋" w:eastAsia="仿宋" w:cs="仿宋"/>
          <w:spacing w:val="0"/>
          <w:kern w:val="0"/>
          <w:sz w:val="32"/>
          <w:szCs w:val="32"/>
          <w:lang w:eastAsia="zh-CN"/>
        </w:rPr>
        <w:t>决算的</w:t>
      </w:r>
      <w:r>
        <w:rPr>
          <w:rFonts w:hint="eastAsia" w:ascii="仿宋" w:hAnsi="仿宋" w:eastAsia="仿宋" w:cs="仿宋"/>
          <w:spacing w:val="0"/>
          <w:kern w:val="0"/>
          <w:sz w:val="32"/>
          <w:szCs w:val="32"/>
          <w:lang w:val="en-US" w:eastAsia="zh-CN"/>
        </w:rPr>
        <w:t>0.00万元相比持平。</w:t>
      </w:r>
      <w:r>
        <w:rPr>
          <w:rFonts w:hint="eastAsia" w:ascii="仿宋" w:hAnsi="仿宋" w:eastAsia="仿宋" w:cs="仿宋"/>
          <w:spacing w:val="0"/>
          <w:kern w:val="0"/>
          <w:sz w:val="32"/>
          <w:szCs w:val="32"/>
        </w:rPr>
        <w:t>主要原因是</w:t>
      </w:r>
      <w:r>
        <w:rPr>
          <w:rFonts w:hint="eastAsia" w:ascii="仿宋" w:hAnsi="仿宋" w:eastAsia="仿宋" w:cs="仿宋"/>
          <w:spacing w:val="0"/>
          <w:kern w:val="0"/>
          <w:sz w:val="32"/>
          <w:szCs w:val="32"/>
          <w:lang w:eastAsia="zh-CN"/>
        </w:rPr>
        <w:t>本单位没有使用“三公”经费支出</w:t>
      </w:r>
      <w:r>
        <w:rPr>
          <w:rFonts w:hint="eastAsia" w:ascii="仿宋" w:hAnsi="仿宋" w:eastAsia="仿宋" w:cs="仿宋"/>
          <w:spacing w:val="0"/>
          <w:kern w:val="0"/>
          <w:sz w:val="32"/>
          <w:szCs w:val="32"/>
        </w:rPr>
        <w:t>。具体情况如下：</w:t>
      </w:r>
    </w:p>
    <w:p>
      <w:pPr>
        <w:pStyle w:val="29"/>
        <w:widowControl/>
        <w:spacing w:before="100" w:after="100" w:line="600" w:lineRule="atLeast"/>
        <w:ind w:left="0" w:right="0" w:firstLine="640"/>
        <w:jc w:val="both"/>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eastAsia="zh-CN"/>
        </w:rPr>
        <w:t>（一）</w:t>
      </w:r>
      <w:r>
        <w:rPr>
          <w:rFonts w:hint="eastAsia" w:ascii="仿宋" w:hAnsi="仿宋" w:eastAsia="仿宋" w:cs="仿宋"/>
          <w:spacing w:val="0"/>
          <w:kern w:val="0"/>
          <w:sz w:val="32"/>
          <w:szCs w:val="32"/>
        </w:rPr>
        <w:t>因公出国（境）费支出0.00万元，</w:t>
      </w:r>
      <w:r>
        <w:rPr>
          <w:rFonts w:hint="eastAsia" w:ascii="仿宋" w:hAnsi="仿宋" w:eastAsia="仿宋" w:cs="仿宋"/>
          <w:spacing w:val="0"/>
          <w:kern w:val="0"/>
          <w:sz w:val="32"/>
          <w:szCs w:val="32"/>
          <w:lang w:eastAsia="zh-CN"/>
        </w:rPr>
        <w:t>与</w:t>
      </w:r>
      <w:r>
        <w:rPr>
          <w:rFonts w:hint="eastAsia" w:ascii="仿宋" w:hAnsi="仿宋" w:eastAsia="仿宋" w:cs="仿宋"/>
          <w:spacing w:val="0"/>
          <w:kern w:val="0"/>
          <w:sz w:val="32"/>
          <w:szCs w:val="32"/>
        </w:rPr>
        <w:t>全年预算</w:t>
      </w:r>
      <w:r>
        <w:rPr>
          <w:rFonts w:hint="eastAsia" w:ascii="仿宋" w:hAnsi="仿宋" w:eastAsia="仿宋" w:cs="仿宋"/>
          <w:spacing w:val="0"/>
          <w:kern w:val="0"/>
          <w:sz w:val="32"/>
          <w:szCs w:val="32"/>
          <w:lang w:val="en-US" w:eastAsia="zh-CN"/>
        </w:rPr>
        <w:t>0.00万元持平，</w:t>
      </w:r>
      <w:r>
        <w:rPr>
          <w:rFonts w:hint="eastAsia" w:ascii="仿宋" w:hAnsi="仿宋" w:eastAsia="仿宋" w:cs="仿宋"/>
          <w:spacing w:val="0"/>
          <w:kern w:val="0"/>
          <w:sz w:val="32"/>
          <w:szCs w:val="32"/>
        </w:rPr>
        <w:t>较上年</w:t>
      </w:r>
      <w:r>
        <w:rPr>
          <w:rFonts w:hint="eastAsia" w:ascii="仿宋" w:hAnsi="仿宋" w:eastAsia="仿宋" w:cs="仿宋"/>
          <w:spacing w:val="0"/>
          <w:kern w:val="0"/>
          <w:sz w:val="32"/>
          <w:szCs w:val="32"/>
          <w:lang w:eastAsia="zh-CN"/>
        </w:rPr>
        <w:t>决算的</w:t>
      </w:r>
      <w:r>
        <w:rPr>
          <w:rFonts w:hint="eastAsia" w:ascii="仿宋" w:hAnsi="仿宋" w:eastAsia="仿宋" w:cs="仿宋"/>
          <w:spacing w:val="0"/>
          <w:kern w:val="0"/>
          <w:sz w:val="32"/>
          <w:szCs w:val="32"/>
          <w:lang w:val="en-US" w:eastAsia="zh-CN"/>
        </w:rPr>
        <w:t>0.00万元相比持平。</w:t>
      </w:r>
      <w:r>
        <w:rPr>
          <w:rFonts w:hint="eastAsia" w:ascii="仿宋" w:hAnsi="仿宋" w:eastAsia="仿宋" w:cs="仿宋"/>
          <w:spacing w:val="0"/>
          <w:kern w:val="0"/>
          <w:sz w:val="32"/>
          <w:szCs w:val="32"/>
        </w:rPr>
        <w:t>全年安排本</w:t>
      </w:r>
      <w:r>
        <w:rPr>
          <w:rFonts w:hint="eastAsia" w:ascii="仿宋" w:hAnsi="仿宋" w:eastAsia="仿宋" w:cs="仿宋"/>
          <w:spacing w:val="0"/>
          <w:kern w:val="0"/>
          <w:sz w:val="32"/>
          <w:szCs w:val="32"/>
          <w:lang w:eastAsia="zh-CN"/>
        </w:rPr>
        <w:t>单位</w:t>
      </w:r>
      <w:r>
        <w:rPr>
          <w:rFonts w:hint="eastAsia" w:ascii="仿宋" w:hAnsi="仿宋" w:eastAsia="仿宋" w:cs="仿宋"/>
          <w:spacing w:val="0"/>
          <w:kern w:val="0"/>
          <w:sz w:val="32"/>
          <w:szCs w:val="32"/>
        </w:rPr>
        <w:t>组织的出国团组0 个，参加其他</w:t>
      </w:r>
      <w:r>
        <w:rPr>
          <w:rFonts w:hint="eastAsia" w:ascii="仿宋" w:hAnsi="仿宋" w:eastAsia="仿宋" w:cs="仿宋"/>
          <w:spacing w:val="0"/>
          <w:kern w:val="0"/>
          <w:sz w:val="32"/>
          <w:szCs w:val="32"/>
          <w:lang w:eastAsia="zh-CN"/>
        </w:rPr>
        <w:t>单位</w:t>
      </w:r>
      <w:r>
        <w:rPr>
          <w:rFonts w:hint="eastAsia" w:ascii="仿宋" w:hAnsi="仿宋" w:eastAsia="仿宋" w:cs="仿宋"/>
          <w:spacing w:val="0"/>
          <w:kern w:val="0"/>
          <w:sz w:val="32"/>
          <w:szCs w:val="32"/>
        </w:rPr>
        <w:t>出国团组</w:t>
      </w:r>
      <w:r>
        <w:rPr>
          <w:rFonts w:hint="eastAsia" w:ascii="仿宋" w:hAnsi="仿宋" w:eastAsia="仿宋" w:cs="仿宋"/>
          <w:spacing w:val="0"/>
          <w:kern w:val="0"/>
          <w:sz w:val="32"/>
          <w:szCs w:val="32"/>
          <w:lang w:val="en-US" w:eastAsia="zh-CN"/>
        </w:rPr>
        <w:t>0</w:t>
      </w:r>
      <w:r>
        <w:rPr>
          <w:rFonts w:hint="eastAsia" w:ascii="仿宋" w:hAnsi="仿宋" w:eastAsia="仿宋" w:cs="仿宋"/>
          <w:spacing w:val="0"/>
          <w:kern w:val="0"/>
          <w:sz w:val="32"/>
          <w:szCs w:val="32"/>
        </w:rPr>
        <w:t> 个；全年因公出国（境）累计0人次。主要是</w:t>
      </w:r>
      <w:r>
        <w:rPr>
          <w:rFonts w:hint="eastAsia" w:ascii="仿宋" w:hAnsi="仿宋" w:eastAsia="仿宋" w:cs="仿宋"/>
          <w:spacing w:val="0"/>
          <w:kern w:val="0"/>
          <w:sz w:val="32"/>
          <w:szCs w:val="32"/>
          <w:lang w:val="en-US" w:eastAsia="zh-CN"/>
        </w:rPr>
        <w:t>本单位没有组织出国团组及参加其他部</w:t>
      </w:r>
      <w:r>
        <w:rPr>
          <w:rFonts w:hint="default" w:ascii="仿宋" w:hAnsi="仿宋" w:eastAsia="仿宋" w:cs="仿宋"/>
          <w:spacing w:val="0"/>
          <w:kern w:val="0"/>
          <w:sz w:val="32"/>
          <w:szCs w:val="32"/>
          <w:lang w:val="en-US" w:eastAsia="zh-CN"/>
        </w:rPr>
        <w:t>门出国团组。</w:t>
      </w:r>
      <w:r>
        <w:rPr>
          <w:rFonts w:hint="eastAsia" w:ascii="仿宋" w:hAnsi="仿宋" w:eastAsia="仿宋" w:cs="仿宋"/>
          <w:spacing w:val="0"/>
          <w:kern w:val="0"/>
          <w:sz w:val="32"/>
          <w:szCs w:val="32"/>
          <w:lang w:val="en-US" w:eastAsia="zh-CN"/>
        </w:rPr>
        <w:t xml:space="preserve">  </w:t>
      </w:r>
    </w:p>
    <w:p>
      <w:pPr>
        <w:pStyle w:val="29"/>
        <w:widowControl/>
        <w:spacing w:before="100" w:after="100" w:line="600" w:lineRule="atLeast"/>
        <w:ind w:left="0" w:right="0" w:firstLine="640"/>
        <w:jc w:val="both"/>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（二）公务用车购置及运行费支出0.00万元，</w:t>
      </w:r>
      <w:r>
        <w:rPr>
          <w:rFonts w:hint="eastAsia" w:ascii="仿宋" w:hAnsi="仿宋" w:eastAsia="仿宋" w:cs="仿宋"/>
          <w:spacing w:val="0"/>
          <w:kern w:val="0"/>
          <w:sz w:val="32"/>
          <w:szCs w:val="32"/>
          <w:lang w:eastAsia="zh-CN"/>
        </w:rPr>
        <w:t>与</w:t>
      </w:r>
      <w:r>
        <w:rPr>
          <w:rFonts w:hint="eastAsia" w:ascii="仿宋" w:hAnsi="仿宋" w:eastAsia="仿宋" w:cs="仿宋"/>
          <w:spacing w:val="0"/>
          <w:kern w:val="0"/>
          <w:sz w:val="32"/>
          <w:szCs w:val="32"/>
        </w:rPr>
        <w:t>全年预算</w:t>
      </w:r>
      <w:r>
        <w:rPr>
          <w:rFonts w:hint="eastAsia" w:ascii="仿宋" w:hAnsi="仿宋" w:eastAsia="仿宋" w:cs="仿宋"/>
          <w:spacing w:val="0"/>
          <w:kern w:val="0"/>
          <w:sz w:val="32"/>
          <w:szCs w:val="32"/>
          <w:lang w:val="en-US" w:eastAsia="zh-CN"/>
        </w:rPr>
        <w:t>0.00万元持平，</w:t>
      </w:r>
      <w:r>
        <w:rPr>
          <w:rFonts w:hint="eastAsia" w:ascii="仿宋" w:hAnsi="仿宋" w:eastAsia="仿宋" w:cs="仿宋"/>
          <w:spacing w:val="0"/>
          <w:kern w:val="0"/>
          <w:sz w:val="32"/>
          <w:szCs w:val="32"/>
        </w:rPr>
        <w:t>较上年</w:t>
      </w:r>
      <w:r>
        <w:rPr>
          <w:rFonts w:hint="eastAsia" w:ascii="仿宋" w:hAnsi="仿宋" w:eastAsia="仿宋" w:cs="仿宋"/>
          <w:spacing w:val="0"/>
          <w:kern w:val="0"/>
          <w:sz w:val="32"/>
          <w:szCs w:val="32"/>
          <w:lang w:eastAsia="zh-CN"/>
        </w:rPr>
        <w:t>决算的</w:t>
      </w:r>
      <w:r>
        <w:rPr>
          <w:rFonts w:hint="eastAsia" w:ascii="仿宋" w:hAnsi="仿宋" w:eastAsia="仿宋" w:cs="仿宋"/>
          <w:spacing w:val="0"/>
          <w:kern w:val="0"/>
          <w:sz w:val="32"/>
          <w:szCs w:val="32"/>
          <w:lang w:val="en-US" w:eastAsia="zh-CN"/>
        </w:rPr>
        <w:t>0.00万元相比持平。</w:t>
      </w:r>
      <w:r>
        <w:rPr>
          <w:rFonts w:hint="eastAsia" w:ascii="仿宋" w:hAnsi="仿宋" w:eastAsia="仿宋" w:cs="仿宋"/>
          <w:spacing w:val="0"/>
          <w:kern w:val="0"/>
          <w:sz w:val="32"/>
          <w:szCs w:val="32"/>
        </w:rPr>
        <w:t>主要是</w:t>
      </w:r>
      <w:r>
        <w:rPr>
          <w:rFonts w:hint="eastAsia" w:ascii="仿宋" w:hAnsi="仿宋" w:eastAsia="仿宋" w:cs="仿宋"/>
          <w:spacing w:val="0"/>
          <w:kern w:val="0"/>
          <w:sz w:val="32"/>
          <w:szCs w:val="32"/>
          <w:lang w:val="en-US" w:eastAsia="zh-CN"/>
        </w:rPr>
        <w:t>本单位没有购置</w:t>
      </w:r>
      <w:r>
        <w:rPr>
          <w:rFonts w:hint="default" w:ascii="仿宋" w:hAnsi="仿宋" w:eastAsia="仿宋" w:cs="仿宋"/>
          <w:spacing w:val="0"/>
          <w:kern w:val="0"/>
          <w:sz w:val="32"/>
          <w:szCs w:val="32"/>
          <w:lang w:val="en-US" w:eastAsia="zh-CN"/>
        </w:rPr>
        <w:t>公务用车及运行</w:t>
      </w:r>
      <w:r>
        <w:rPr>
          <w:rFonts w:hint="eastAsia" w:ascii="仿宋" w:hAnsi="仿宋" w:eastAsia="仿宋" w:cs="仿宋"/>
          <w:spacing w:val="0"/>
          <w:kern w:val="0"/>
          <w:sz w:val="32"/>
          <w:szCs w:val="32"/>
          <w:lang w:val="en-US" w:eastAsia="zh-CN"/>
        </w:rPr>
        <w:t>维护</w:t>
      </w:r>
      <w:r>
        <w:rPr>
          <w:rFonts w:hint="default" w:ascii="仿宋" w:hAnsi="仿宋" w:eastAsia="仿宋" w:cs="仿宋"/>
          <w:spacing w:val="0"/>
          <w:kern w:val="0"/>
          <w:sz w:val="32"/>
          <w:szCs w:val="32"/>
          <w:lang w:val="en-US" w:eastAsia="zh-CN"/>
        </w:rPr>
        <w:t>费支出。</w:t>
      </w:r>
      <w:r>
        <w:rPr>
          <w:rFonts w:hint="eastAsia" w:ascii="仿宋" w:hAnsi="仿宋" w:eastAsia="仿宋" w:cs="仿宋"/>
          <w:spacing w:val="0"/>
          <w:kern w:val="0"/>
          <w:sz w:val="32"/>
          <w:szCs w:val="32"/>
        </w:rPr>
        <w:t>其中：</w:t>
      </w:r>
    </w:p>
    <w:p>
      <w:pPr>
        <w:pStyle w:val="29"/>
        <w:widowControl/>
        <w:spacing w:before="100" w:after="100" w:line="600" w:lineRule="atLeast"/>
        <w:ind w:left="0" w:right="0" w:firstLine="640"/>
        <w:jc w:val="both"/>
        <w:rPr>
          <w:rFonts w:hint="default"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公务用车购置费支出0.00万元，与全年预算0.00万元持平，较上年决算的0.00万元相比持平。2024年公务用车购置0 辆。主要是本单位</w:t>
      </w:r>
      <w:r>
        <w:rPr>
          <w:rFonts w:hint="default" w:ascii="仿宋" w:hAnsi="仿宋" w:eastAsia="仿宋" w:cs="仿宋"/>
          <w:spacing w:val="0"/>
          <w:kern w:val="0"/>
          <w:sz w:val="32"/>
          <w:szCs w:val="32"/>
          <w:lang w:val="en-US" w:eastAsia="zh-CN"/>
        </w:rPr>
        <w:t>没有购置公务用车。</w:t>
      </w:r>
    </w:p>
    <w:p>
      <w:pPr>
        <w:pStyle w:val="29"/>
        <w:widowControl/>
        <w:spacing w:before="100" w:after="100" w:line="600" w:lineRule="atLeast"/>
        <w:ind w:left="0" w:right="0" w:firstLine="640"/>
        <w:jc w:val="both"/>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公务用车运行费支出0.00万元，</w:t>
      </w:r>
      <w:r>
        <w:rPr>
          <w:rFonts w:hint="eastAsia" w:ascii="仿宋" w:hAnsi="仿宋" w:eastAsia="仿宋" w:cs="仿宋"/>
          <w:spacing w:val="0"/>
          <w:kern w:val="0"/>
          <w:sz w:val="32"/>
          <w:szCs w:val="32"/>
          <w:lang w:eastAsia="zh-CN"/>
        </w:rPr>
        <w:t>与</w:t>
      </w:r>
      <w:r>
        <w:rPr>
          <w:rFonts w:hint="eastAsia" w:ascii="仿宋" w:hAnsi="仿宋" w:eastAsia="仿宋" w:cs="仿宋"/>
          <w:spacing w:val="0"/>
          <w:kern w:val="0"/>
          <w:sz w:val="32"/>
          <w:szCs w:val="32"/>
        </w:rPr>
        <w:t>全年预算</w:t>
      </w:r>
      <w:r>
        <w:rPr>
          <w:rFonts w:hint="eastAsia" w:ascii="仿宋" w:hAnsi="仿宋" w:eastAsia="仿宋" w:cs="仿宋"/>
          <w:spacing w:val="0"/>
          <w:kern w:val="0"/>
          <w:sz w:val="32"/>
          <w:szCs w:val="32"/>
          <w:lang w:val="en-US" w:eastAsia="zh-CN"/>
        </w:rPr>
        <w:t>0.00万元持平，</w:t>
      </w:r>
      <w:r>
        <w:rPr>
          <w:rFonts w:hint="eastAsia" w:ascii="仿宋" w:hAnsi="仿宋" w:eastAsia="仿宋" w:cs="仿宋"/>
          <w:spacing w:val="0"/>
          <w:kern w:val="0"/>
          <w:sz w:val="32"/>
          <w:szCs w:val="32"/>
        </w:rPr>
        <w:t>较上年</w:t>
      </w:r>
      <w:r>
        <w:rPr>
          <w:rFonts w:hint="eastAsia" w:ascii="仿宋" w:hAnsi="仿宋" w:eastAsia="仿宋" w:cs="仿宋"/>
          <w:spacing w:val="0"/>
          <w:kern w:val="0"/>
          <w:sz w:val="32"/>
          <w:szCs w:val="32"/>
          <w:lang w:eastAsia="zh-CN"/>
        </w:rPr>
        <w:t>决算的</w:t>
      </w:r>
      <w:r>
        <w:rPr>
          <w:rFonts w:hint="eastAsia" w:ascii="仿宋" w:hAnsi="仿宋" w:eastAsia="仿宋" w:cs="仿宋"/>
          <w:spacing w:val="0"/>
          <w:kern w:val="0"/>
          <w:sz w:val="32"/>
          <w:szCs w:val="32"/>
          <w:lang w:val="en-US" w:eastAsia="zh-CN"/>
        </w:rPr>
        <w:t>0.00万元相比持平。</w:t>
      </w:r>
      <w:r>
        <w:rPr>
          <w:rFonts w:hint="eastAsia" w:ascii="仿宋" w:hAnsi="仿宋" w:eastAsia="仿宋" w:cs="仿宋"/>
          <w:spacing w:val="0"/>
          <w:kern w:val="0"/>
          <w:sz w:val="32"/>
          <w:szCs w:val="32"/>
        </w:rPr>
        <w:t>主要是</w:t>
      </w:r>
      <w:r>
        <w:rPr>
          <w:rFonts w:hint="eastAsia" w:ascii="仿宋" w:hAnsi="仿宋" w:eastAsia="仿宋" w:cs="仿宋"/>
          <w:spacing w:val="0"/>
          <w:kern w:val="0"/>
          <w:sz w:val="32"/>
          <w:szCs w:val="32"/>
          <w:lang w:val="en-US" w:eastAsia="zh-CN"/>
        </w:rPr>
        <w:t>本单位没有公务用车运行维护</w:t>
      </w:r>
      <w:r>
        <w:rPr>
          <w:rFonts w:hint="default" w:ascii="仿宋" w:hAnsi="仿宋" w:eastAsia="仿宋" w:cs="仿宋"/>
          <w:spacing w:val="0"/>
          <w:kern w:val="0"/>
          <w:sz w:val="32"/>
          <w:szCs w:val="32"/>
          <w:lang w:val="en-US" w:eastAsia="zh-CN"/>
        </w:rPr>
        <w:t>费的支出。</w:t>
      </w:r>
      <w:r>
        <w:rPr>
          <w:rFonts w:hint="eastAsia" w:ascii="仿宋" w:hAnsi="仿宋" w:eastAsia="仿宋" w:cs="仿宋"/>
          <w:spacing w:val="0"/>
          <w:kern w:val="0"/>
          <w:sz w:val="32"/>
          <w:szCs w:val="32"/>
        </w:rPr>
        <w:t>截至20</w:t>
      </w:r>
      <w:r>
        <w:rPr>
          <w:rFonts w:hint="eastAsia" w:ascii="仿宋" w:hAnsi="仿宋" w:eastAsia="仿宋" w:cs="仿宋"/>
          <w:spacing w:val="0"/>
          <w:kern w:val="0"/>
          <w:sz w:val="32"/>
          <w:szCs w:val="32"/>
          <w:lang w:val="en-US" w:eastAsia="zh-CN"/>
        </w:rPr>
        <w:t>24</w:t>
      </w:r>
      <w:r>
        <w:rPr>
          <w:rFonts w:hint="eastAsia" w:ascii="仿宋" w:hAnsi="仿宋" w:eastAsia="仿宋" w:cs="仿宋"/>
          <w:spacing w:val="0"/>
          <w:kern w:val="0"/>
          <w:sz w:val="32"/>
          <w:szCs w:val="32"/>
        </w:rPr>
        <w:t>年12月31日，本</w:t>
      </w:r>
      <w:r>
        <w:rPr>
          <w:rFonts w:hint="eastAsia" w:ascii="仿宋" w:hAnsi="仿宋" w:eastAsia="仿宋" w:cs="仿宋"/>
          <w:spacing w:val="0"/>
          <w:kern w:val="0"/>
          <w:sz w:val="32"/>
          <w:szCs w:val="32"/>
          <w:lang w:val="en-US" w:eastAsia="zh-CN"/>
        </w:rPr>
        <w:t>单位</w:t>
      </w:r>
      <w:r>
        <w:rPr>
          <w:rFonts w:hint="eastAsia" w:ascii="仿宋" w:hAnsi="仿宋" w:eastAsia="仿宋" w:cs="仿宋"/>
          <w:spacing w:val="0"/>
          <w:kern w:val="0"/>
          <w:sz w:val="32"/>
          <w:szCs w:val="32"/>
        </w:rPr>
        <w:t>公务用车保有量为0辆。</w:t>
      </w:r>
    </w:p>
    <w:p>
      <w:pPr>
        <w:pStyle w:val="29"/>
        <w:widowControl/>
        <w:spacing w:before="100" w:after="100" w:line="600" w:lineRule="atLeast"/>
        <w:ind w:left="0" w:right="0" w:firstLine="640"/>
        <w:jc w:val="both"/>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公务接待费支出0.00万元，</w:t>
      </w:r>
      <w:r>
        <w:rPr>
          <w:rFonts w:hint="eastAsia" w:ascii="仿宋" w:hAnsi="仿宋" w:eastAsia="仿宋" w:cs="仿宋"/>
          <w:spacing w:val="0"/>
          <w:kern w:val="0"/>
          <w:sz w:val="32"/>
          <w:szCs w:val="32"/>
          <w:lang w:eastAsia="zh-CN"/>
        </w:rPr>
        <w:t>与</w:t>
      </w:r>
      <w:r>
        <w:rPr>
          <w:rFonts w:hint="eastAsia" w:ascii="仿宋" w:hAnsi="仿宋" w:eastAsia="仿宋" w:cs="仿宋"/>
          <w:spacing w:val="0"/>
          <w:kern w:val="0"/>
          <w:sz w:val="32"/>
          <w:szCs w:val="32"/>
        </w:rPr>
        <w:t>全年预算</w:t>
      </w:r>
      <w:r>
        <w:rPr>
          <w:rFonts w:hint="eastAsia" w:ascii="仿宋" w:hAnsi="仿宋" w:eastAsia="仿宋" w:cs="仿宋"/>
          <w:spacing w:val="0"/>
          <w:kern w:val="0"/>
          <w:sz w:val="32"/>
          <w:szCs w:val="32"/>
          <w:lang w:val="en-US" w:eastAsia="zh-CN"/>
        </w:rPr>
        <w:t>0.00万元持平，</w:t>
      </w:r>
      <w:r>
        <w:rPr>
          <w:rFonts w:hint="eastAsia" w:ascii="仿宋" w:hAnsi="仿宋" w:eastAsia="仿宋" w:cs="仿宋"/>
          <w:spacing w:val="0"/>
          <w:kern w:val="0"/>
          <w:sz w:val="32"/>
          <w:szCs w:val="32"/>
        </w:rPr>
        <w:t>较上年</w:t>
      </w:r>
      <w:r>
        <w:rPr>
          <w:rFonts w:hint="eastAsia" w:ascii="仿宋" w:hAnsi="仿宋" w:eastAsia="仿宋" w:cs="仿宋"/>
          <w:spacing w:val="0"/>
          <w:kern w:val="0"/>
          <w:sz w:val="32"/>
          <w:szCs w:val="32"/>
          <w:lang w:eastAsia="zh-CN"/>
        </w:rPr>
        <w:t>决算的</w:t>
      </w:r>
      <w:r>
        <w:rPr>
          <w:rFonts w:hint="eastAsia" w:ascii="仿宋" w:hAnsi="仿宋" w:eastAsia="仿宋" w:cs="仿宋"/>
          <w:spacing w:val="0"/>
          <w:kern w:val="0"/>
          <w:sz w:val="32"/>
          <w:szCs w:val="32"/>
          <w:lang w:val="en-US" w:eastAsia="zh-CN"/>
        </w:rPr>
        <w:t>0.00万元相比持平。</w:t>
      </w:r>
      <w:r>
        <w:rPr>
          <w:rFonts w:hint="eastAsia" w:ascii="仿宋" w:hAnsi="仿宋" w:eastAsia="仿宋" w:cs="仿宋"/>
          <w:spacing w:val="0"/>
          <w:kern w:val="0"/>
          <w:sz w:val="32"/>
          <w:szCs w:val="32"/>
        </w:rPr>
        <w:t>主要是</w:t>
      </w:r>
      <w:r>
        <w:rPr>
          <w:rFonts w:hint="eastAsia" w:ascii="仿宋" w:hAnsi="仿宋" w:eastAsia="仿宋" w:cs="仿宋"/>
          <w:spacing w:val="0"/>
          <w:kern w:val="0"/>
          <w:sz w:val="32"/>
          <w:szCs w:val="32"/>
          <w:lang w:val="en-US" w:eastAsia="zh-CN"/>
        </w:rPr>
        <w:t>本单位没有公务接待活动。</w:t>
      </w:r>
      <w:r>
        <w:rPr>
          <w:rFonts w:hint="eastAsia" w:ascii="仿宋" w:hAnsi="仿宋" w:eastAsia="仿宋" w:cs="仿宋"/>
          <w:spacing w:val="0"/>
          <w:kern w:val="0"/>
          <w:sz w:val="32"/>
          <w:szCs w:val="32"/>
        </w:rPr>
        <w:t>累计接待0 批次、0人次。</w:t>
      </w:r>
    </w:p>
    <w:p>
      <w:pPr>
        <w:pStyle w:val="6"/>
        <w:keepNext w:val="0"/>
        <w:keepLines w:val="0"/>
        <w:numPr>
          <w:ilvl w:val="0"/>
          <w:numId w:val="0"/>
        </w:numPr>
        <w:spacing w:before="100" w:after="100" w:line="600" w:lineRule="atLeast"/>
        <w:ind w:left="640" w:leftChars="0" w:right="0" w:rightChars="0"/>
        <w:jc w:val="both"/>
        <w:rPr>
          <w:rFonts w:hint="eastAsia" w:ascii="仿宋" w:hAnsi="仿宋" w:eastAsia="仿宋" w:cs="仿宋"/>
          <w:b/>
          <w:bCs/>
          <w:kern w:val="0"/>
          <w:sz w:val="32"/>
          <w:szCs w:val="32"/>
        </w:rPr>
      </w:pPr>
      <w:r>
        <w:rPr>
          <w:rFonts w:hint="eastAsia" w:ascii="仿宋" w:hAnsi="仿宋" w:eastAsia="仿宋" w:cs="仿宋"/>
          <w:b/>
          <w:spacing w:val="0"/>
          <w:sz w:val="32"/>
          <w:szCs w:val="32"/>
        </w:rPr>
        <w:t>八、预算绩效情况说明</w:t>
      </w:r>
      <w:bookmarkEnd w:id="101"/>
      <w:bookmarkEnd w:id="102"/>
      <w:bookmarkEnd w:id="103"/>
      <w:bookmarkEnd w:id="104"/>
    </w:p>
    <w:p>
      <w:pPr>
        <w:pStyle w:val="29"/>
        <w:widowControl/>
        <w:spacing w:before="100" w:after="100" w:line="600" w:lineRule="atLeast"/>
        <w:ind w:left="0" w:right="0" w:firstLine="640"/>
        <w:jc w:val="both"/>
        <w:rPr>
          <w:rFonts w:hint="eastAsia" w:ascii="仿宋" w:hAnsi="仿宋" w:eastAsia="仿宋" w:cs="仿宋"/>
          <w:spacing w:val="0"/>
          <w:kern w:val="0"/>
          <w:sz w:val="32"/>
          <w:szCs w:val="32"/>
        </w:rPr>
      </w:pPr>
      <w:bookmarkStart w:id="105" w:name="_Toc256000026"/>
      <w:bookmarkStart w:id="106" w:name="_Toc256000088"/>
      <w:bookmarkStart w:id="107" w:name="_Toc256000057"/>
      <w:bookmarkStart w:id="108" w:name="_Toc256000119"/>
      <w:r>
        <w:rPr>
          <w:rFonts w:hint="eastAsia" w:ascii="仿宋" w:hAnsi="仿宋" w:eastAsia="仿宋" w:cs="仿宋"/>
          <w:spacing w:val="0"/>
          <w:kern w:val="0"/>
          <w:sz w:val="32"/>
          <w:szCs w:val="32"/>
        </w:rPr>
        <w:t>根据预算绩效管理要求，本单位组织对2024年度</w:t>
      </w:r>
      <w:r>
        <w:rPr>
          <w:rFonts w:hint="eastAsia" w:ascii="仿宋" w:hAnsi="仿宋" w:eastAsia="仿宋" w:cs="仿宋"/>
          <w:spacing w:val="0"/>
          <w:kern w:val="0"/>
          <w:sz w:val="32"/>
          <w:szCs w:val="32"/>
          <w:lang w:val="en-US" w:eastAsia="zh-CN"/>
        </w:rPr>
        <w:t>1</w:t>
      </w:r>
      <w:r>
        <w:rPr>
          <w:rFonts w:hint="eastAsia" w:ascii="仿宋" w:hAnsi="仿宋" w:eastAsia="仿宋" w:cs="仿宋"/>
          <w:spacing w:val="0"/>
          <w:kern w:val="0"/>
          <w:sz w:val="32"/>
          <w:szCs w:val="32"/>
        </w:rPr>
        <w:t>个项目实施单位自评，</w:t>
      </w:r>
      <w:r>
        <w:rPr>
          <w:rFonts w:hint="eastAsia" w:ascii="仿宋" w:hAnsi="仿宋" w:eastAsia="仿宋" w:cs="仿宋"/>
          <w:spacing w:val="0"/>
          <w:kern w:val="0"/>
          <w:sz w:val="32"/>
          <w:szCs w:val="32"/>
          <w:lang w:eastAsia="zh-CN"/>
        </w:rPr>
        <w:t>项目名称为</w:t>
      </w:r>
      <w:r>
        <w:rPr>
          <w:rFonts w:hint="eastAsia" w:ascii="仿宋" w:hAnsi="仿宋" w:eastAsia="仿宋" w:cs="仿宋"/>
          <w:spacing w:val="0"/>
          <w:kern w:val="0"/>
          <w:sz w:val="32"/>
          <w:szCs w:val="32"/>
        </w:rPr>
        <w:t>义务教育阶段家庭经济困难学生营养餐补助，涉及财政拨款资金共计</w:t>
      </w:r>
      <w:r>
        <w:rPr>
          <w:rFonts w:hint="eastAsia" w:ascii="仿宋" w:hAnsi="仿宋" w:eastAsia="仿宋" w:cs="仿宋"/>
          <w:spacing w:val="0"/>
          <w:kern w:val="0"/>
          <w:sz w:val="32"/>
          <w:szCs w:val="32"/>
          <w:lang w:val="en-US" w:eastAsia="zh-CN"/>
        </w:rPr>
        <w:t>0.97</w:t>
      </w:r>
      <w:r>
        <w:rPr>
          <w:rFonts w:hint="eastAsia" w:ascii="仿宋" w:hAnsi="仿宋" w:eastAsia="仿宋" w:cs="仿宋"/>
          <w:spacing w:val="0"/>
          <w:kern w:val="0"/>
          <w:sz w:val="32"/>
          <w:szCs w:val="32"/>
        </w:rPr>
        <w:t>万元。（《项目支出绩效自评表》详见附件）</w:t>
      </w:r>
    </w:p>
    <w:p>
      <w:pPr>
        <w:pStyle w:val="6"/>
        <w:keepNext w:val="0"/>
        <w:keepLines w:val="0"/>
        <w:spacing w:before="100" w:after="100" w:line="600" w:lineRule="atLeast"/>
        <w:ind w:left="0" w:right="0" w:firstLine="640" w:firstLineChars="0"/>
        <w:jc w:val="both"/>
        <w:rPr>
          <w:rFonts w:hint="eastAsia" w:ascii="仿宋" w:hAnsi="仿宋" w:eastAsia="仿宋" w:cs="仿宋"/>
          <w:b/>
          <w:bCs/>
          <w:kern w:val="0"/>
          <w:sz w:val="32"/>
          <w:szCs w:val="32"/>
        </w:rPr>
      </w:pPr>
      <w:r>
        <w:rPr>
          <w:rFonts w:hint="eastAsia" w:ascii="仿宋" w:hAnsi="仿宋" w:eastAsia="仿宋" w:cs="仿宋"/>
          <w:b/>
          <w:spacing w:val="0"/>
          <w:sz w:val="32"/>
          <w:szCs w:val="32"/>
        </w:rPr>
        <w:t>九、其他重要事项说明</w:t>
      </w:r>
      <w:bookmarkEnd w:id="105"/>
      <w:bookmarkEnd w:id="106"/>
      <w:bookmarkEnd w:id="107"/>
      <w:bookmarkEnd w:id="108"/>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3"/>
        <w:jc w:val="both"/>
        <w:textAlignment w:val="auto"/>
        <w:rPr>
          <w:rFonts w:ascii="Times New Roman" w:hAnsi="Times New Roman" w:eastAsia="Times New Roman" w:cs="Times New Roman"/>
          <w:kern w:val="0"/>
          <w:sz w:val="24"/>
        </w:rPr>
      </w:pPr>
      <w:bookmarkStart w:id="109" w:name="_Toc256000027"/>
      <w:bookmarkStart w:id="110" w:name="_Toc256000120"/>
      <w:bookmarkStart w:id="111" w:name="_Toc256000058"/>
      <w:bookmarkStart w:id="112" w:name="_Toc256000089"/>
      <w:r>
        <w:rPr>
          <w:rStyle w:val="31"/>
          <w:rFonts w:ascii="楷体" w:hAnsi="楷体" w:eastAsia="楷体" w:cs="楷体"/>
          <w:b/>
          <w:bCs/>
          <w:spacing w:val="0"/>
          <w:kern w:val="0"/>
          <w:sz w:val="32"/>
          <w:szCs w:val="32"/>
        </w:rPr>
        <w:t>（一）机关运行经费</w:t>
      </w:r>
      <w:r>
        <w:rPr>
          <w:rFonts w:ascii="宋体" w:hAnsi="宋体" w:cs="宋体"/>
          <w:spacing w:val="0"/>
          <w:kern w:val="0"/>
          <w:sz w:val="32"/>
          <w:szCs w:val="32"/>
        </w:rPr>
        <w:t> </w:t>
      </w:r>
    </w:p>
    <w:p>
      <w:pPr>
        <w:pStyle w:val="29"/>
        <w:widowControl/>
        <w:spacing w:before="100" w:after="100" w:line="600" w:lineRule="atLeast"/>
        <w:ind w:left="0" w:right="0" w:firstLine="640"/>
        <w:jc w:val="both"/>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2024年度机关运行经费支出0万元，比上年决算数增加（减少）0万元，增长（下降）0%，主要原因是:本单位为事业单位，没有机关运行经费。</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3"/>
        <w:jc w:val="both"/>
        <w:textAlignment w:val="auto"/>
        <w:rPr>
          <w:rFonts w:ascii="Times New Roman" w:hAnsi="Times New Roman" w:eastAsia="Times New Roman" w:cs="Times New Roman"/>
          <w:kern w:val="0"/>
          <w:sz w:val="24"/>
        </w:rPr>
      </w:pPr>
      <w:r>
        <w:rPr>
          <w:rStyle w:val="31"/>
          <w:rFonts w:ascii="楷体" w:hAnsi="楷体" w:eastAsia="楷体" w:cs="楷体"/>
          <w:b/>
          <w:bCs/>
          <w:spacing w:val="0"/>
          <w:kern w:val="0"/>
          <w:sz w:val="32"/>
          <w:szCs w:val="32"/>
        </w:rPr>
        <w:t>（二）政府采购情况</w:t>
      </w:r>
    </w:p>
    <w:p>
      <w:pPr>
        <w:pStyle w:val="29"/>
        <w:widowControl/>
        <w:spacing w:before="100" w:after="100" w:line="600" w:lineRule="atLeast"/>
        <w:ind w:left="0" w:right="0" w:firstLine="640"/>
        <w:jc w:val="both"/>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本单位2024年度政府采购支出总额0万元，其中：政府采购货物支出0万元、政府采购工程支出0万元、政府采购服务支出0万元。授予中小企业合同金额0万元，占政府采购支出总额的0%，其中：授予小微企业合同金额0万元，占授予中小企业合同金额的0%；货物采购授予中小企业合同金额占货物支出金额的0%，工程采购授予中小企业合同金额占工程支出金额的0%，服务采购授予中小企业合同金额占服务支出金额的0%。</w:t>
      </w:r>
    </w:p>
    <w:p>
      <w:pPr>
        <w:pStyle w:val="29"/>
        <w:widowControl/>
        <w:spacing w:before="100" w:after="100" w:line="600" w:lineRule="atLeast"/>
        <w:ind w:left="0" w:right="0" w:firstLine="640"/>
        <w:jc w:val="both"/>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本单位2024年度没有政府采购支出。</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707"/>
        <w:jc w:val="both"/>
        <w:textAlignment w:val="auto"/>
        <w:rPr>
          <w:rFonts w:ascii="Times New Roman" w:hAnsi="Times New Roman" w:eastAsia="Times New Roman" w:cs="Times New Roman"/>
          <w:kern w:val="0"/>
          <w:sz w:val="24"/>
        </w:rPr>
      </w:pPr>
      <w:r>
        <w:rPr>
          <w:rStyle w:val="31"/>
          <w:rFonts w:ascii="楷体" w:hAnsi="楷体" w:eastAsia="楷体" w:cs="楷体"/>
          <w:b/>
          <w:bCs/>
          <w:spacing w:val="0"/>
          <w:kern w:val="0"/>
          <w:sz w:val="32"/>
          <w:szCs w:val="32"/>
        </w:rPr>
        <w:t>（三）国有资产占用使用情况</w:t>
      </w:r>
      <w:r>
        <w:rPr>
          <w:rFonts w:ascii="宋体" w:hAnsi="宋体" w:cs="宋体"/>
          <w:spacing w:val="0"/>
          <w:kern w:val="0"/>
          <w:sz w:val="32"/>
          <w:szCs w:val="32"/>
        </w:rPr>
        <w:t> </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704"/>
        <w:jc w:val="both"/>
        <w:textAlignment w:val="auto"/>
        <w:rPr>
          <w:rFonts w:ascii="Calibri" w:hAnsi="Calibri" w:eastAsia="Calibri" w:cs="Calibri"/>
          <w:spacing w:val="0"/>
          <w:kern w:val="0"/>
          <w:sz w:val="32"/>
          <w:szCs w:val="32"/>
        </w:rPr>
      </w:pPr>
      <w:r>
        <w:rPr>
          <w:rFonts w:hint="eastAsia" w:ascii="仿宋" w:hAnsi="仿宋" w:eastAsia="仿宋" w:cs="仿宋"/>
          <w:spacing w:val="0"/>
          <w:kern w:val="0"/>
          <w:sz w:val="32"/>
          <w:szCs w:val="32"/>
          <w:lang w:val="en-US" w:eastAsia="zh-CN"/>
        </w:rPr>
        <w:t>截至2024年12月31日，本单位共有车辆0 辆，其中：副部（省）级以上领导用车0 辆、主要领导干部用车0 辆、机要通信用车0辆、应急保障用车0辆、执法执勤用车0辆、特种专业技术用车0辆、离退休干部用车0辆、其他用车0辆；单位价值100万元以上设备（不含车辆）0台（套）。</w:t>
      </w:r>
      <w:r>
        <w:rPr>
          <w:rFonts w:ascii="Calibri" w:hAnsi="Calibri" w:eastAsia="Calibri" w:cs="Calibri"/>
          <w:spacing w:val="0"/>
          <w:kern w:val="0"/>
          <w:sz w:val="32"/>
          <w:szCs w:val="32"/>
        </w:rPr>
        <w:t> </w:t>
      </w:r>
    </w:p>
    <w:p>
      <w:pPr>
        <w:pStyle w:val="4"/>
        <w:keepNext w:val="0"/>
        <w:keepLines w:val="0"/>
        <w:spacing w:before="100" w:after="100" w:line="240" w:lineRule="auto"/>
        <w:ind w:left="0" w:right="0" w:firstLine="0" w:firstLineChars="0"/>
        <w:rPr>
          <w:rFonts w:hint="eastAsia" w:ascii="仿宋" w:hAnsi="仿宋" w:eastAsia="仿宋" w:cs="仿宋"/>
          <w:b/>
          <w:spacing w:val="0"/>
          <w:sz w:val="32"/>
          <w:szCs w:val="32"/>
        </w:rPr>
      </w:pPr>
    </w:p>
    <w:p>
      <w:pPr>
        <w:pStyle w:val="4"/>
        <w:keepNext w:val="0"/>
        <w:keepLines w:val="0"/>
        <w:spacing w:before="100" w:after="100" w:line="240" w:lineRule="auto"/>
        <w:ind w:left="0" w:right="0" w:firstLine="0" w:firstLineChars="0"/>
        <w:jc w:val="center"/>
        <w:rPr>
          <w:rFonts w:hint="eastAsia" w:ascii="仿宋" w:hAnsi="仿宋" w:eastAsia="仿宋" w:cs="仿宋"/>
          <w:b/>
          <w:bCs/>
          <w:kern w:val="0"/>
          <w:sz w:val="32"/>
          <w:szCs w:val="32"/>
        </w:rPr>
      </w:pPr>
      <w:r>
        <w:rPr>
          <w:rFonts w:hint="eastAsia" w:ascii="仿宋" w:hAnsi="仿宋" w:eastAsia="仿宋" w:cs="仿宋"/>
          <w:b/>
          <w:spacing w:val="0"/>
          <w:sz w:val="32"/>
          <w:szCs w:val="32"/>
        </w:rPr>
        <w:t>第四部分</w:t>
      </w:r>
      <w:bookmarkEnd w:id="109"/>
      <w:bookmarkEnd w:id="110"/>
      <w:bookmarkEnd w:id="111"/>
      <w:bookmarkEnd w:id="112"/>
      <w:r>
        <w:rPr>
          <w:rFonts w:hint="eastAsia" w:ascii="仿宋" w:hAnsi="仿宋" w:eastAsia="仿宋" w:cs="仿宋"/>
          <w:b/>
          <w:spacing w:val="0"/>
          <w:sz w:val="32"/>
          <w:szCs w:val="32"/>
        </w:rPr>
        <w:t> </w:t>
      </w:r>
      <w:bookmarkStart w:id="113" w:name="_Toc256000090"/>
      <w:bookmarkStart w:id="114" w:name="_Toc256000028"/>
      <w:bookmarkStart w:id="115" w:name="_Toc256000121"/>
      <w:bookmarkStart w:id="116" w:name="_Toc256000059"/>
      <w:r>
        <w:rPr>
          <w:rFonts w:hint="eastAsia" w:ascii="仿宋" w:hAnsi="仿宋" w:cs="仿宋"/>
          <w:b/>
          <w:spacing w:val="0"/>
          <w:sz w:val="32"/>
          <w:szCs w:val="32"/>
          <w:lang w:val="en-US" w:eastAsia="zh-CN"/>
        </w:rPr>
        <w:t xml:space="preserve">  </w:t>
      </w:r>
      <w:r>
        <w:rPr>
          <w:rFonts w:hint="eastAsia" w:ascii="仿宋" w:hAnsi="仿宋" w:eastAsia="仿宋" w:cs="仿宋"/>
          <w:b/>
          <w:spacing w:val="0"/>
          <w:sz w:val="32"/>
          <w:szCs w:val="32"/>
        </w:rPr>
        <w:t>名词解释</w:t>
      </w:r>
      <w:bookmarkEnd w:id="113"/>
      <w:bookmarkEnd w:id="114"/>
      <w:bookmarkEnd w:id="115"/>
      <w:bookmarkEnd w:id="116"/>
    </w:p>
    <w:p>
      <w:pPr>
        <w:pStyle w:val="29"/>
        <w:widowControl/>
        <w:spacing w:before="100" w:after="100" w:line="600" w:lineRule="atLeast"/>
        <w:ind w:right="0" w:firstLine="643" w:firstLineChars="200"/>
        <w:jc w:val="both"/>
        <w:rPr>
          <w:rFonts w:hint="eastAsia" w:ascii="仿宋" w:hAnsi="仿宋" w:eastAsia="仿宋" w:cs="仿宋"/>
          <w:kern w:val="0"/>
          <w:sz w:val="32"/>
          <w:szCs w:val="32"/>
        </w:rPr>
      </w:pPr>
      <w:r>
        <w:rPr>
          <w:rStyle w:val="31"/>
          <w:rFonts w:hint="eastAsia" w:ascii="仿宋" w:hAnsi="仿宋" w:eastAsia="仿宋" w:cs="仿宋"/>
          <w:b/>
          <w:bCs/>
          <w:spacing w:val="0"/>
          <w:kern w:val="0"/>
          <w:sz w:val="32"/>
          <w:szCs w:val="32"/>
        </w:rPr>
        <w:t>一、财政拨款收入：</w:t>
      </w:r>
      <w:r>
        <w:rPr>
          <w:rFonts w:hint="eastAsia" w:ascii="仿宋" w:hAnsi="仿宋" w:eastAsia="仿宋" w:cs="仿宋"/>
          <w:spacing w:val="0"/>
          <w:kern w:val="0"/>
          <w:sz w:val="32"/>
          <w:szCs w:val="32"/>
        </w:rPr>
        <w:t>指单位从本级财政单位取得的财政预算资金，包括一般公共预算财政拨款、政府性基金预算财政拨款和国有资本经营预算财政拨款。</w:t>
      </w:r>
    </w:p>
    <w:p>
      <w:pPr>
        <w:pStyle w:val="29"/>
        <w:widowControl/>
        <w:spacing w:before="100" w:after="100" w:line="600" w:lineRule="atLeast"/>
        <w:ind w:left="0" w:right="0" w:firstLine="710"/>
        <w:jc w:val="both"/>
        <w:rPr>
          <w:rFonts w:hint="eastAsia" w:ascii="仿宋" w:hAnsi="仿宋" w:eastAsia="仿宋" w:cs="仿宋"/>
          <w:kern w:val="0"/>
          <w:sz w:val="32"/>
          <w:szCs w:val="32"/>
        </w:rPr>
      </w:pPr>
      <w:r>
        <w:rPr>
          <w:rStyle w:val="31"/>
          <w:rFonts w:hint="eastAsia" w:ascii="仿宋" w:hAnsi="仿宋" w:eastAsia="仿宋" w:cs="仿宋"/>
          <w:b/>
          <w:bCs/>
          <w:spacing w:val="0"/>
          <w:kern w:val="0"/>
          <w:sz w:val="32"/>
          <w:szCs w:val="32"/>
        </w:rPr>
        <w:t>二、事业收入：</w:t>
      </w:r>
      <w:r>
        <w:rPr>
          <w:rFonts w:hint="eastAsia" w:ascii="仿宋" w:hAnsi="仿宋" w:eastAsia="仿宋" w:cs="仿宋"/>
          <w:spacing w:val="0"/>
          <w:kern w:val="0"/>
          <w:sz w:val="32"/>
          <w:szCs w:val="32"/>
        </w:rPr>
        <w:t>指事业单位开展专业业务活动及辅助活动所取得的收入。</w:t>
      </w:r>
    </w:p>
    <w:p>
      <w:pPr>
        <w:pStyle w:val="29"/>
        <w:widowControl/>
        <w:spacing w:before="100" w:after="100" w:line="600" w:lineRule="atLeast"/>
        <w:ind w:left="0" w:right="0" w:firstLine="710"/>
        <w:jc w:val="both"/>
        <w:rPr>
          <w:rFonts w:hint="eastAsia" w:ascii="仿宋" w:hAnsi="仿宋" w:eastAsia="仿宋" w:cs="仿宋"/>
          <w:kern w:val="0"/>
          <w:sz w:val="32"/>
          <w:szCs w:val="32"/>
        </w:rPr>
      </w:pPr>
      <w:r>
        <w:rPr>
          <w:rStyle w:val="31"/>
          <w:rFonts w:hint="eastAsia" w:ascii="仿宋" w:hAnsi="仿宋" w:eastAsia="仿宋" w:cs="仿宋"/>
          <w:b/>
          <w:bCs/>
          <w:spacing w:val="0"/>
          <w:kern w:val="0"/>
          <w:sz w:val="32"/>
          <w:szCs w:val="32"/>
        </w:rPr>
        <w:t>三、经营收入：</w:t>
      </w:r>
      <w:r>
        <w:rPr>
          <w:rFonts w:hint="eastAsia" w:ascii="仿宋" w:hAnsi="仿宋" w:eastAsia="仿宋" w:cs="仿宋"/>
          <w:spacing w:val="0"/>
          <w:kern w:val="0"/>
          <w:sz w:val="32"/>
          <w:szCs w:val="32"/>
        </w:rPr>
        <w:t>指事业单位在专业业务活动及其辅助活动之外开展非独立核算经营活动取得的收入。</w:t>
      </w:r>
    </w:p>
    <w:p>
      <w:pPr>
        <w:pStyle w:val="29"/>
        <w:widowControl/>
        <w:spacing w:before="100" w:after="100" w:line="600" w:lineRule="atLeast"/>
        <w:ind w:left="0" w:right="0" w:firstLine="710"/>
        <w:jc w:val="both"/>
        <w:rPr>
          <w:rFonts w:hint="eastAsia" w:ascii="仿宋" w:hAnsi="仿宋" w:eastAsia="仿宋" w:cs="仿宋"/>
          <w:kern w:val="0"/>
          <w:sz w:val="32"/>
          <w:szCs w:val="32"/>
        </w:rPr>
      </w:pPr>
      <w:r>
        <w:rPr>
          <w:rStyle w:val="31"/>
          <w:rFonts w:hint="eastAsia" w:ascii="仿宋" w:hAnsi="仿宋" w:eastAsia="仿宋" w:cs="仿宋"/>
          <w:b/>
          <w:bCs/>
          <w:spacing w:val="0"/>
          <w:kern w:val="0"/>
          <w:sz w:val="32"/>
          <w:szCs w:val="32"/>
        </w:rPr>
        <w:t>四、其他收入：</w:t>
      </w:r>
      <w:r>
        <w:rPr>
          <w:rFonts w:hint="eastAsia" w:ascii="仿宋" w:hAnsi="仿宋" w:eastAsia="仿宋" w:cs="仿宋"/>
          <w:spacing w:val="0"/>
          <w:kern w:val="0"/>
          <w:sz w:val="32"/>
          <w:szCs w:val="32"/>
        </w:rPr>
        <w:t>指除上述“财政拨款收入”“事业收入” “上级补助收入”“附属单位上缴收入”“经营收入”等以外取得的各项收入。主要是事业单位固定资产出租收入等。</w:t>
      </w:r>
    </w:p>
    <w:p>
      <w:pPr>
        <w:pStyle w:val="29"/>
        <w:widowControl/>
        <w:spacing w:before="100" w:after="100" w:line="600" w:lineRule="atLeast"/>
        <w:ind w:left="0" w:right="0" w:firstLine="710"/>
        <w:jc w:val="both"/>
        <w:rPr>
          <w:rFonts w:hint="eastAsia" w:ascii="仿宋" w:hAnsi="仿宋" w:eastAsia="仿宋" w:cs="仿宋"/>
          <w:kern w:val="0"/>
          <w:sz w:val="32"/>
          <w:szCs w:val="32"/>
        </w:rPr>
      </w:pPr>
      <w:r>
        <w:rPr>
          <w:rStyle w:val="31"/>
          <w:rFonts w:hint="eastAsia" w:ascii="仿宋" w:hAnsi="仿宋" w:eastAsia="仿宋" w:cs="仿宋"/>
          <w:b/>
          <w:bCs/>
          <w:spacing w:val="0"/>
          <w:kern w:val="0"/>
          <w:sz w:val="32"/>
          <w:szCs w:val="32"/>
        </w:rPr>
        <w:t>五、使用非财政拨款结余：</w:t>
      </w:r>
      <w:r>
        <w:rPr>
          <w:rFonts w:hint="eastAsia" w:ascii="仿宋" w:hAnsi="仿宋" w:eastAsia="仿宋" w:cs="仿宋"/>
          <w:spacing w:val="0"/>
          <w:kern w:val="0"/>
          <w:sz w:val="32"/>
          <w:szCs w:val="32"/>
        </w:rPr>
        <w:t>指事业单位使用以前年度积累的非财政拨款结余弥补当年收支差额的金额。</w:t>
      </w:r>
    </w:p>
    <w:p>
      <w:pPr>
        <w:pStyle w:val="29"/>
        <w:widowControl/>
        <w:spacing w:before="100" w:after="100" w:line="600" w:lineRule="atLeast"/>
        <w:ind w:left="0" w:right="0" w:firstLine="710"/>
        <w:jc w:val="both"/>
        <w:rPr>
          <w:rFonts w:hint="eastAsia" w:ascii="仿宋" w:hAnsi="仿宋" w:eastAsia="仿宋" w:cs="仿宋"/>
          <w:kern w:val="0"/>
          <w:sz w:val="32"/>
          <w:szCs w:val="32"/>
        </w:rPr>
      </w:pPr>
      <w:r>
        <w:rPr>
          <w:rStyle w:val="31"/>
          <w:rFonts w:hint="eastAsia" w:ascii="仿宋" w:hAnsi="仿宋" w:eastAsia="仿宋" w:cs="仿宋"/>
          <w:b/>
          <w:bCs/>
          <w:spacing w:val="0"/>
          <w:kern w:val="0"/>
          <w:sz w:val="32"/>
          <w:szCs w:val="32"/>
        </w:rPr>
        <w:t>六、年初结转和结余：</w:t>
      </w:r>
      <w:r>
        <w:rPr>
          <w:rFonts w:hint="eastAsia" w:ascii="仿宋" w:hAnsi="仿宋" w:eastAsia="仿宋" w:cs="仿宋"/>
          <w:spacing w:val="0"/>
          <w:kern w:val="0"/>
          <w:sz w:val="32"/>
          <w:szCs w:val="32"/>
        </w:rPr>
        <w:t>指单位以前年度尚未完成、结转到本年仍按原规定用途继续使用的资金，或项目已完成等产生的结余资金。</w:t>
      </w:r>
    </w:p>
    <w:p>
      <w:pPr>
        <w:pStyle w:val="30"/>
        <w:widowControl/>
        <w:spacing w:before="100" w:after="100" w:line="600" w:lineRule="atLeast"/>
        <w:ind w:left="0" w:right="0" w:firstLine="640"/>
        <w:jc w:val="both"/>
        <w:rPr>
          <w:rFonts w:hint="eastAsia" w:ascii="仿宋" w:hAnsi="仿宋" w:eastAsia="仿宋" w:cs="仿宋"/>
          <w:kern w:val="0"/>
          <w:sz w:val="32"/>
          <w:szCs w:val="32"/>
        </w:rPr>
      </w:pPr>
      <w:r>
        <w:rPr>
          <w:rStyle w:val="31"/>
          <w:rFonts w:hint="eastAsia" w:ascii="仿宋" w:hAnsi="仿宋" w:eastAsia="仿宋" w:cs="仿宋"/>
          <w:b/>
          <w:bCs/>
          <w:spacing w:val="0"/>
          <w:kern w:val="0"/>
          <w:sz w:val="32"/>
          <w:szCs w:val="32"/>
        </w:rPr>
        <w:t>七、结余分配：</w:t>
      </w:r>
      <w:r>
        <w:rPr>
          <w:rFonts w:hint="eastAsia" w:ascii="仿宋" w:hAnsi="仿宋" w:eastAsia="仿宋" w:cs="仿宋"/>
          <w:spacing w:val="0"/>
          <w:kern w:val="0"/>
          <w:sz w:val="32"/>
          <w:szCs w:val="32"/>
        </w:rPr>
        <w:t>指事业单位按照会计制度规定缴纳的所得税、提取的专用结余以及转入非财政拨款结余的金额等。</w:t>
      </w:r>
    </w:p>
    <w:p>
      <w:pPr>
        <w:pStyle w:val="30"/>
        <w:widowControl/>
        <w:spacing w:before="100" w:after="100" w:line="600" w:lineRule="atLeast"/>
        <w:ind w:left="0" w:right="0" w:firstLine="640"/>
        <w:jc w:val="both"/>
        <w:rPr>
          <w:rFonts w:hint="eastAsia" w:ascii="仿宋" w:hAnsi="仿宋" w:eastAsia="仿宋" w:cs="仿宋"/>
          <w:kern w:val="0"/>
          <w:sz w:val="32"/>
          <w:szCs w:val="32"/>
        </w:rPr>
      </w:pPr>
      <w:r>
        <w:rPr>
          <w:rStyle w:val="31"/>
          <w:rFonts w:hint="eastAsia" w:ascii="仿宋" w:hAnsi="仿宋" w:eastAsia="仿宋" w:cs="仿宋"/>
          <w:b/>
          <w:bCs/>
          <w:spacing w:val="0"/>
          <w:kern w:val="0"/>
          <w:sz w:val="32"/>
          <w:szCs w:val="32"/>
        </w:rPr>
        <w:t>八、年末结转和结余：</w:t>
      </w:r>
      <w:r>
        <w:rPr>
          <w:rFonts w:hint="eastAsia" w:ascii="仿宋" w:hAnsi="仿宋" w:eastAsia="仿宋" w:cs="仿宋"/>
          <w:spacing w:val="0"/>
          <w:kern w:val="0"/>
          <w:sz w:val="32"/>
          <w:szCs w:val="32"/>
        </w:rPr>
        <w:t>指单位按有关规定结转到下年或以后年度继续使用的资金，或项目已完成等产生的结余资金。</w:t>
      </w:r>
    </w:p>
    <w:p>
      <w:pPr>
        <w:pStyle w:val="30"/>
        <w:widowControl/>
        <w:spacing w:before="100" w:after="100" w:line="600" w:lineRule="atLeast"/>
        <w:ind w:left="0" w:right="0" w:firstLine="640"/>
        <w:jc w:val="both"/>
        <w:rPr>
          <w:rFonts w:hint="eastAsia" w:ascii="仿宋" w:hAnsi="仿宋" w:eastAsia="仿宋" w:cs="仿宋"/>
          <w:kern w:val="0"/>
          <w:sz w:val="32"/>
          <w:szCs w:val="32"/>
        </w:rPr>
      </w:pPr>
      <w:r>
        <w:rPr>
          <w:rStyle w:val="31"/>
          <w:rFonts w:hint="eastAsia" w:ascii="仿宋" w:hAnsi="仿宋" w:eastAsia="仿宋" w:cs="仿宋"/>
          <w:b/>
          <w:bCs/>
          <w:spacing w:val="0"/>
          <w:kern w:val="0"/>
          <w:sz w:val="32"/>
          <w:szCs w:val="32"/>
        </w:rPr>
        <w:t>九、基本支出：</w:t>
      </w:r>
      <w:r>
        <w:rPr>
          <w:rFonts w:hint="eastAsia" w:ascii="仿宋" w:hAnsi="仿宋" w:eastAsia="仿宋" w:cs="仿宋"/>
          <w:spacing w:val="0"/>
          <w:kern w:val="0"/>
          <w:sz w:val="32"/>
          <w:szCs w:val="32"/>
        </w:rPr>
        <w:t>指为保障机构正常运转、完成日常工作任务而发生的人员支出和公用支出。</w:t>
      </w:r>
    </w:p>
    <w:p>
      <w:pPr>
        <w:pStyle w:val="30"/>
        <w:widowControl/>
        <w:spacing w:before="100" w:after="100" w:line="600" w:lineRule="atLeast"/>
        <w:ind w:left="0" w:right="0" w:firstLine="640"/>
        <w:jc w:val="both"/>
        <w:rPr>
          <w:rFonts w:hint="eastAsia" w:ascii="仿宋" w:hAnsi="仿宋" w:eastAsia="仿宋" w:cs="仿宋"/>
          <w:kern w:val="0"/>
          <w:sz w:val="32"/>
          <w:szCs w:val="32"/>
        </w:rPr>
      </w:pPr>
      <w:r>
        <w:rPr>
          <w:rStyle w:val="31"/>
          <w:rFonts w:hint="eastAsia" w:ascii="仿宋" w:hAnsi="仿宋" w:eastAsia="仿宋" w:cs="仿宋"/>
          <w:b/>
          <w:bCs/>
          <w:spacing w:val="0"/>
          <w:kern w:val="0"/>
          <w:sz w:val="32"/>
          <w:szCs w:val="32"/>
        </w:rPr>
        <w:t>十、项目支出：</w:t>
      </w:r>
      <w:r>
        <w:rPr>
          <w:rFonts w:hint="eastAsia" w:ascii="仿宋" w:hAnsi="仿宋" w:eastAsia="仿宋" w:cs="仿宋"/>
          <w:spacing w:val="0"/>
          <w:kern w:val="0"/>
          <w:sz w:val="32"/>
          <w:szCs w:val="32"/>
        </w:rPr>
        <w:t>指在基本支出之外为完成特定行政任务和事业发展目标所发生的支出。</w:t>
      </w:r>
    </w:p>
    <w:p>
      <w:pPr>
        <w:pStyle w:val="30"/>
        <w:widowControl/>
        <w:spacing w:before="100" w:after="100" w:line="600" w:lineRule="atLeast"/>
        <w:ind w:left="0" w:right="0" w:firstLine="640"/>
        <w:jc w:val="both"/>
        <w:rPr>
          <w:rFonts w:hint="eastAsia" w:ascii="仿宋" w:hAnsi="仿宋" w:eastAsia="仿宋" w:cs="仿宋"/>
          <w:kern w:val="0"/>
          <w:sz w:val="32"/>
          <w:szCs w:val="32"/>
        </w:rPr>
      </w:pPr>
      <w:r>
        <w:rPr>
          <w:rStyle w:val="31"/>
          <w:rFonts w:hint="eastAsia" w:ascii="仿宋" w:hAnsi="仿宋" w:eastAsia="仿宋" w:cs="仿宋"/>
          <w:b/>
          <w:bCs/>
          <w:spacing w:val="0"/>
          <w:kern w:val="0"/>
          <w:sz w:val="32"/>
          <w:szCs w:val="32"/>
        </w:rPr>
        <w:t>十一、经营支出：</w:t>
      </w:r>
      <w:r>
        <w:rPr>
          <w:rFonts w:hint="eastAsia" w:ascii="仿宋" w:hAnsi="仿宋" w:eastAsia="仿宋" w:cs="仿宋"/>
          <w:spacing w:val="0"/>
          <w:kern w:val="0"/>
          <w:sz w:val="32"/>
          <w:szCs w:val="32"/>
        </w:rPr>
        <w:t>指事业单位在专业业务活动及其辅助活动之外开展非独立核算经营活动发生的支出。</w:t>
      </w:r>
    </w:p>
    <w:p>
      <w:pPr>
        <w:pStyle w:val="30"/>
        <w:widowControl/>
        <w:spacing w:before="100" w:after="100" w:line="600" w:lineRule="atLeast"/>
        <w:ind w:left="0" w:right="0" w:firstLine="640"/>
        <w:jc w:val="both"/>
        <w:rPr>
          <w:rFonts w:hint="eastAsia" w:ascii="仿宋" w:hAnsi="仿宋" w:eastAsia="仿宋" w:cs="仿宋"/>
          <w:kern w:val="0"/>
          <w:sz w:val="32"/>
          <w:szCs w:val="32"/>
        </w:rPr>
      </w:pPr>
      <w:r>
        <w:rPr>
          <w:rStyle w:val="31"/>
          <w:rFonts w:hint="eastAsia" w:ascii="仿宋" w:hAnsi="仿宋" w:eastAsia="仿宋" w:cs="仿宋"/>
          <w:b/>
          <w:bCs/>
          <w:spacing w:val="0"/>
          <w:kern w:val="0"/>
          <w:sz w:val="32"/>
          <w:szCs w:val="32"/>
        </w:rPr>
        <w:t>十二、“三公”经费：</w:t>
      </w:r>
      <w:r>
        <w:rPr>
          <w:rFonts w:hint="eastAsia" w:ascii="仿宋" w:hAnsi="仿宋" w:eastAsia="仿宋" w:cs="仿宋"/>
          <w:spacing w:val="0"/>
          <w:kern w:val="0"/>
          <w:sz w:val="32"/>
          <w:szCs w:val="32"/>
        </w:rPr>
        <w:t>纳入本级财政预决算管理的“三公”经费，是指本级单位用一般公共预算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及燃料费、维修费、过桥过路费、保险费、安全奖励费用等支出；公务接待费反映单位按规定开支的各类公务接待（含外宾接待）支出。</w:t>
      </w:r>
    </w:p>
    <w:p>
      <w:pPr>
        <w:pStyle w:val="30"/>
        <w:widowControl/>
        <w:spacing w:before="100" w:after="100" w:line="600" w:lineRule="atLeast"/>
        <w:ind w:left="0" w:right="0" w:firstLine="640"/>
        <w:jc w:val="both"/>
        <w:rPr>
          <w:rFonts w:hint="eastAsia" w:ascii="仿宋" w:hAnsi="仿宋" w:eastAsia="仿宋" w:cs="仿宋"/>
          <w:spacing w:val="0"/>
          <w:kern w:val="0"/>
          <w:sz w:val="32"/>
          <w:szCs w:val="32"/>
        </w:rPr>
      </w:pPr>
      <w:r>
        <w:rPr>
          <w:rStyle w:val="31"/>
          <w:rFonts w:hint="eastAsia" w:ascii="仿宋" w:hAnsi="仿宋" w:eastAsia="仿宋" w:cs="仿宋"/>
          <w:b/>
          <w:bCs/>
          <w:spacing w:val="0"/>
          <w:kern w:val="0"/>
          <w:sz w:val="32"/>
          <w:szCs w:val="32"/>
        </w:rPr>
        <w:t>十三、机关运行经费：</w:t>
      </w:r>
      <w:r>
        <w:rPr>
          <w:rFonts w:hint="eastAsia" w:ascii="仿宋" w:hAnsi="仿宋" w:eastAsia="仿宋" w:cs="仿宋"/>
          <w:spacing w:val="0"/>
          <w:kern w:val="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4"/>
        <w:keepNext w:val="0"/>
        <w:keepLines w:val="0"/>
        <w:spacing w:before="299" w:after="299" w:line="240" w:lineRule="auto"/>
        <w:ind w:firstLine="0" w:firstLineChars="0"/>
        <w:jc w:val="center"/>
        <w:rPr>
          <w:rFonts w:hint="eastAsia" w:ascii="仿宋" w:hAnsi="仿宋" w:eastAsia="仿宋" w:cs="仿宋"/>
          <w:b/>
          <w:bCs/>
          <w:kern w:val="0"/>
          <w:sz w:val="32"/>
          <w:szCs w:val="32"/>
        </w:rPr>
      </w:pPr>
      <w:bookmarkStart w:id="117" w:name="_Toc256000029"/>
      <w:bookmarkStart w:id="118" w:name="_Toc256000122"/>
      <w:bookmarkStart w:id="119" w:name="_Toc256000091"/>
      <w:bookmarkStart w:id="120" w:name="_Toc256000060"/>
      <w:r>
        <w:rPr>
          <w:rFonts w:hint="eastAsia" w:ascii="仿宋" w:hAnsi="仿宋" w:eastAsia="仿宋" w:cs="仿宋"/>
          <w:b/>
          <w:sz w:val="32"/>
          <w:szCs w:val="32"/>
        </w:rPr>
        <w:t>第五部分</w:t>
      </w:r>
      <w:bookmarkEnd w:id="117"/>
      <w:bookmarkEnd w:id="118"/>
      <w:bookmarkEnd w:id="119"/>
      <w:bookmarkEnd w:id="120"/>
      <w:r>
        <w:rPr>
          <w:rFonts w:hint="eastAsia" w:ascii="仿宋" w:hAnsi="仿宋" w:eastAsia="仿宋" w:cs="仿宋"/>
          <w:b/>
          <w:sz w:val="32"/>
          <w:szCs w:val="32"/>
        </w:rPr>
        <w:t> </w:t>
      </w:r>
      <w:bookmarkStart w:id="121" w:name="_Toc256000092"/>
      <w:bookmarkStart w:id="122" w:name="_Toc256000061"/>
      <w:bookmarkStart w:id="123" w:name="_Toc256000030"/>
      <w:bookmarkStart w:id="124" w:name="_Toc256000123"/>
      <w:r>
        <w:rPr>
          <w:rFonts w:hint="eastAsia" w:ascii="仿宋" w:hAnsi="仿宋" w:cs="仿宋"/>
          <w:b/>
          <w:sz w:val="32"/>
          <w:szCs w:val="32"/>
          <w:lang w:val="en-US" w:eastAsia="zh-CN"/>
        </w:rPr>
        <w:t xml:space="preserve"> </w:t>
      </w:r>
      <w:r>
        <w:rPr>
          <w:rFonts w:hint="eastAsia" w:ascii="仿宋" w:hAnsi="仿宋" w:eastAsia="仿宋" w:cs="仿宋"/>
          <w:b/>
          <w:sz w:val="32"/>
          <w:szCs w:val="32"/>
        </w:rPr>
        <w:t>附件</w:t>
      </w:r>
      <w:bookmarkEnd w:id="121"/>
      <w:bookmarkEnd w:id="122"/>
      <w:bookmarkEnd w:id="123"/>
      <w:bookmarkEnd w:id="124"/>
    </w:p>
    <w:tbl>
      <w:tblPr>
        <w:tblStyle w:val="23"/>
        <w:tblW w:w="99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
      <w:tblGrid>
        <w:gridCol w:w="778"/>
        <w:gridCol w:w="761"/>
        <w:gridCol w:w="1450"/>
        <w:gridCol w:w="1183"/>
        <w:gridCol w:w="840"/>
        <w:gridCol w:w="960"/>
        <w:gridCol w:w="892"/>
        <w:gridCol w:w="906"/>
        <w:gridCol w:w="688"/>
        <w:gridCol w:w="583"/>
        <w:gridCol w:w="9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75" w:hRule="atLeast"/>
        </w:trPr>
        <w:tc>
          <w:tcPr>
            <w:tcW w:w="9956" w:type="dxa"/>
            <w:gridSpan w:val="11"/>
            <w:tcBorders>
              <w:top w:val="nil"/>
              <w:left w:val="nil"/>
              <w:bottom w:val="nil"/>
              <w:right w:val="nil"/>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32"/>
                <w:szCs w:val="32"/>
                <w:u w:val="none"/>
                <w:lang w:val="en-US" w:eastAsia="zh-CN" w:bidi="ar"/>
              </w:rPr>
              <w:t>部门（单位）项目支出绩效自评表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60" w:hRule="atLeast"/>
        </w:trPr>
        <w:tc>
          <w:tcPr>
            <w:tcW w:w="9956" w:type="dxa"/>
            <w:gridSpan w:val="11"/>
            <w:tcBorders>
              <w:top w:val="nil"/>
              <w:left w:val="nil"/>
              <w:bottom w:val="nil"/>
              <w:right w:val="nil"/>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90" w:hRule="atLeast"/>
        </w:trPr>
        <w:tc>
          <w:tcPr>
            <w:tcW w:w="4172" w:type="dxa"/>
            <w:gridSpan w:val="4"/>
            <w:tcBorders>
              <w:top w:val="nil"/>
              <w:left w:val="nil"/>
              <w:bottom w:val="single" w:color="000000" w:sz="4" w:space="0"/>
              <w:right w:val="nil"/>
            </w:tcBorders>
            <w:shd w:val="clear" w:color="auto" w:fill="FFFFFF" w:themeFill="background1"/>
            <w:noWrap/>
            <w:vAlign w:val="center"/>
          </w:tcPr>
          <w:p>
            <w:pP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预算单位（盖章）：                                                                                                  </w:t>
            </w:r>
          </w:p>
        </w:tc>
        <w:tc>
          <w:tcPr>
            <w:tcW w:w="2692" w:type="dxa"/>
            <w:gridSpan w:val="3"/>
            <w:tcBorders>
              <w:top w:val="nil"/>
              <w:left w:val="nil"/>
              <w:bottom w:val="single" w:color="000000" w:sz="4" w:space="0"/>
              <w:right w:val="nil"/>
            </w:tcBorders>
            <w:shd w:val="clear" w:color="auto" w:fill="FFFFFF" w:themeFill="background1"/>
            <w:noWrap/>
            <w:vAlign w:val="center"/>
          </w:tcPr>
          <w:p>
            <w:pP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厦门市高殿中心小学</w:t>
            </w:r>
          </w:p>
        </w:tc>
        <w:tc>
          <w:tcPr>
            <w:tcW w:w="906" w:type="dxa"/>
            <w:tcBorders>
              <w:top w:val="nil"/>
              <w:left w:val="nil"/>
              <w:bottom w:val="single" w:color="000000" w:sz="4" w:space="0"/>
              <w:right w:val="nil"/>
            </w:tcBorders>
            <w:shd w:val="clear" w:color="auto" w:fill="FFFFFF" w:themeFill="background1"/>
            <w:noWrap/>
            <w:vAlign w:val="center"/>
          </w:tcPr>
          <w:p>
            <w:pPr>
              <w:rPr>
                <w:rFonts w:hint="eastAsia" w:ascii="仿宋" w:hAnsi="仿宋" w:eastAsia="仿宋" w:cs="仿宋"/>
                <w:i w:val="0"/>
                <w:iCs w:val="0"/>
                <w:color w:val="000000"/>
                <w:sz w:val="21"/>
                <w:szCs w:val="21"/>
                <w:u w:val="none"/>
              </w:rPr>
            </w:pPr>
          </w:p>
        </w:tc>
        <w:tc>
          <w:tcPr>
            <w:tcW w:w="688" w:type="dxa"/>
            <w:tcBorders>
              <w:top w:val="nil"/>
              <w:left w:val="nil"/>
              <w:bottom w:val="single" w:color="000000" w:sz="4" w:space="0"/>
              <w:right w:val="nil"/>
            </w:tcBorders>
            <w:shd w:val="clear" w:color="auto" w:fill="FFFFFF" w:themeFill="background1"/>
            <w:noWrap/>
            <w:vAlign w:val="center"/>
          </w:tcPr>
          <w:p>
            <w:pPr>
              <w:rPr>
                <w:rFonts w:hint="eastAsia" w:ascii="仿宋" w:hAnsi="仿宋" w:eastAsia="仿宋" w:cs="仿宋"/>
                <w:i w:val="0"/>
                <w:iCs w:val="0"/>
                <w:color w:val="000000"/>
                <w:sz w:val="21"/>
                <w:szCs w:val="21"/>
                <w:u w:val="none"/>
              </w:rPr>
            </w:pPr>
          </w:p>
        </w:tc>
        <w:tc>
          <w:tcPr>
            <w:tcW w:w="1498" w:type="dxa"/>
            <w:gridSpan w:val="2"/>
            <w:tcBorders>
              <w:top w:val="nil"/>
              <w:left w:val="nil"/>
              <w:bottom w:val="single" w:color="000000" w:sz="4" w:space="0"/>
              <w:right w:val="nil"/>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60" w:hRule="atLeast"/>
        </w:trPr>
        <w:tc>
          <w:tcPr>
            <w:tcW w:w="1539" w:type="dxa"/>
            <w:gridSpan w:val="2"/>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项目名称</w:t>
            </w:r>
          </w:p>
        </w:tc>
        <w:tc>
          <w:tcPr>
            <w:tcW w:w="4433" w:type="dxa"/>
            <w:gridSpan w:val="4"/>
            <w:tcBorders>
              <w:top w:val="single" w:color="000000" w:sz="4" w:space="0"/>
              <w:left w:val="single" w:color="000000" w:sz="4" w:space="0"/>
              <w:bottom w:val="single" w:color="000000" w:sz="4" w:space="0"/>
              <w:right w:val="nil"/>
            </w:tcBorders>
            <w:shd w:val="clear" w:color="auto" w:fill="FFFFFF" w:themeFill="background1"/>
            <w:noWrap/>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义务教育阶段家庭经济困难学生营养餐补助</w:t>
            </w:r>
          </w:p>
        </w:tc>
        <w:tc>
          <w:tcPr>
            <w:tcW w:w="8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自评年度</w:t>
            </w:r>
          </w:p>
        </w:tc>
        <w:tc>
          <w:tcPr>
            <w:tcW w:w="309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2024年1月1日-2024年12月31日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60" w:hRule="atLeast"/>
        </w:trPr>
        <w:tc>
          <w:tcPr>
            <w:tcW w:w="1539"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主管部门</w:t>
            </w:r>
          </w:p>
        </w:tc>
        <w:tc>
          <w:tcPr>
            <w:tcW w:w="4433"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湖里区教育局</w:t>
            </w:r>
          </w:p>
        </w:tc>
        <w:tc>
          <w:tcPr>
            <w:tcW w:w="8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实施单位</w:t>
            </w:r>
          </w:p>
        </w:tc>
        <w:tc>
          <w:tcPr>
            <w:tcW w:w="2177"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厦门市高殿中心小学</w:t>
            </w:r>
          </w:p>
        </w:tc>
        <w:tc>
          <w:tcPr>
            <w:tcW w:w="9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660" w:hRule="atLeast"/>
        </w:trPr>
        <w:tc>
          <w:tcPr>
            <w:tcW w:w="1539"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年度预算执行情况</w:t>
            </w:r>
          </w:p>
        </w:tc>
        <w:tc>
          <w:tcPr>
            <w:tcW w:w="14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仿宋" w:hAnsi="仿宋" w:eastAsia="仿宋" w:cs="仿宋"/>
                <w:i w:val="0"/>
                <w:iCs w:val="0"/>
                <w:color w:val="000000"/>
                <w:sz w:val="21"/>
                <w:szCs w:val="21"/>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年初预算数</w:t>
            </w:r>
          </w:p>
        </w:tc>
        <w:tc>
          <w:tcPr>
            <w:tcW w:w="8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已调整数</w:t>
            </w:r>
          </w:p>
        </w:tc>
        <w:tc>
          <w:tcPr>
            <w:tcW w:w="96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调整后预算数</w:t>
            </w:r>
          </w:p>
        </w:tc>
        <w:tc>
          <w:tcPr>
            <w:tcW w:w="892" w:type="dxa"/>
            <w:tcBorders>
              <w:top w:val="single" w:color="000000" w:sz="4" w:space="0"/>
              <w:left w:val="single" w:color="000000" w:sz="4" w:space="0"/>
              <w:bottom w:val="single" w:color="auto"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全年执行数</w:t>
            </w:r>
          </w:p>
        </w:tc>
        <w:tc>
          <w:tcPr>
            <w:tcW w:w="90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执行率</w:t>
            </w:r>
          </w:p>
        </w:tc>
        <w:tc>
          <w:tcPr>
            <w:tcW w:w="688" w:type="dxa"/>
            <w:tcBorders>
              <w:top w:val="single" w:color="000000" w:sz="4" w:space="0"/>
              <w:left w:val="single" w:color="000000" w:sz="4" w:space="0"/>
              <w:bottom w:val="single" w:color="000000" w:sz="4" w:space="0"/>
              <w:right w:val="nil"/>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设置分值</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得分</w:t>
            </w:r>
          </w:p>
        </w:tc>
        <w:tc>
          <w:tcPr>
            <w:tcW w:w="91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存在问题及原因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30" w:hRule="atLeast"/>
        </w:trPr>
        <w:tc>
          <w:tcPr>
            <w:tcW w:w="1539"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仿宋" w:hAnsi="仿宋" w:eastAsia="仿宋" w:cs="仿宋"/>
                <w:b/>
                <w:bCs/>
                <w:i w:val="0"/>
                <w:iCs w:val="0"/>
                <w:color w:val="000000"/>
                <w:sz w:val="21"/>
                <w:szCs w:val="21"/>
                <w:u w:val="none"/>
              </w:rPr>
            </w:pPr>
          </w:p>
        </w:tc>
        <w:tc>
          <w:tcPr>
            <w:tcW w:w="14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年度资金总额</w:t>
            </w:r>
          </w:p>
        </w:tc>
        <w:tc>
          <w:tcPr>
            <w:tcW w:w="11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2.52</w:t>
            </w:r>
          </w:p>
        </w:tc>
        <w:tc>
          <w:tcPr>
            <w:tcW w:w="8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960" w:type="dxa"/>
            <w:tcBorders>
              <w:top w:val="single" w:color="000000" w:sz="4" w:space="0"/>
              <w:left w:val="single" w:color="000000" w:sz="4" w:space="0"/>
              <w:bottom w:val="single" w:color="000000" w:sz="4" w:space="0"/>
              <w:right w:val="single" w:color="auto"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1.52</w:t>
            </w:r>
          </w:p>
        </w:tc>
        <w:tc>
          <w:tcPr>
            <w:tcW w:w="892"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0.9738</w:t>
            </w:r>
          </w:p>
        </w:tc>
        <w:tc>
          <w:tcPr>
            <w:tcW w:w="906" w:type="dxa"/>
            <w:tcBorders>
              <w:top w:val="single" w:color="000000" w:sz="4" w:space="0"/>
              <w:left w:val="single" w:color="auto"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64.07%</w:t>
            </w:r>
          </w:p>
        </w:tc>
        <w:tc>
          <w:tcPr>
            <w:tcW w:w="688" w:type="dxa"/>
            <w:tcBorders>
              <w:top w:val="single" w:color="000000" w:sz="4" w:space="0"/>
              <w:left w:val="single" w:color="000000" w:sz="4" w:space="0"/>
              <w:bottom w:val="single" w:color="000000" w:sz="4" w:space="0"/>
              <w:right w:val="nil"/>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9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部分困难生未在学校用餐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30" w:hRule="atLeast"/>
        </w:trPr>
        <w:tc>
          <w:tcPr>
            <w:tcW w:w="1539"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仿宋" w:hAnsi="仿宋" w:eastAsia="仿宋" w:cs="仿宋"/>
                <w:b/>
                <w:bCs/>
                <w:i w:val="0"/>
                <w:iCs w:val="0"/>
                <w:color w:val="000000"/>
                <w:sz w:val="21"/>
                <w:szCs w:val="21"/>
                <w:u w:val="none"/>
              </w:rPr>
            </w:pPr>
          </w:p>
        </w:tc>
        <w:tc>
          <w:tcPr>
            <w:tcW w:w="14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其中：当年财政拨款</w:t>
            </w:r>
          </w:p>
        </w:tc>
        <w:tc>
          <w:tcPr>
            <w:tcW w:w="11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2.52</w:t>
            </w:r>
          </w:p>
        </w:tc>
        <w:tc>
          <w:tcPr>
            <w:tcW w:w="8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1.52</w:t>
            </w:r>
          </w:p>
        </w:tc>
        <w:tc>
          <w:tcPr>
            <w:tcW w:w="892" w:type="dxa"/>
            <w:tcBorders>
              <w:top w:val="single" w:color="auto"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0.9738</w:t>
            </w:r>
          </w:p>
        </w:tc>
        <w:tc>
          <w:tcPr>
            <w:tcW w:w="90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64.07%</w:t>
            </w:r>
          </w:p>
        </w:tc>
        <w:tc>
          <w:tcPr>
            <w:tcW w:w="688" w:type="dxa"/>
            <w:tcBorders>
              <w:top w:val="single" w:color="000000" w:sz="4" w:space="0"/>
              <w:left w:val="single" w:color="000000" w:sz="4" w:space="0"/>
              <w:bottom w:val="single" w:color="000000" w:sz="4" w:space="0"/>
              <w:right w:val="nil"/>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30" w:hRule="atLeast"/>
        </w:trPr>
        <w:tc>
          <w:tcPr>
            <w:tcW w:w="1539"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仿宋" w:hAnsi="仿宋" w:eastAsia="仿宋" w:cs="仿宋"/>
                <w:b/>
                <w:bCs/>
                <w:i w:val="0"/>
                <w:iCs w:val="0"/>
                <w:color w:val="000000"/>
                <w:sz w:val="21"/>
                <w:szCs w:val="21"/>
                <w:u w:val="none"/>
              </w:rPr>
            </w:pPr>
          </w:p>
        </w:tc>
        <w:tc>
          <w:tcPr>
            <w:tcW w:w="14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 xml:space="preserve">     上年结转资金</w:t>
            </w:r>
          </w:p>
        </w:tc>
        <w:tc>
          <w:tcPr>
            <w:tcW w:w="11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仿宋" w:hAnsi="仿宋" w:eastAsia="仿宋" w:cs="仿宋"/>
                <w:i w:val="0"/>
                <w:iCs w:val="0"/>
                <w:color w:val="000000"/>
                <w:sz w:val="21"/>
                <w:szCs w:val="21"/>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仿宋" w:hAnsi="仿宋" w:eastAsia="仿宋" w:cs="仿宋"/>
                <w:i w:val="0"/>
                <w:iCs w:val="0"/>
                <w:color w:val="000000"/>
                <w:sz w:val="21"/>
                <w:szCs w:val="21"/>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仿宋" w:hAnsi="仿宋" w:eastAsia="仿宋" w:cs="仿宋"/>
                <w:i w:val="0"/>
                <w:iCs w:val="0"/>
                <w:color w:val="000000"/>
                <w:sz w:val="21"/>
                <w:szCs w:val="21"/>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仿宋" w:hAnsi="仿宋" w:eastAsia="仿宋" w:cs="仿宋"/>
                <w:i w:val="0"/>
                <w:iCs w:val="0"/>
                <w:color w:val="000000"/>
                <w:sz w:val="21"/>
                <w:szCs w:val="21"/>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仿宋" w:hAnsi="仿宋" w:eastAsia="仿宋" w:cs="仿宋"/>
                <w:i w:val="0"/>
                <w:iCs w:val="0"/>
                <w:color w:val="000000"/>
                <w:sz w:val="21"/>
                <w:szCs w:val="21"/>
                <w:u w:val="none"/>
              </w:rPr>
            </w:pPr>
          </w:p>
        </w:tc>
        <w:tc>
          <w:tcPr>
            <w:tcW w:w="688" w:type="dxa"/>
            <w:tcBorders>
              <w:top w:val="single" w:color="000000" w:sz="4" w:space="0"/>
              <w:left w:val="single" w:color="000000" w:sz="4" w:space="0"/>
              <w:bottom w:val="single" w:color="000000" w:sz="4" w:space="0"/>
              <w:right w:val="nil"/>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30" w:hRule="atLeast"/>
        </w:trPr>
        <w:tc>
          <w:tcPr>
            <w:tcW w:w="1539"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仿宋" w:hAnsi="仿宋" w:eastAsia="仿宋" w:cs="仿宋"/>
                <w:b/>
                <w:bCs/>
                <w:i w:val="0"/>
                <w:iCs w:val="0"/>
                <w:color w:val="000000"/>
                <w:sz w:val="21"/>
                <w:szCs w:val="21"/>
                <w:u w:val="none"/>
              </w:rPr>
            </w:pPr>
          </w:p>
        </w:tc>
        <w:tc>
          <w:tcPr>
            <w:tcW w:w="14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 xml:space="preserve">     其他资金</w:t>
            </w:r>
          </w:p>
        </w:tc>
        <w:tc>
          <w:tcPr>
            <w:tcW w:w="11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仿宋" w:hAnsi="仿宋" w:eastAsia="仿宋" w:cs="仿宋"/>
                <w:i w:val="0"/>
                <w:iCs w:val="0"/>
                <w:color w:val="000000"/>
                <w:sz w:val="21"/>
                <w:szCs w:val="21"/>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仿宋" w:hAnsi="仿宋" w:eastAsia="仿宋" w:cs="仿宋"/>
                <w:i w:val="0"/>
                <w:iCs w:val="0"/>
                <w:color w:val="000000"/>
                <w:sz w:val="21"/>
                <w:szCs w:val="21"/>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仿宋" w:hAnsi="仿宋" w:eastAsia="仿宋" w:cs="仿宋"/>
                <w:i w:val="0"/>
                <w:iCs w:val="0"/>
                <w:color w:val="000000"/>
                <w:sz w:val="21"/>
                <w:szCs w:val="21"/>
                <w:u w:val="none"/>
              </w:rPr>
            </w:pPr>
          </w:p>
        </w:tc>
        <w:tc>
          <w:tcPr>
            <w:tcW w:w="8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仿宋" w:hAnsi="仿宋" w:eastAsia="仿宋" w:cs="仿宋"/>
                <w:i w:val="0"/>
                <w:iCs w:val="0"/>
                <w:color w:val="000000"/>
                <w:sz w:val="21"/>
                <w:szCs w:val="21"/>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仿宋" w:hAnsi="仿宋" w:eastAsia="仿宋" w:cs="仿宋"/>
                <w:i w:val="0"/>
                <w:iCs w:val="0"/>
                <w:color w:val="000000"/>
                <w:sz w:val="21"/>
                <w:szCs w:val="21"/>
                <w:u w:val="none"/>
              </w:rPr>
            </w:pPr>
          </w:p>
        </w:tc>
        <w:tc>
          <w:tcPr>
            <w:tcW w:w="688" w:type="dxa"/>
            <w:tcBorders>
              <w:top w:val="single" w:color="000000" w:sz="4" w:space="0"/>
              <w:left w:val="single" w:color="000000" w:sz="4" w:space="0"/>
              <w:bottom w:val="single" w:color="000000" w:sz="4" w:space="0"/>
              <w:right w:val="nil"/>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375" w:hRule="atLeast"/>
        </w:trPr>
        <w:tc>
          <w:tcPr>
            <w:tcW w:w="778"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年度</w:t>
            </w:r>
            <w:r>
              <w:rPr>
                <w:rFonts w:hint="eastAsia" w:ascii="仿宋" w:hAnsi="仿宋" w:eastAsia="仿宋" w:cs="仿宋"/>
                <w:b/>
                <w:bCs/>
                <w:i w:val="0"/>
                <w:iCs w:val="0"/>
                <w:color w:val="000000"/>
                <w:kern w:val="0"/>
                <w:sz w:val="21"/>
                <w:szCs w:val="21"/>
                <w:u w:val="none"/>
                <w:lang w:val="en-US" w:eastAsia="zh-CN" w:bidi="ar"/>
              </w:rPr>
              <w:br w:type="textWrapping"/>
            </w:r>
            <w:r>
              <w:rPr>
                <w:rFonts w:hint="eastAsia" w:ascii="仿宋" w:hAnsi="仿宋" w:eastAsia="仿宋" w:cs="仿宋"/>
                <w:b/>
                <w:bCs/>
                <w:i w:val="0"/>
                <w:iCs w:val="0"/>
                <w:color w:val="000000"/>
                <w:kern w:val="0"/>
                <w:sz w:val="21"/>
                <w:szCs w:val="21"/>
                <w:u w:val="none"/>
                <w:lang w:val="en-US" w:eastAsia="zh-CN" w:bidi="ar"/>
              </w:rPr>
              <w:t>总体</w:t>
            </w:r>
            <w:r>
              <w:rPr>
                <w:rFonts w:hint="eastAsia" w:ascii="仿宋" w:hAnsi="仿宋" w:eastAsia="仿宋" w:cs="仿宋"/>
                <w:b/>
                <w:bCs/>
                <w:i w:val="0"/>
                <w:iCs w:val="0"/>
                <w:color w:val="000000"/>
                <w:kern w:val="0"/>
                <w:sz w:val="21"/>
                <w:szCs w:val="21"/>
                <w:u w:val="none"/>
                <w:lang w:val="en-US" w:eastAsia="zh-CN" w:bidi="ar"/>
              </w:rPr>
              <w:br w:type="textWrapping"/>
            </w:r>
            <w:r>
              <w:rPr>
                <w:rFonts w:hint="eastAsia" w:ascii="仿宋" w:hAnsi="仿宋" w:eastAsia="仿宋" w:cs="仿宋"/>
                <w:b/>
                <w:bCs/>
                <w:i w:val="0"/>
                <w:iCs w:val="0"/>
                <w:color w:val="000000"/>
                <w:kern w:val="0"/>
                <w:sz w:val="21"/>
                <w:szCs w:val="21"/>
                <w:u w:val="none"/>
                <w:lang w:val="en-US" w:eastAsia="zh-CN" w:bidi="ar"/>
              </w:rPr>
              <w:t>目标</w:t>
            </w:r>
          </w:p>
        </w:tc>
        <w:tc>
          <w:tcPr>
            <w:tcW w:w="5194"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预期目标</w:t>
            </w:r>
          </w:p>
        </w:tc>
        <w:tc>
          <w:tcPr>
            <w:tcW w:w="3984"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270" w:hRule="atLeast"/>
        </w:trPr>
        <w:tc>
          <w:tcPr>
            <w:tcW w:w="77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仿宋" w:hAnsi="仿宋" w:eastAsia="仿宋" w:cs="仿宋"/>
                <w:b/>
                <w:bCs/>
                <w:i w:val="0"/>
                <w:iCs w:val="0"/>
                <w:color w:val="000000"/>
                <w:sz w:val="21"/>
                <w:szCs w:val="21"/>
                <w:u w:val="none"/>
              </w:rPr>
            </w:pPr>
          </w:p>
        </w:tc>
        <w:tc>
          <w:tcPr>
            <w:tcW w:w="5194" w:type="dxa"/>
            <w:gridSpan w:val="5"/>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厦门市教育局等五部门关于印发《厦门市学生资助资金管理实施办法》的通知（厦教发〔2022〕83号）及厦门市教育局等八部门关于印发《厦门市家庭经济困难学生认定办法》的通知（厦教规【2022】3号）等文件，对义务教育阶段公办校（学校提供午餐）家庭经济困难学生营养餐补助，确保补助工作顺利实施。</w:t>
            </w:r>
          </w:p>
        </w:tc>
        <w:tc>
          <w:tcPr>
            <w:tcW w:w="3984" w:type="dxa"/>
            <w:gridSpan w:val="5"/>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2024年完成春、秋两季关于我区义务教育阶段公办校（学校提供午餐）家庭经济困难学生营养餐补助对象审核及资金下拨。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1560" w:hRule="atLeast"/>
        </w:trPr>
        <w:tc>
          <w:tcPr>
            <w:tcW w:w="77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仿宋" w:hAnsi="仿宋" w:eastAsia="仿宋" w:cs="仿宋"/>
                <w:b/>
                <w:bCs/>
                <w:i w:val="0"/>
                <w:iCs w:val="0"/>
                <w:color w:val="000000"/>
                <w:sz w:val="21"/>
                <w:szCs w:val="21"/>
                <w:u w:val="none"/>
              </w:rPr>
            </w:pPr>
          </w:p>
        </w:tc>
        <w:tc>
          <w:tcPr>
            <w:tcW w:w="5194" w:type="dxa"/>
            <w:gridSpan w:val="5"/>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仿宋" w:hAnsi="仿宋" w:eastAsia="仿宋" w:cs="仿宋"/>
                <w:i w:val="0"/>
                <w:iCs w:val="0"/>
                <w:color w:val="000000"/>
                <w:sz w:val="21"/>
                <w:szCs w:val="21"/>
                <w:u w:val="none"/>
              </w:rPr>
            </w:pPr>
          </w:p>
        </w:tc>
        <w:tc>
          <w:tcPr>
            <w:tcW w:w="3984" w:type="dxa"/>
            <w:gridSpan w:val="5"/>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675" w:hRule="atLeast"/>
        </w:trPr>
        <w:tc>
          <w:tcPr>
            <w:tcW w:w="77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仿宋" w:hAnsi="仿宋" w:eastAsia="仿宋" w:cs="仿宋"/>
                <w:i w:val="0"/>
                <w:iCs w:val="0"/>
                <w:color w:val="000000"/>
                <w:sz w:val="21"/>
                <w:szCs w:val="21"/>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一级指标</w:t>
            </w:r>
          </w:p>
        </w:tc>
        <w:tc>
          <w:tcPr>
            <w:tcW w:w="14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二级指标</w:t>
            </w:r>
          </w:p>
        </w:tc>
        <w:tc>
          <w:tcPr>
            <w:tcW w:w="11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三级指标</w:t>
            </w:r>
          </w:p>
        </w:tc>
        <w:tc>
          <w:tcPr>
            <w:tcW w:w="8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指标类型</w:t>
            </w:r>
          </w:p>
        </w:tc>
        <w:tc>
          <w:tcPr>
            <w:tcW w:w="96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绩效目标值</w:t>
            </w:r>
          </w:p>
        </w:tc>
        <w:tc>
          <w:tcPr>
            <w:tcW w:w="8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实际完成值</w:t>
            </w:r>
          </w:p>
        </w:tc>
        <w:tc>
          <w:tcPr>
            <w:tcW w:w="90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完成比例</w:t>
            </w:r>
          </w:p>
        </w:tc>
        <w:tc>
          <w:tcPr>
            <w:tcW w:w="688" w:type="dxa"/>
            <w:tcBorders>
              <w:top w:val="single" w:color="000000" w:sz="4" w:space="0"/>
              <w:left w:val="single" w:color="000000" w:sz="4" w:space="0"/>
              <w:bottom w:val="single" w:color="000000" w:sz="4" w:space="0"/>
              <w:right w:val="nil"/>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设置分值</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得分</w:t>
            </w:r>
          </w:p>
        </w:tc>
        <w:tc>
          <w:tcPr>
            <w:tcW w:w="91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存在问题及原因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450" w:hRule="atLeast"/>
        </w:trPr>
        <w:tc>
          <w:tcPr>
            <w:tcW w:w="778"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绩</w:t>
            </w:r>
            <w:r>
              <w:rPr>
                <w:rFonts w:hint="eastAsia" w:ascii="仿宋" w:hAnsi="仿宋" w:eastAsia="仿宋" w:cs="仿宋"/>
                <w:b/>
                <w:bCs/>
                <w:i w:val="0"/>
                <w:iCs w:val="0"/>
                <w:color w:val="000000"/>
                <w:kern w:val="0"/>
                <w:sz w:val="21"/>
                <w:szCs w:val="21"/>
                <w:u w:val="none"/>
                <w:lang w:val="en-US" w:eastAsia="zh-CN" w:bidi="ar"/>
              </w:rPr>
              <w:br w:type="textWrapping"/>
            </w:r>
            <w:r>
              <w:rPr>
                <w:rFonts w:hint="eastAsia" w:ascii="仿宋" w:hAnsi="仿宋" w:eastAsia="仿宋" w:cs="仿宋"/>
                <w:b/>
                <w:bCs/>
                <w:i w:val="0"/>
                <w:iCs w:val="0"/>
                <w:color w:val="000000"/>
                <w:kern w:val="0"/>
                <w:sz w:val="21"/>
                <w:szCs w:val="21"/>
                <w:u w:val="none"/>
                <w:lang w:val="en-US" w:eastAsia="zh-CN" w:bidi="ar"/>
              </w:rPr>
              <w:t>效</w:t>
            </w:r>
            <w:r>
              <w:rPr>
                <w:rFonts w:hint="eastAsia" w:ascii="仿宋" w:hAnsi="仿宋" w:eastAsia="仿宋" w:cs="仿宋"/>
                <w:b/>
                <w:bCs/>
                <w:i w:val="0"/>
                <w:iCs w:val="0"/>
                <w:color w:val="000000"/>
                <w:kern w:val="0"/>
                <w:sz w:val="21"/>
                <w:szCs w:val="21"/>
                <w:u w:val="none"/>
                <w:lang w:val="en-US" w:eastAsia="zh-CN" w:bidi="ar"/>
              </w:rPr>
              <w:br w:type="textWrapping"/>
            </w:r>
            <w:r>
              <w:rPr>
                <w:rFonts w:hint="eastAsia" w:ascii="仿宋" w:hAnsi="仿宋" w:eastAsia="仿宋" w:cs="仿宋"/>
                <w:b/>
                <w:bCs/>
                <w:i w:val="0"/>
                <w:iCs w:val="0"/>
                <w:color w:val="000000"/>
                <w:kern w:val="0"/>
                <w:sz w:val="21"/>
                <w:szCs w:val="21"/>
                <w:u w:val="none"/>
                <w:lang w:val="en-US" w:eastAsia="zh-CN" w:bidi="ar"/>
              </w:rPr>
              <w:t>指</w:t>
            </w:r>
            <w:r>
              <w:rPr>
                <w:rFonts w:hint="eastAsia" w:ascii="仿宋" w:hAnsi="仿宋" w:eastAsia="仿宋" w:cs="仿宋"/>
                <w:b/>
                <w:bCs/>
                <w:i w:val="0"/>
                <w:iCs w:val="0"/>
                <w:color w:val="000000"/>
                <w:kern w:val="0"/>
                <w:sz w:val="21"/>
                <w:szCs w:val="21"/>
                <w:u w:val="none"/>
                <w:lang w:val="en-US" w:eastAsia="zh-CN" w:bidi="ar"/>
              </w:rPr>
              <w:br w:type="textWrapping"/>
            </w:r>
            <w:r>
              <w:rPr>
                <w:rFonts w:hint="eastAsia" w:ascii="仿宋" w:hAnsi="仿宋" w:eastAsia="仿宋" w:cs="仿宋"/>
                <w:b/>
                <w:bCs/>
                <w:i w:val="0"/>
                <w:iCs w:val="0"/>
                <w:color w:val="000000"/>
                <w:kern w:val="0"/>
                <w:sz w:val="21"/>
                <w:szCs w:val="21"/>
                <w:u w:val="none"/>
                <w:lang w:val="en-US" w:eastAsia="zh-CN" w:bidi="ar"/>
              </w:rPr>
              <w:t>标</w:t>
            </w:r>
            <w:r>
              <w:rPr>
                <w:rFonts w:hint="eastAsia" w:ascii="仿宋" w:hAnsi="仿宋" w:eastAsia="仿宋" w:cs="仿宋"/>
                <w:b/>
                <w:bCs/>
                <w:i w:val="0"/>
                <w:iCs w:val="0"/>
                <w:color w:val="000000"/>
                <w:kern w:val="0"/>
                <w:sz w:val="21"/>
                <w:szCs w:val="21"/>
                <w:u w:val="none"/>
                <w:lang w:val="en-US" w:eastAsia="zh-CN" w:bidi="ar"/>
              </w:rPr>
              <w:br w:type="textWrapping"/>
            </w:r>
            <w:r>
              <w:rPr>
                <w:rFonts w:hint="eastAsia" w:ascii="仿宋" w:hAnsi="仿宋" w:eastAsia="仿宋" w:cs="仿宋"/>
                <w:b/>
                <w:bCs/>
                <w:i w:val="0"/>
                <w:iCs w:val="0"/>
                <w:color w:val="000000"/>
                <w:kern w:val="0"/>
                <w:sz w:val="21"/>
                <w:szCs w:val="21"/>
                <w:u w:val="none"/>
                <w:lang w:val="en-US" w:eastAsia="zh-CN" w:bidi="ar"/>
              </w:rPr>
              <w:t>完</w:t>
            </w:r>
            <w:r>
              <w:rPr>
                <w:rFonts w:hint="eastAsia" w:ascii="仿宋" w:hAnsi="仿宋" w:eastAsia="仿宋" w:cs="仿宋"/>
                <w:b/>
                <w:bCs/>
                <w:i w:val="0"/>
                <w:iCs w:val="0"/>
                <w:color w:val="000000"/>
                <w:kern w:val="0"/>
                <w:sz w:val="21"/>
                <w:szCs w:val="21"/>
                <w:u w:val="none"/>
                <w:lang w:val="en-US" w:eastAsia="zh-CN" w:bidi="ar"/>
              </w:rPr>
              <w:br w:type="textWrapping"/>
            </w:r>
            <w:r>
              <w:rPr>
                <w:rFonts w:hint="eastAsia" w:ascii="仿宋" w:hAnsi="仿宋" w:eastAsia="仿宋" w:cs="仿宋"/>
                <w:b/>
                <w:bCs/>
                <w:i w:val="0"/>
                <w:iCs w:val="0"/>
                <w:color w:val="000000"/>
                <w:kern w:val="0"/>
                <w:sz w:val="21"/>
                <w:szCs w:val="21"/>
                <w:u w:val="none"/>
                <w:lang w:val="en-US" w:eastAsia="zh-CN" w:bidi="ar"/>
              </w:rPr>
              <w:t>成</w:t>
            </w:r>
            <w:r>
              <w:rPr>
                <w:rFonts w:hint="eastAsia" w:ascii="仿宋" w:hAnsi="仿宋" w:eastAsia="仿宋" w:cs="仿宋"/>
                <w:b/>
                <w:bCs/>
                <w:i w:val="0"/>
                <w:iCs w:val="0"/>
                <w:color w:val="000000"/>
                <w:kern w:val="0"/>
                <w:sz w:val="21"/>
                <w:szCs w:val="21"/>
                <w:u w:val="none"/>
                <w:lang w:val="en-US" w:eastAsia="zh-CN" w:bidi="ar"/>
              </w:rPr>
              <w:br w:type="textWrapping"/>
            </w:r>
            <w:r>
              <w:rPr>
                <w:rFonts w:hint="eastAsia" w:ascii="仿宋" w:hAnsi="仿宋" w:eastAsia="仿宋" w:cs="仿宋"/>
                <w:b/>
                <w:bCs/>
                <w:i w:val="0"/>
                <w:iCs w:val="0"/>
                <w:color w:val="000000"/>
                <w:kern w:val="0"/>
                <w:sz w:val="21"/>
                <w:szCs w:val="21"/>
                <w:u w:val="none"/>
                <w:lang w:val="en-US" w:eastAsia="zh-CN" w:bidi="ar"/>
              </w:rPr>
              <w:t>情</w:t>
            </w:r>
            <w:r>
              <w:rPr>
                <w:rFonts w:hint="eastAsia" w:ascii="仿宋" w:hAnsi="仿宋" w:eastAsia="仿宋" w:cs="仿宋"/>
                <w:b/>
                <w:bCs/>
                <w:i w:val="0"/>
                <w:iCs w:val="0"/>
                <w:color w:val="000000"/>
                <w:kern w:val="0"/>
                <w:sz w:val="21"/>
                <w:szCs w:val="21"/>
                <w:u w:val="none"/>
                <w:lang w:val="en-US" w:eastAsia="zh-CN" w:bidi="ar"/>
              </w:rPr>
              <w:br w:type="textWrapping"/>
            </w:r>
            <w:r>
              <w:rPr>
                <w:rFonts w:hint="eastAsia" w:ascii="仿宋" w:hAnsi="仿宋" w:eastAsia="仿宋" w:cs="仿宋"/>
                <w:b/>
                <w:bCs/>
                <w:i w:val="0"/>
                <w:iCs w:val="0"/>
                <w:color w:val="000000"/>
                <w:kern w:val="0"/>
                <w:sz w:val="21"/>
                <w:szCs w:val="21"/>
                <w:u w:val="none"/>
                <w:lang w:val="en-US" w:eastAsia="zh-CN" w:bidi="ar"/>
              </w:rPr>
              <w:t>况</w:t>
            </w:r>
          </w:p>
        </w:tc>
        <w:tc>
          <w:tcPr>
            <w:tcW w:w="761"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产出指标</w:t>
            </w:r>
          </w:p>
        </w:tc>
        <w:tc>
          <w:tcPr>
            <w:tcW w:w="14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数量指标</w:t>
            </w:r>
          </w:p>
        </w:tc>
        <w:tc>
          <w:tcPr>
            <w:tcW w:w="11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审核义务教育阶段受助学生</w:t>
            </w:r>
          </w:p>
        </w:tc>
        <w:tc>
          <w:tcPr>
            <w:tcW w:w="8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定量</w:t>
            </w:r>
          </w:p>
        </w:tc>
        <w:tc>
          <w:tcPr>
            <w:tcW w:w="96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大于等于23人</w:t>
            </w:r>
          </w:p>
        </w:tc>
        <w:tc>
          <w:tcPr>
            <w:tcW w:w="8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23人</w:t>
            </w:r>
          </w:p>
        </w:tc>
        <w:tc>
          <w:tcPr>
            <w:tcW w:w="90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100.00%</w:t>
            </w:r>
          </w:p>
        </w:tc>
        <w:tc>
          <w:tcPr>
            <w:tcW w:w="68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9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450" w:hRule="atLeast"/>
        </w:trPr>
        <w:tc>
          <w:tcPr>
            <w:tcW w:w="77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仿宋" w:hAnsi="仿宋" w:eastAsia="仿宋" w:cs="仿宋"/>
                <w:b/>
                <w:bCs/>
                <w:i w:val="0"/>
                <w:iCs w:val="0"/>
                <w:color w:val="000000"/>
                <w:sz w:val="21"/>
                <w:szCs w:val="21"/>
                <w:u w:val="none"/>
              </w:rPr>
            </w:pPr>
          </w:p>
        </w:tc>
        <w:tc>
          <w:tcPr>
            <w:tcW w:w="7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仿宋" w:hAnsi="仿宋" w:eastAsia="仿宋" w:cs="仿宋"/>
                <w:b/>
                <w:bCs/>
                <w:i w:val="0"/>
                <w:iCs w:val="0"/>
                <w:color w:val="000000"/>
                <w:sz w:val="21"/>
                <w:szCs w:val="21"/>
                <w:u w:val="none"/>
              </w:rPr>
            </w:pPr>
          </w:p>
        </w:tc>
        <w:tc>
          <w:tcPr>
            <w:tcW w:w="14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数量指标</w:t>
            </w:r>
          </w:p>
        </w:tc>
        <w:tc>
          <w:tcPr>
            <w:tcW w:w="11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全年营养餐补助学生</w:t>
            </w:r>
          </w:p>
        </w:tc>
        <w:tc>
          <w:tcPr>
            <w:tcW w:w="8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定量</w:t>
            </w:r>
          </w:p>
        </w:tc>
        <w:tc>
          <w:tcPr>
            <w:tcW w:w="96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大于等于17人</w:t>
            </w:r>
          </w:p>
        </w:tc>
        <w:tc>
          <w:tcPr>
            <w:tcW w:w="8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17人</w:t>
            </w:r>
          </w:p>
        </w:tc>
        <w:tc>
          <w:tcPr>
            <w:tcW w:w="90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100.00%</w:t>
            </w:r>
          </w:p>
        </w:tc>
        <w:tc>
          <w:tcPr>
            <w:tcW w:w="68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9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450" w:hRule="atLeast"/>
        </w:trPr>
        <w:tc>
          <w:tcPr>
            <w:tcW w:w="77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仿宋" w:hAnsi="仿宋" w:eastAsia="仿宋" w:cs="仿宋"/>
                <w:b/>
                <w:bCs/>
                <w:i w:val="0"/>
                <w:iCs w:val="0"/>
                <w:color w:val="000000"/>
                <w:sz w:val="21"/>
                <w:szCs w:val="21"/>
                <w:u w:val="none"/>
              </w:rPr>
            </w:pPr>
          </w:p>
        </w:tc>
        <w:tc>
          <w:tcPr>
            <w:tcW w:w="7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仿宋" w:hAnsi="仿宋" w:eastAsia="仿宋" w:cs="仿宋"/>
                <w:b/>
                <w:bCs/>
                <w:i w:val="0"/>
                <w:iCs w:val="0"/>
                <w:color w:val="000000"/>
                <w:sz w:val="21"/>
                <w:szCs w:val="21"/>
                <w:u w:val="none"/>
              </w:rPr>
            </w:pPr>
          </w:p>
        </w:tc>
        <w:tc>
          <w:tcPr>
            <w:tcW w:w="14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成本指标</w:t>
            </w:r>
          </w:p>
        </w:tc>
        <w:tc>
          <w:tcPr>
            <w:tcW w:w="11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营养餐发放标准</w:t>
            </w:r>
          </w:p>
        </w:tc>
        <w:tc>
          <w:tcPr>
            <w:tcW w:w="8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定量</w:t>
            </w:r>
          </w:p>
        </w:tc>
        <w:tc>
          <w:tcPr>
            <w:tcW w:w="96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6/餐</w:t>
            </w:r>
          </w:p>
        </w:tc>
        <w:tc>
          <w:tcPr>
            <w:tcW w:w="8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6/餐</w:t>
            </w:r>
          </w:p>
        </w:tc>
        <w:tc>
          <w:tcPr>
            <w:tcW w:w="90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100.00%</w:t>
            </w:r>
          </w:p>
        </w:tc>
        <w:tc>
          <w:tcPr>
            <w:tcW w:w="68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615" w:hRule="atLeast"/>
        </w:trPr>
        <w:tc>
          <w:tcPr>
            <w:tcW w:w="77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仿宋" w:hAnsi="仿宋" w:eastAsia="仿宋" w:cs="仿宋"/>
                <w:b/>
                <w:bCs/>
                <w:i w:val="0"/>
                <w:iCs w:val="0"/>
                <w:color w:val="000000"/>
                <w:sz w:val="21"/>
                <w:szCs w:val="21"/>
                <w:u w:val="none"/>
              </w:rPr>
            </w:pPr>
          </w:p>
        </w:tc>
        <w:tc>
          <w:tcPr>
            <w:tcW w:w="76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center"/>
              <w:rPr>
                <w:rFonts w:hint="eastAsia" w:ascii="仿宋" w:hAnsi="仿宋" w:eastAsia="仿宋" w:cs="仿宋"/>
                <w:b/>
                <w:bCs/>
                <w:i w:val="0"/>
                <w:iCs w:val="0"/>
                <w:color w:val="000000"/>
                <w:sz w:val="21"/>
                <w:szCs w:val="21"/>
                <w:u w:val="none"/>
              </w:rPr>
            </w:pPr>
          </w:p>
        </w:tc>
        <w:tc>
          <w:tcPr>
            <w:tcW w:w="14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时效指标</w:t>
            </w:r>
          </w:p>
        </w:tc>
        <w:tc>
          <w:tcPr>
            <w:tcW w:w="11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义务教育困难生资助资金下拨及时率</w:t>
            </w:r>
          </w:p>
        </w:tc>
        <w:tc>
          <w:tcPr>
            <w:tcW w:w="8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定量</w:t>
            </w:r>
          </w:p>
        </w:tc>
        <w:tc>
          <w:tcPr>
            <w:tcW w:w="96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w:t>
            </w:r>
          </w:p>
        </w:tc>
        <w:tc>
          <w:tcPr>
            <w:tcW w:w="8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w:t>
            </w:r>
          </w:p>
        </w:tc>
        <w:tc>
          <w:tcPr>
            <w:tcW w:w="90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100.00%</w:t>
            </w:r>
          </w:p>
        </w:tc>
        <w:tc>
          <w:tcPr>
            <w:tcW w:w="68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615" w:hRule="atLeast"/>
        </w:trPr>
        <w:tc>
          <w:tcPr>
            <w:tcW w:w="77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仿宋" w:hAnsi="仿宋" w:eastAsia="仿宋" w:cs="仿宋"/>
                <w:b/>
                <w:bCs/>
                <w:i w:val="0"/>
                <w:iCs w:val="0"/>
                <w:color w:val="000000"/>
                <w:sz w:val="21"/>
                <w:szCs w:val="21"/>
                <w:u w:val="none"/>
              </w:rPr>
            </w:pPr>
          </w:p>
        </w:tc>
        <w:tc>
          <w:tcPr>
            <w:tcW w:w="761" w:type="dxa"/>
            <w:tcBorders>
              <w:top w:val="nil"/>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效益指标</w:t>
            </w:r>
          </w:p>
        </w:tc>
        <w:tc>
          <w:tcPr>
            <w:tcW w:w="145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社会效益指标</w:t>
            </w:r>
          </w:p>
        </w:tc>
        <w:tc>
          <w:tcPr>
            <w:tcW w:w="11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改善受助学生学习生活质量</w:t>
            </w:r>
          </w:p>
        </w:tc>
        <w:tc>
          <w:tcPr>
            <w:tcW w:w="8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定性</w:t>
            </w:r>
          </w:p>
        </w:tc>
        <w:tc>
          <w:tcPr>
            <w:tcW w:w="96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有所改善</w:t>
            </w:r>
          </w:p>
        </w:tc>
        <w:tc>
          <w:tcPr>
            <w:tcW w:w="8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有所改善</w:t>
            </w:r>
          </w:p>
        </w:tc>
        <w:tc>
          <w:tcPr>
            <w:tcW w:w="90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100.00%</w:t>
            </w:r>
          </w:p>
        </w:tc>
        <w:tc>
          <w:tcPr>
            <w:tcW w:w="68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w:t>
            </w:r>
          </w:p>
        </w:tc>
        <w:tc>
          <w:tcPr>
            <w:tcW w:w="9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615" w:hRule="atLeast"/>
        </w:trPr>
        <w:tc>
          <w:tcPr>
            <w:tcW w:w="77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eastAsia" w:ascii="仿宋" w:hAnsi="仿宋" w:eastAsia="仿宋" w:cs="仿宋"/>
                <w:b/>
                <w:bCs/>
                <w:i w:val="0"/>
                <w:iCs w:val="0"/>
                <w:color w:val="000000"/>
                <w:sz w:val="21"/>
                <w:szCs w:val="21"/>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满意度</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指标</w:t>
            </w:r>
          </w:p>
        </w:tc>
        <w:tc>
          <w:tcPr>
            <w:tcW w:w="145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服务对象满意度指标</w:t>
            </w:r>
          </w:p>
        </w:tc>
        <w:tc>
          <w:tcPr>
            <w:tcW w:w="11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受资助对象满意度</w:t>
            </w:r>
          </w:p>
        </w:tc>
        <w:tc>
          <w:tcPr>
            <w:tcW w:w="8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定量</w:t>
            </w:r>
          </w:p>
        </w:tc>
        <w:tc>
          <w:tcPr>
            <w:tcW w:w="96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大于等于90%</w:t>
            </w:r>
          </w:p>
        </w:tc>
        <w:tc>
          <w:tcPr>
            <w:tcW w:w="89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w:t>
            </w:r>
          </w:p>
        </w:tc>
        <w:tc>
          <w:tcPr>
            <w:tcW w:w="90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100.00%</w:t>
            </w:r>
          </w:p>
        </w:tc>
        <w:tc>
          <w:tcPr>
            <w:tcW w:w="68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9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540" w:hRule="atLeast"/>
        </w:trPr>
        <w:tc>
          <w:tcPr>
            <w:tcW w:w="7770" w:type="dxa"/>
            <w:gridSpan w:val="8"/>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总分</w:t>
            </w:r>
          </w:p>
        </w:tc>
        <w:tc>
          <w:tcPr>
            <w:tcW w:w="68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100</w:t>
            </w:r>
          </w:p>
        </w:tc>
        <w:tc>
          <w:tcPr>
            <w:tcW w:w="58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97</w:t>
            </w:r>
          </w:p>
        </w:tc>
        <w:tc>
          <w:tcPr>
            <w:tcW w:w="9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Ex>
        <w:trPr>
          <w:trHeight w:val="1515" w:hRule="atLeast"/>
        </w:trPr>
        <w:tc>
          <w:tcPr>
            <w:tcW w:w="9956" w:type="dxa"/>
            <w:gridSpan w:val="11"/>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填表说明：1.年度总体目标和绩效指标中的“具体指标”“年度指标值”按照部门预算批复的绩效目标填写，必须有量化指标。</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2.设置分值原则：预算执行率和一级指标权重统一设置为：预算执行率10%、产出指标50%、效益指标30%、服务对象满意度指标10%。如有特殊情况，一级指标权重可做适当调整。二、三级指标应当根据指标重要程度等因素综合确定，准确反映项目的产出和效益。</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 xml:space="preserve">         3.存在问题及原因主要针对进度是否滞后，管理制度是否健全，是否违反财务管理制度，绩效目标完成情况是否明显偏离，以及其他资金使用及管理方面的问题进行阐述，并分析产生问题的原因。</w:t>
            </w:r>
          </w:p>
        </w:tc>
      </w:tr>
      <w:bookmarkEnd w:id="4"/>
    </w:tbl>
    <w:p>
      <w:pPr>
        <w:keepNext w:val="0"/>
        <w:keepLines w:val="0"/>
        <w:pageBreakBefore w:val="0"/>
        <w:widowControl w:val="0"/>
        <w:tabs>
          <w:tab w:val="left" w:pos="8415"/>
        </w:tabs>
        <w:kinsoku/>
        <w:wordWrap/>
        <w:overflowPunct/>
        <w:topLinePunct w:val="0"/>
        <w:autoSpaceDE/>
        <w:autoSpaceDN/>
        <w:bidi w:val="0"/>
        <w:adjustRightInd/>
        <w:snapToGrid/>
        <w:textAlignment w:val="auto"/>
        <w:rPr>
          <w:rFonts w:hint="eastAsia" w:ascii="仿宋" w:hAnsi="仿宋" w:eastAsia="仿宋" w:cs="仿宋"/>
          <w:sz w:val="32"/>
          <w:szCs w:val="32"/>
        </w:rPr>
      </w:pPr>
    </w:p>
    <w:sectPr>
      <w:footerReference r:id="rId11" w:type="default"/>
      <w:pgSz w:w="11906" w:h="16838"/>
      <w:pgMar w:top="1984" w:right="1083" w:bottom="1984" w:left="1083" w:header="0" w:footer="720" w:gutter="0"/>
      <w:pgBorders>
        <w:top w:val="none" w:sz="0" w:space="0"/>
        <w:left w:val="none" w:sz="0" w:space="0"/>
        <w:bottom w:val="none" w:sz="0" w:space="0"/>
        <w:right w:val="none" w:sz="0" w:space="0"/>
      </w:pgBorders>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w:t>
    </w:r>
    <w:r>
      <w:rPr>
        <w:rFonts w:ascii="宋体" w:hAnsi="宋体" w:eastAsia="宋体" w:cs="宋体"/>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5</w:t>
    </w:r>
    <w:r>
      <w:rPr>
        <w:rFonts w:ascii="宋体" w:hAnsi="宋体" w:eastAsia="宋体" w:cs="宋体"/>
        <w:sz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7</w:t>
    </w:r>
    <w:r>
      <w:rPr>
        <w:rFonts w:ascii="宋体" w:hAnsi="宋体" w:eastAsia="宋体" w:cs="宋体"/>
        <w:sz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17</w:t>
    </w:r>
    <w:r>
      <w:rPr>
        <w:rFonts w:ascii="宋体" w:hAnsi="宋体" w:eastAsia="宋体" w:cs="宋体"/>
        <w:sz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22</w:t>
    </w:r>
    <w:r>
      <w:rPr>
        <w:rFonts w:ascii="宋体" w:hAnsi="宋体" w:eastAsia="宋体" w:cs="宋体"/>
        <w:sz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24</w:t>
    </w:r>
    <w:r>
      <w:rPr>
        <w:rFonts w:ascii="宋体" w:hAnsi="宋体" w:eastAsia="宋体" w:cs="宋体"/>
        <w:sz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28</w:t>
    </w:r>
    <w:r>
      <w:rPr>
        <w:rFonts w:ascii="宋体" w:hAnsi="宋体" w:eastAsia="宋体" w:cs="宋体"/>
        <w:sz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43</w:t>
    </w:r>
    <w:r>
      <w:rPr>
        <w:rFonts w:ascii="宋体" w:hAnsi="宋体" w:eastAsia="宋体" w:cs="宋体"/>
        <w:sz w:val="18"/>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Y2E0NGRmYTUxOGFhZmU2MmQ3YTU3NWU4MTFlZjhkZDMifQ=="/>
  </w:docVars>
  <w:rsids>
    <w:rsidRoot w:val="00000000"/>
    <w:rsid w:val="035812BE"/>
    <w:rsid w:val="04DA0050"/>
    <w:rsid w:val="05B52341"/>
    <w:rsid w:val="06303672"/>
    <w:rsid w:val="09C523C2"/>
    <w:rsid w:val="0DA70E03"/>
    <w:rsid w:val="12CC74D3"/>
    <w:rsid w:val="1A184478"/>
    <w:rsid w:val="21D6094D"/>
    <w:rsid w:val="23835007"/>
    <w:rsid w:val="23B736ED"/>
    <w:rsid w:val="2A2853AE"/>
    <w:rsid w:val="2B556EA8"/>
    <w:rsid w:val="2E4531DC"/>
    <w:rsid w:val="304C1500"/>
    <w:rsid w:val="335441EB"/>
    <w:rsid w:val="35BE2FC3"/>
    <w:rsid w:val="394301BD"/>
    <w:rsid w:val="3AA27FAB"/>
    <w:rsid w:val="42426BD9"/>
    <w:rsid w:val="48AA1995"/>
    <w:rsid w:val="4E750DAB"/>
    <w:rsid w:val="504E728D"/>
    <w:rsid w:val="50E0375F"/>
    <w:rsid w:val="51571874"/>
    <w:rsid w:val="56BF27E7"/>
    <w:rsid w:val="56CF2CD9"/>
    <w:rsid w:val="57755CDB"/>
    <w:rsid w:val="58C441C5"/>
    <w:rsid w:val="5AA13D59"/>
    <w:rsid w:val="60B82914"/>
    <w:rsid w:val="630118E5"/>
    <w:rsid w:val="667B64AF"/>
    <w:rsid w:val="6C78097A"/>
    <w:rsid w:val="6CB501A1"/>
    <w:rsid w:val="713D71C5"/>
    <w:rsid w:val="7165535D"/>
    <w:rsid w:val="74D152DE"/>
    <w:rsid w:val="757D304F"/>
    <w:rsid w:val="769A41F2"/>
    <w:rsid w:val="782D6112"/>
    <w:rsid w:val="7A9341E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eastAsia="仿宋"/>
      <w:bCs/>
      <w:kern w:val="44"/>
      <w:sz w:val="32"/>
      <w:szCs w:val="44"/>
    </w:rPr>
  </w:style>
  <w:style w:type="paragraph" w:styleId="4">
    <w:name w:val="heading 2"/>
    <w:basedOn w:val="5"/>
    <w:next w:val="5"/>
    <w:qFormat/>
    <w:uiPriority w:val="0"/>
    <w:pPr>
      <w:keepNext/>
      <w:keepLines/>
      <w:spacing w:before="260" w:after="260" w:line="416" w:lineRule="auto"/>
      <w:outlineLvl w:val="1"/>
    </w:pPr>
    <w:rPr>
      <w:rFonts w:ascii="Arial" w:hAnsi="Arial" w:eastAsia="仿宋"/>
      <w:bCs/>
      <w:sz w:val="32"/>
      <w:szCs w:val="32"/>
    </w:rPr>
  </w:style>
  <w:style w:type="paragraph" w:styleId="6">
    <w:name w:val="heading 3"/>
    <w:basedOn w:val="5"/>
    <w:next w:val="5"/>
    <w:link w:val="28"/>
    <w:qFormat/>
    <w:uiPriority w:val="0"/>
    <w:pPr>
      <w:keepNext/>
      <w:keepLines/>
      <w:spacing w:before="260" w:after="260" w:line="416" w:lineRule="auto"/>
      <w:outlineLvl w:val="2"/>
    </w:pPr>
    <w:rPr>
      <w:rFonts w:eastAsia="仿宋"/>
      <w:bCs/>
      <w:sz w:val="32"/>
      <w:szCs w:val="32"/>
    </w:rPr>
  </w:style>
  <w:style w:type="paragraph" w:styleId="7">
    <w:name w:val="heading 4"/>
    <w:basedOn w:val="5"/>
    <w:next w:val="5"/>
    <w:link w:val="24"/>
    <w:qFormat/>
    <w:uiPriority w:val="0"/>
    <w:pPr>
      <w:keepNext/>
      <w:keepLines/>
      <w:spacing w:before="280" w:after="290" w:line="376" w:lineRule="auto"/>
      <w:outlineLvl w:val="3"/>
    </w:pPr>
    <w:rPr>
      <w:rFonts w:ascii="Cambria" w:hAnsi="Cambria" w:eastAsia="仿宋"/>
      <w:bCs/>
      <w:sz w:val="32"/>
      <w:szCs w:val="28"/>
    </w:rPr>
  </w:style>
  <w:style w:type="character" w:default="1" w:styleId="20">
    <w:name w:val="Default Paragraph Font"/>
    <w:semiHidden/>
    <w:unhideWhenUsed/>
    <w:qFormat/>
    <w:uiPriority w:val="1"/>
  </w:style>
  <w:style w:type="table" w:default="1" w:styleId="23">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1.正文"/>
    <w:basedOn w:val="1"/>
    <w:qFormat/>
    <w:uiPriority w:val="99"/>
    <w:rPr>
      <w:rFonts w:hAnsi="Times New Roman"/>
    </w:rPr>
  </w:style>
  <w:style w:type="paragraph" w:styleId="5">
    <w:name w:val="No Spacing"/>
    <w:link w:val="25"/>
    <w:qFormat/>
    <w:uiPriority w:val="0"/>
    <w:pPr>
      <w:ind w:firstLine="200" w:firstLineChars="200"/>
    </w:pPr>
    <w:rPr>
      <w:rFonts w:ascii="Times New Roman" w:hAnsi="Times New Roman" w:eastAsia="仿宋_GB2312" w:cs="Times New Roman"/>
      <w:sz w:val="30"/>
      <w:szCs w:val="22"/>
      <w:lang w:val="en-US" w:eastAsia="zh-CN" w:bidi="ar-SA"/>
    </w:rPr>
  </w:style>
  <w:style w:type="paragraph" w:styleId="8">
    <w:name w:val="toc 7"/>
    <w:basedOn w:val="1"/>
    <w:next w:val="1"/>
    <w:qFormat/>
    <w:uiPriority w:val="0"/>
    <w:pPr>
      <w:ind w:left="1260"/>
      <w:jc w:val="left"/>
    </w:pPr>
    <w:rPr>
      <w:sz w:val="20"/>
      <w:szCs w:val="20"/>
    </w:rPr>
  </w:style>
  <w:style w:type="paragraph" w:styleId="9">
    <w:name w:val="Document Map"/>
    <w:basedOn w:val="1"/>
    <w:qFormat/>
    <w:uiPriority w:val="0"/>
    <w:pPr>
      <w:shd w:val="clear" w:color="auto" w:fill="000080"/>
    </w:pPr>
  </w:style>
  <w:style w:type="paragraph" w:styleId="10">
    <w:name w:val="toc 5"/>
    <w:basedOn w:val="1"/>
    <w:next w:val="1"/>
    <w:qFormat/>
    <w:uiPriority w:val="0"/>
    <w:pPr>
      <w:ind w:left="840"/>
      <w:jc w:val="left"/>
    </w:pPr>
    <w:rPr>
      <w:sz w:val="20"/>
      <w:szCs w:val="20"/>
    </w:rPr>
  </w:style>
  <w:style w:type="paragraph" w:styleId="11">
    <w:name w:val="toc 3"/>
    <w:next w:val="6"/>
    <w:qFormat/>
    <w:uiPriority w:val="0"/>
    <w:pPr>
      <w:adjustRightInd w:val="0"/>
      <w:snapToGrid w:val="0"/>
      <w:spacing w:line="360" w:lineRule="auto"/>
      <w:ind w:firstLine="400" w:firstLineChars="400"/>
      <w:jc w:val="left"/>
    </w:pPr>
    <w:rPr>
      <w:rFonts w:ascii="Times New Roman" w:hAnsi="Times New Roman" w:eastAsia="仿宋" w:cs="Times New Roman"/>
      <w:sz w:val="32"/>
      <w:szCs w:val="20"/>
      <w:lang w:val="en-US" w:eastAsia="en-US" w:bidi="ar-SA"/>
    </w:rPr>
  </w:style>
  <w:style w:type="paragraph" w:styleId="12">
    <w:name w:val="toc 8"/>
    <w:basedOn w:val="1"/>
    <w:next w:val="1"/>
    <w:qFormat/>
    <w:uiPriority w:val="0"/>
    <w:pPr>
      <w:ind w:left="1470"/>
      <w:jc w:val="left"/>
    </w:pPr>
    <w:rPr>
      <w:sz w:val="20"/>
      <w:szCs w:val="20"/>
    </w:rPr>
  </w:style>
  <w:style w:type="paragraph" w:styleId="13">
    <w:name w:val="footer"/>
    <w:basedOn w:val="1"/>
    <w:link w:val="26"/>
    <w:qFormat/>
    <w:uiPriority w:val="0"/>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next w:val="5"/>
    <w:qFormat/>
    <w:uiPriority w:val="0"/>
    <w:pPr>
      <w:adjustRightInd w:val="0"/>
      <w:snapToGrid w:val="0"/>
      <w:spacing w:line="360" w:lineRule="auto"/>
      <w:jc w:val="left"/>
    </w:pPr>
    <w:rPr>
      <w:rFonts w:ascii="Times New Roman" w:hAnsi="Times New Roman" w:eastAsia="仿宋" w:cs="Times New Roman"/>
      <w:bCs/>
      <w:sz w:val="32"/>
      <w:szCs w:val="20"/>
      <w:lang w:val="en-US" w:eastAsia="en-US" w:bidi="ar-SA"/>
    </w:rPr>
  </w:style>
  <w:style w:type="paragraph" w:styleId="16">
    <w:name w:val="toc 4"/>
    <w:basedOn w:val="1"/>
    <w:next w:val="1"/>
    <w:qFormat/>
    <w:uiPriority w:val="0"/>
    <w:pPr>
      <w:ind w:left="630"/>
      <w:jc w:val="left"/>
    </w:pPr>
    <w:rPr>
      <w:sz w:val="20"/>
      <w:szCs w:val="20"/>
    </w:rPr>
  </w:style>
  <w:style w:type="paragraph" w:styleId="17">
    <w:name w:val="toc 6"/>
    <w:basedOn w:val="1"/>
    <w:next w:val="1"/>
    <w:qFormat/>
    <w:uiPriority w:val="0"/>
    <w:pPr>
      <w:ind w:left="1050"/>
      <w:jc w:val="left"/>
    </w:pPr>
    <w:rPr>
      <w:sz w:val="20"/>
      <w:szCs w:val="20"/>
    </w:rPr>
  </w:style>
  <w:style w:type="paragraph" w:styleId="18">
    <w:name w:val="toc 2"/>
    <w:next w:val="5"/>
    <w:qFormat/>
    <w:uiPriority w:val="0"/>
    <w:pPr>
      <w:adjustRightInd w:val="0"/>
      <w:snapToGrid w:val="0"/>
      <w:spacing w:line="360" w:lineRule="auto"/>
      <w:ind w:firstLine="200" w:firstLineChars="200"/>
      <w:jc w:val="left"/>
    </w:pPr>
    <w:rPr>
      <w:rFonts w:ascii="Times New Roman" w:hAnsi="Times New Roman" w:eastAsia="仿宋" w:cs="Times New Roman"/>
      <w:iCs/>
      <w:sz w:val="32"/>
      <w:szCs w:val="20"/>
      <w:lang w:val="en-US" w:eastAsia="en-US" w:bidi="ar-SA"/>
    </w:rPr>
  </w:style>
  <w:style w:type="paragraph" w:styleId="19">
    <w:name w:val="toc 9"/>
    <w:basedOn w:val="1"/>
    <w:next w:val="1"/>
    <w:qFormat/>
    <w:uiPriority w:val="0"/>
    <w:pPr>
      <w:ind w:left="1680"/>
      <w:jc w:val="left"/>
    </w:pPr>
    <w:rPr>
      <w:sz w:val="20"/>
      <w:szCs w:val="20"/>
    </w:rPr>
  </w:style>
  <w:style w:type="character" w:styleId="21">
    <w:name w:val="page number"/>
    <w:basedOn w:val="20"/>
    <w:qFormat/>
    <w:uiPriority w:val="0"/>
  </w:style>
  <w:style w:type="character" w:styleId="22">
    <w:name w:val="Hyperlink"/>
    <w:qFormat/>
    <w:uiPriority w:val="0"/>
    <w:rPr>
      <w:rFonts w:ascii="宋体" w:hAnsi="宋体" w:eastAsia="仿宋" w:cs="Times New Roman"/>
      <w:kern w:val="2"/>
      <w:sz w:val="32"/>
      <w:szCs w:val="32"/>
      <w:lang w:val="en-US" w:eastAsia="zh-CN" w:bidi="ar-SA"/>
    </w:rPr>
  </w:style>
  <w:style w:type="character" w:customStyle="1" w:styleId="24">
    <w:name w:val="标题 4 字符"/>
    <w:basedOn w:val="20"/>
    <w:link w:val="7"/>
    <w:qFormat/>
    <w:uiPriority w:val="0"/>
    <w:rPr>
      <w:rFonts w:ascii="Cambria" w:hAnsi="Cambria" w:eastAsia="仿宋"/>
      <w:bCs/>
      <w:kern w:val="2"/>
      <w:sz w:val="32"/>
      <w:szCs w:val="28"/>
    </w:rPr>
  </w:style>
  <w:style w:type="character" w:customStyle="1" w:styleId="25">
    <w:name w:val="无间隔 字符"/>
    <w:link w:val="5"/>
    <w:qFormat/>
    <w:locked/>
    <w:uiPriority w:val="0"/>
    <w:rPr>
      <w:rFonts w:eastAsia="仿宋_GB2312"/>
      <w:sz w:val="30"/>
      <w:szCs w:val="22"/>
      <w:lang w:bidi="ar-SA"/>
    </w:rPr>
  </w:style>
  <w:style w:type="character" w:customStyle="1" w:styleId="26">
    <w:name w:val="页脚 字符"/>
    <w:basedOn w:val="20"/>
    <w:link w:val="13"/>
    <w:qFormat/>
    <w:uiPriority w:val="0"/>
    <w:rPr>
      <w:kern w:val="2"/>
      <w:sz w:val="18"/>
      <w:szCs w:val="18"/>
    </w:rPr>
  </w:style>
  <w:style w:type="paragraph" w:styleId="27">
    <w:name w:val="List Paragraph"/>
    <w:basedOn w:val="1"/>
    <w:qFormat/>
    <w:uiPriority w:val="0"/>
    <w:pPr>
      <w:ind w:firstLine="420" w:firstLineChars="200"/>
    </w:pPr>
  </w:style>
  <w:style w:type="character" w:customStyle="1" w:styleId="28">
    <w:name w:val="标题 3 字符"/>
    <w:basedOn w:val="20"/>
    <w:link w:val="6"/>
    <w:qFormat/>
    <w:uiPriority w:val="0"/>
    <w:rPr>
      <w:rFonts w:eastAsia="仿宋"/>
      <w:bCs/>
      <w:kern w:val="2"/>
      <w:sz w:val="32"/>
      <w:szCs w:val="32"/>
    </w:rPr>
  </w:style>
  <w:style w:type="paragraph" w:customStyle="1" w:styleId="29">
    <w:name w:val="MsoNormal"/>
    <w:basedOn w:val="1"/>
    <w:qFormat/>
    <w:uiPriority w:val="0"/>
  </w:style>
  <w:style w:type="paragraph" w:customStyle="1" w:styleId="30">
    <w:name w:val="p"/>
    <w:basedOn w:val="1"/>
    <w:qFormat/>
    <w:uiPriority w:val="0"/>
  </w:style>
  <w:style w:type="character" w:customStyle="1" w:styleId="31">
    <w:name w:val="15"/>
    <w:basedOn w:val="20"/>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7559B6-2DC7-41B5-818F-6E7F243775C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43</Pages>
  <Words>20</Words>
  <Characters>35</Characters>
  <Lines>1</Lines>
  <Paragraphs>1</Paragraphs>
  <TotalTime>0</TotalTime>
  <ScaleCrop>false</ScaleCrop>
  <LinksUpToDate>false</LinksUpToDate>
  <CharactersWithSpaces>35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Administrator</cp:lastModifiedBy>
  <cp:lastPrinted>2021-04-16T00:45:00Z</cp:lastPrinted>
  <dcterms:modified xsi:type="dcterms:W3CDTF">2025-09-16T04:53:17Z</dcterms:modified>
  <dc:title>××年度××部门/单位</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51EA75710E61423394694D1476351CDD_13</vt:lpwstr>
  </property>
  <property fmtid="{D5CDD505-2E9C-101B-9397-08002B2CF9AE}" pid="3" name="KSOProductBuildVer">
    <vt:lpwstr>2052-11.8.2.8053</vt:lpwstr>
  </property>
  <property fmtid="{D5CDD505-2E9C-101B-9397-08002B2CF9AE}" pid="4" name="KSOTemplateDocerSaveRecord">
    <vt:lpwstr>eyJoZGlkIjoiMGU0NWVkNDhlOTkyOTEzYmI4NjBkNjJlZWJjYTAyZDQiLCJ1c2VySWQiOiI0MjEyNzUxNjYifQ==</vt:lpwstr>
  </property>
</Properties>
</file>