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厦门市龙湫亭实验学校</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7"/>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1"/>
              <w:rFonts w:ascii="黑体" w:hAnsi="黑体" w:eastAsia="黑体" w:cs="黑体"/>
            </w:rPr>
            <w:t>第一部分</w:t>
          </w:r>
          <w:r>
            <w:tab/>
          </w:r>
          <w:r>
            <w:fldChar w:fldCharType="begin"/>
          </w:r>
          <w:r>
            <w:instrText xml:space="preserve"> PAGEREF _Toc256000094 \h </w:instrText>
          </w:r>
          <w:r>
            <w:fldChar w:fldCharType="separate"/>
          </w:r>
          <w:r>
            <w:t>4</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1"/>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1"/>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1"/>
              <w:rFonts w:ascii="黑体" w:hAnsi="黑体" w:eastAsia="黑体" w:cs="黑体"/>
            </w:rPr>
            <w:t>二、单位基本情况</w:t>
          </w:r>
          <w:r>
            <w:tab/>
          </w:r>
          <w:r>
            <w:fldChar w:fldCharType="begin"/>
          </w:r>
          <w:r>
            <w:instrText xml:space="preserve"> PAGEREF _Toc256000096 \h </w:instrText>
          </w:r>
          <w:r>
            <w:fldChar w:fldCharType="separate"/>
          </w:r>
          <w:r>
            <w:t>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1"/>
              <w:rFonts w:ascii="黑体" w:hAnsi="黑体" w:eastAsia="黑体" w:cs="黑体"/>
            </w:rPr>
            <w:t>三、单位主要工作总结</w:t>
          </w:r>
          <w:r>
            <w:tab/>
          </w:r>
          <w:r>
            <w:fldChar w:fldCharType="begin"/>
          </w:r>
          <w:r>
            <w:instrText xml:space="preserve"> PAGEREF _Toc256000097 \h </w:instrText>
          </w:r>
          <w:r>
            <w:fldChar w:fldCharType="separate"/>
          </w:r>
          <w:r>
            <w:t>5</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1"/>
              <w:rFonts w:ascii="黑体" w:hAnsi="黑体" w:eastAsia="黑体" w:cs="黑体"/>
            </w:rPr>
            <w:t>第二部分</w:t>
          </w:r>
          <w:r>
            <w:tab/>
          </w:r>
          <w:r>
            <w:fldChar w:fldCharType="begin"/>
          </w:r>
          <w:r>
            <w:instrText xml:space="preserve"> PAGEREF _Toc256000098 \h </w:instrText>
          </w:r>
          <w:r>
            <w:fldChar w:fldCharType="separate"/>
          </w:r>
          <w:r>
            <w:t>10</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1"/>
              <w:rFonts w:ascii="黑体" w:hAnsi="黑体" w:eastAsia="黑体" w:cs="黑体"/>
            </w:rPr>
            <w:t>2024年度决算表</w:t>
          </w:r>
          <w:r>
            <w:tab/>
          </w:r>
          <w:r>
            <w:fldChar w:fldCharType="begin"/>
          </w:r>
          <w:r>
            <w:instrText xml:space="preserve"> PAGEREF _Toc256000099 \h </w:instrText>
          </w:r>
          <w:r>
            <w:fldChar w:fldCharType="separate"/>
          </w:r>
          <w:r>
            <w:t>10</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1"/>
              <w:rFonts w:ascii="黑体" w:hAnsi="黑体" w:eastAsia="黑体" w:cs="黑体"/>
            </w:rPr>
            <w:t>一、收入支出决算总表</w:t>
          </w:r>
          <w:r>
            <w:tab/>
          </w:r>
          <w:r>
            <w:fldChar w:fldCharType="begin"/>
          </w:r>
          <w:r>
            <w:instrText xml:space="preserve"> PAGEREF _Toc256000100 \h </w:instrText>
          </w:r>
          <w:r>
            <w:fldChar w:fldCharType="separate"/>
          </w:r>
          <w:r>
            <w:t>10</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1"/>
              <w:rFonts w:ascii="黑体" w:hAnsi="黑体" w:eastAsia="黑体" w:cs="黑体"/>
            </w:rPr>
            <w:t>二、收入决算表</w:t>
          </w:r>
          <w:r>
            <w:tab/>
          </w:r>
          <w:r>
            <w:fldChar w:fldCharType="begin"/>
          </w:r>
          <w:r>
            <w:instrText xml:space="preserve"> PAGEREF _Toc256000101 \h </w:instrText>
          </w:r>
          <w:r>
            <w:fldChar w:fldCharType="separate"/>
          </w:r>
          <w:r>
            <w:t>12</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1"/>
              <w:rFonts w:ascii="黑体" w:hAnsi="黑体" w:eastAsia="黑体" w:cs="黑体"/>
            </w:rPr>
            <w:t>三、支出决算表</w:t>
          </w:r>
          <w:r>
            <w:tab/>
          </w:r>
          <w:r>
            <w:fldChar w:fldCharType="begin"/>
          </w:r>
          <w:r>
            <w:instrText xml:space="preserve"> PAGEREF _Toc256000102 \h </w:instrText>
          </w:r>
          <w:r>
            <w:fldChar w:fldCharType="separate"/>
          </w:r>
          <w:r>
            <w:t>13</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1"/>
              <w:rFonts w:ascii="黑体" w:hAnsi="黑体" w:eastAsia="黑体" w:cs="黑体"/>
            </w:rPr>
            <w:t>四、财政拨款收入支出决算总表</w:t>
          </w:r>
          <w:r>
            <w:tab/>
          </w:r>
          <w:r>
            <w:fldChar w:fldCharType="begin"/>
          </w:r>
          <w:r>
            <w:instrText xml:space="preserve"> PAGEREF _Toc256000103 \h </w:instrText>
          </w:r>
          <w:r>
            <w:fldChar w:fldCharType="separate"/>
          </w:r>
          <w:r>
            <w:t>14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1"/>
              <w:rFonts w:ascii="黑体" w:hAnsi="黑体" w:eastAsia="黑体" w:cs="黑体"/>
            </w:rPr>
            <w:t>五、一般公共预算财政拨款支出决算表</w:t>
          </w:r>
          <w:r>
            <w:tab/>
          </w:r>
          <w:r>
            <w:fldChar w:fldCharType="begin"/>
          </w:r>
          <w:r>
            <w:instrText xml:space="preserve"> PAGEREF _Toc256000104 \h </w:instrText>
          </w:r>
          <w:r>
            <w:fldChar w:fldCharType="separate"/>
          </w:r>
          <w:r>
            <w:t>16</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1"/>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17</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"_Toc256000106" </w:instrText>
          </w:r>
          <w:r>
            <w:fldChar w:fldCharType="separate"/>
          </w:r>
          <w:r>
            <w:rPr>
              <w:rStyle w:val="21"/>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19</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1"/>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19</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"_Toc256000108" </w:instrText>
          </w:r>
          <w:r>
            <w:fldChar w:fldCharType="separate"/>
          </w:r>
          <w:r>
            <w:rPr>
              <w:rStyle w:val="21"/>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21</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1"/>
              <w:rFonts w:ascii="黑体" w:hAnsi="黑体" w:eastAsia="黑体" w:cs="黑体"/>
            </w:rPr>
            <w:t>第三部分</w:t>
          </w:r>
          <w:r>
            <w:tab/>
          </w:r>
          <w:r>
            <w:fldChar w:fldCharType="begin"/>
          </w:r>
          <w:r>
            <w:instrText xml:space="preserve"> PAGEREF _Toc256000109 \h </w:instrText>
          </w:r>
          <w:r>
            <w:fldChar w:fldCharType="separate"/>
          </w:r>
          <w:r>
            <w:t>22</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1"/>
              <w:rFonts w:ascii="黑体" w:hAnsi="黑体" w:eastAsia="黑体" w:cs="黑体"/>
            </w:rPr>
            <w:t>2024年度决算情况说明</w:t>
          </w:r>
          <w:r>
            <w:tab/>
          </w:r>
          <w:r>
            <w:fldChar w:fldCharType="begin"/>
          </w:r>
          <w:r>
            <w:instrText xml:space="preserve"> PAGEREF _Toc256000110 \h </w:instrText>
          </w:r>
          <w:r>
            <w:fldChar w:fldCharType="separate"/>
          </w:r>
          <w:r>
            <w:t>22</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1"/>
              <w:rFonts w:ascii="黑体" w:hAnsi="黑体" w:eastAsia="黑体" w:cs="黑体"/>
            </w:rPr>
            <w:t>一、收入支出决算总体情况说明</w:t>
          </w:r>
          <w:r>
            <w:tab/>
          </w:r>
          <w:r>
            <w:fldChar w:fldCharType="begin"/>
          </w:r>
          <w:r>
            <w:instrText xml:space="preserve"> PAGEREF _Toc256000111 \h </w:instrText>
          </w:r>
          <w:r>
            <w:fldChar w:fldCharType="separate"/>
          </w:r>
          <w:r>
            <w:t>22</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1"/>
              <w:rFonts w:ascii="黑体" w:hAnsi="黑体" w:eastAsia="黑体" w:cs="黑体"/>
            </w:rPr>
            <w:t>二、财政拨款收入支出决算总体情况说明</w:t>
          </w:r>
          <w:r>
            <w:tab/>
          </w:r>
          <w:r>
            <w:fldChar w:fldCharType="begin"/>
          </w:r>
          <w:r>
            <w:instrText xml:space="preserve"> PAGEREF _Toc256000112 \h </w:instrText>
          </w:r>
          <w:r>
            <w:fldChar w:fldCharType="separate"/>
          </w:r>
          <w:r>
            <w:t>23</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1"/>
              <w:rFonts w:ascii="黑体" w:hAnsi="黑体" w:eastAsia="黑体" w:cs="黑体"/>
            </w:rPr>
            <w:t>三、一般公共预算拨款支出决算情况说明</w:t>
          </w:r>
          <w:r>
            <w:tab/>
          </w:r>
          <w:r>
            <w:fldChar w:fldCharType="begin"/>
          </w:r>
          <w:r>
            <w:instrText xml:space="preserve"> PAGEREF _Toc256000113 \h </w:instrText>
          </w:r>
          <w:r>
            <w:fldChar w:fldCharType="separate"/>
          </w:r>
          <w:r>
            <w:t>23</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1"/>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24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1"/>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25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1"/>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25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1"/>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26</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1"/>
              <w:rFonts w:ascii="黑体" w:hAnsi="黑体" w:eastAsia="黑体" w:cs="黑体"/>
            </w:rPr>
            <w:t>八、预算绩效情况说明</w:t>
          </w:r>
          <w:r>
            <w:tab/>
          </w:r>
          <w:r>
            <w:fldChar w:fldCharType="begin"/>
          </w:r>
          <w:r>
            <w:instrText xml:space="preserve"> PAGEREF _Toc256000118 \h </w:instrText>
          </w:r>
          <w:r>
            <w:fldChar w:fldCharType="separate"/>
          </w:r>
          <w:r>
            <w:t>26</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1"/>
              <w:rFonts w:ascii="黑体" w:hAnsi="黑体" w:eastAsia="黑体" w:cs="黑体"/>
            </w:rPr>
            <w:t>九、其他重要事项说明</w:t>
          </w:r>
          <w:r>
            <w:tab/>
          </w:r>
          <w:r>
            <w:fldChar w:fldCharType="begin"/>
          </w:r>
          <w:r>
            <w:instrText xml:space="preserve"> PAGEREF _Toc256000119 \h </w:instrText>
          </w:r>
          <w:r>
            <w:fldChar w:fldCharType="separate"/>
          </w:r>
          <w:r>
            <w:t>27</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1"/>
              <w:rFonts w:ascii="黑体" w:hAnsi="黑体" w:eastAsia="黑体" w:cs="黑体"/>
            </w:rPr>
            <w:t>第四部分</w:t>
          </w:r>
          <w:r>
            <w:tab/>
          </w:r>
          <w:r>
            <w:fldChar w:fldCharType="begin"/>
          </w:r>
          <w:r>
            <w:instrText xml:space="preserve"> PAGEREF _Toc256000120 \h </w:instrText>
          </w:r>
          <w:r>
            <w:fldChar w:fldCharType="separate"/>
          </w:r>
          <w:r>
            <w:t>28</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1"/>
              <w:rFonts w:ascii="黑体" w:hAnsi="黑体" w:eastAsia="黑体" w:cs="黑体"/>
            </w:rPr>
            <w:t>名词解释</w:t>
          </w:r>
          <w:r>
            <w:tab/>
          </w:r>
          <w:r>
            <w:fldChar w:fldCharType="begin"/>
          </w:r>
          <w:r>
            <w:instrText xml:space="preserve"> PAGEREF _Toc256000121 \h </w:instrText>
          </w:r>
          <w:r>
            <w:fldChar w:fldCharType="separate"/>
          </w:r>
          <w:r>
            <w:t>28</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1"/>
              <w:rFonts w:ascii="黑体" w:hAnsi="黑体" w:eastAsia="黑体" w:cs="黑体"/>
            </w:rPr>
            <w:t>第五部分</w:t>
          </w:r>
          <w:r>
            <w:tab/>
          </w:r>
          <w:r>
            <w:fldChar w:fldCharType="begin"/>
          </w:r>
          <w:r>
            <w:instrText xml:space="preserve"> PAGEREF _Toc256000122 \h </w:instrText>
          </w:r>
          <w:r>
            <w:fldChar w:fldCharType="separate"/>
          </w:r>
          <w:r>
            <w:t>30</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1"/>
              <w:rFonts w:ascii="黑体" w:hAnsi="黑体" w:eastAsia="黑体" w:cs="黑体"/>
            </w:rPr>
            <w:t>附件</w:t>
          </w:r>
          <w:r>
            <w:tab/>
          </w:r>
          <w:r>
            <w:fldChar w:fldCharType="begin"/>
          </w:r>
          <w:r>
            <w:instrText xml:space="preserve"> PAGEREF _Toc256000123 \h </w:instrText>
          </w:r>
          <w:r>
            <w:fldChar w:fldCharType="separate"/>
          </w:r>
          <w:r>
            <w:t>30</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8"/>
        <w:widowControl/>
        <w:spacing w:before="100" w:after="270"/>
        <w:ind w:left="0" w:right="0" w:firstLine="0"/>
        <w:jc w:val="center"/>
        <w:rPr>
          <w:rFonts w:ascii="Times New Roman" w:hAnsi="Times New Roman" w:eastAsia="Times New Roman" w:cs="Times New Roman"/>
          <w:kern w:val="0"/>
          <w:sz w:val="24"/>
        </w:rPr>
      </w:pPr>
      <w:bookmarkStart w:id="0" w:name="a000"/>
    </w:p>
    <w:p>
      <w:pPr>
        <w:pStyle w:val="3"/>
        <w:keepNext w:val="0"/>
        <w:keepLines w:val="0"/>
        <w:numPr>
          <w:ilvl w:val="0"/>
          <w:numId w:val="1"/>
        </w:numPr>
        <w:spacing w:before="100" w:after="100" w:line="240" w:lineRule="auto"/>
        <w:ind w:left="0" w:leftChars="0" w:right="0" w:firstLine="0" w:firstLineChars="0"/>
        <w:jc w:val="center"/>
        <w:rPr>
          <w:rFonts w:ascii="黑体" w:hAnsi="黑体" w:eastAsia="黑体" w:cs="黑体"/>
          <w:b/>
          <w:spacing w:val="0"/>
          <w:sz w:val="56"/>
          <w:szCs w:val="56"/>
        </w:rPr>
      </w:pPr>
      <w:bookmarkStart w:id="1" w:name="_Toc256000001"/>
      <w:bookmarkStart w:id="2" w:name="_Toc256000063"/>
      <w:bookmarkStart w:id="3" w:name="_Toc256000094"/>
      <w:bookmarkStart w:id="4" w:name="_Toc256000032"/>
      <w:r>
        <w:rPr>
          <w:rFonts w:ascii="黑体" w:hAnsi="黑体" w:eastAsia="黑体" w:cs="黑体"/>
          <w:b/>
          <w:spacing w:val="0"/>
          <w:sz w:val="56"/>
          <w:szCs w:val="56"/>
        </w:rPr>
        <w:t>单位概况</w:t>
      </w:r>
      <w:bookmarkEnd w:id="1"/>
      <w:bookmarkEnd w:id="2"/>
      <w:bookmarkEnd w:id="3"/>
      <w:bookmarkEnd w:id="4"/>
    </w:p>
    <w:p>
      <w:pPr>
        <w:pStyle w:val="4"/>
        <w:numPr>
          <w:ilvl w:val="0"/>
          <w:numId w:val="0"/>
        </w:numPr>
      </w:pPr>
    </w:p>
    <w:p>
      <w:pPr>
        <w:pStyle w:val="5"/>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Calibri" w:hAnsi="Calibri" w:eastAsia="Calibri" w:cs="Calibri"/>
          <w:b/>
          <w:spacing w:val="0"/>
        </w:rPr>
        <w:t> </w:t>
      </w:r>
      <w:r>
        <w:rPr>
          <w:rFonts w:ascii="黑体" w:hAnsi="黑体" w:eastAsia="黑体" w:cs="黑体"/>
          <w:b/>
          <w:spacing w:val="0"/>
        </w:rPr>
        <w:t xml:space="preserve"> </w:t>
      </w:r>
      <w:r>
        <w:rPr>
          <w:rFonts w:ascii="Calibri" w:hAnsi="Calibri" w:eastAsia="Calibri" w:cs="Calibri"/>
          <w:b/>
          <w:spacing w:val="0"/>
        </w:rPr>
        <w:t> </w:t>
      </w:r>
      <w:r>
        <w:rPr>
          <w:rFonts w:ascii="黑体" w:hAnsi="黑体" w:eastAsia="黑体" w:cs="黑体"/>
          <w:b/>
          <w:spacing w:val="0"/>
        </w:rPr>
        <w:t xml:space="preserve"> </w:t>
      </w:r>
      <w:bookmarkStart w:id="5" w:name="_Toc256000095"/>
      <w:bookmarkStart w:id="6" w:name="_Toc256000064"/>
      <w:bookmarkStart w:id="7" w:name="_Toc256000033"/>
      <w:bookmarkStart w:id="8" w:name="_Toc256000002"/>
      <w:r>
        <w:rPr>
          <w:rFonts w:ascii="黑体" w:hAnsi="黑体" w:eastAsia="黑体" w:cs="黑体"/>
          <w:b/>
          <w:spacing w:val="0"/>
        </w:rPr>
        <w:t>一、单位主要职责</w:t>
      </w:r>
      <w:bookmarkEnd w:id="5"/>
      <w:bookmarkEnd w:id="6"/>
      <w:bookmarkEnd w:id="7"/>
      <w:bookmarkEnd w:id="8"/>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厦门市龙湫亭实验学校单位的主要职责是：</w:t>
      </w:r>
    </w:p>
    <w:p>
      <w:pPr>
        <w:pStyle w:val="28"/>
        <w:widowControl/>
        <w:spacing w:before="100" w:after="100" w:line="600" w:lineRule="atLeast"/>
        <w:ind w:right="0" w:firstLine="640" w:firstLineChars="200"/>
        <w:jc w:val="left"/>
        <w:rPr>
          <w:rFonts w:ascii="仿宋" w:hAnsi="仿宋" w:eastAsia="仿宋" w:cs="仿宋"/>
          <w:spacing w:val="0"/>
          <w:kern w:val="0"/>
          <w:sz w:val="32"/>
          <w:szCs w:val="32"/>
        </w:rPr>
      </w:pPr>
      <w:r>
        <w:rPr>
          <w:rFonts w:ascii="仿宋" w:hAnsi="仿宋" w:eastAsia="仿宋" w:cs="仿宋"/>
          <w:spacing w:val="0"/>
          <w:kern w:val="0"/>
          <w:sz w:val="32"/>
          <w:szCs w:val="32"/>
          <w:lang w:val="en-US" w:eastAsia="zh-CN"/>
        </w:rPr>
        <w:t>（一）坚持社会主义办学方向，把立德树人作为教育</w:t>
      </w:r>
      <w:r>
        <w:rPr>
          <w:rFonts w:hint="eastAsia" w:ascii="仿宋" w:hAnsi="仿宋" w:eastAsia="仿宋" w:cs="仿宋"/>
          <w:spacing w:val="0"/>
          <w:kern w:val="0"/>
          <w:sz w:val="32"/>
          <w:szCs w:val="32"/>
          <w:lang w:val="en-US" w:eastAsia="zh-CN"/>
        </w:rPr>
        <w:t xml:space="preserve">的根本任务，发挥教育在培育和践行社会主义核心价值观中的重要作用，实行教育与生产劳动相结合，促进学生德智体美劳全面发展。 </w:t>
      </w:r>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 xml:space="preserve">（二）负责配合各级人民政府依法动员、组织适龄儿童、少年入学，严格控制学生辍学，依法保证适龄儿童、少年接受九年义务教育。 </w:t>
      </w:r>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 xml:space="preserve">（三）按照教育主管部门发布的指导性教学计划，组织实施教育教学活动。 </w:t>
      </w:r>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 xml:space="preserve">（四）依据国家教育主管部门有关教学计划、课程设置等方面的规定，决定和实施本校的教学计划，组织教学评比、集体备课，对学生进行统一考核评价等。 </w:t>
      </w:r>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（五）依法接受各级教育行政部门的检查指导和人民群众的监督。</w:t>
      </w:r>
    </w:p>
    <w:p>
      <w:pPr>
        <w:pStyle w:val="5"/>
        <w:keepNext w:val="0"/>
        <w:keepLines w:val="0"/>
        <w:spacing w:before="100" w:after="100" w:line="600" w:lineRule="atLeast"/>
        <w:ind w:left="0" w:right="0" w:firstLine="640" w:firstLineChars="0"/>
        <w:rPr>
          <w:rFonts w:ascii="黑体" w:hAnsi="黑体" w:eastAsia="黑体" w:cs="黑体"/>
          <w:b/>
          <w:spacing w:val="0"/>
        </w:rPr>
      </w:pPr>
      <w:bookmarkStart w:id="9" w:name="_Toc256000096"/>
      <w:bookmarkStart w:id="10" w:name="_Toc256000034"/>
      <w:bookmarkStart w:id="11" w:name="_Toc256000003"/>
      <w:bookmarkStart w:id="12" w:name="_Toc256000065"/>
    </w:p>
    <w:p>
      <w:pPr>
        <w:pStyle w:val="5"/>
        <w:keepNext w:val="0"/>
        <w:keepLines w:val="0"/>
        <w:spacing w:before="100" w:after="100" w:line="600" w:lineRule="atLeast"/>
        <w:ind w:left="0" w:right="0" w:firstLine="640" w:firstLineChars="0"/>
        <w:rPr>
          <w:rFonts w:ascii="黑体" w:hAnsi="黑体" w:eastAsia="黑体" w:cs="黑体"/>
          <w:b/>
          <w:spacing w:val="0"/>
        </w:rPr>
      </w:pPr>
    </w:p>
    <w:p>
      <w:pPr>
        <w:pStyle w:val="5"/>
        <w:keepNext w:val="0"/>
        <w:keepLines w:val="0"/>
        <w:spacing w:before="100" w:after="100" w:line="600" w:lineRule="atLeast"/>
        <w:ind w:left="0" w:right="0" w:firstLine="640" w:firstLineChars="0"/>
        <w:rPr>
          <w:rFonts w:ascii="黑体" w:hAnsi="黑体" w:eastAsia="黑体" w:cs="黑体"/>
          <w:b/>
          <w:spacing w:val="0"/>
        </w:rPr>
      </w:pPr>
    </w:p>
    <w:p>
      <w:pPr>
        <w:pStyle w:val="5"/>
        <w:keepNext w:val="0"/>
        <w:keepLines w:val="0"/>
        <w:spacing w:before="100" w:after="100" w:line="600" w:lineRule="atLeast"/>
        <w:ind w:left="0" w:right="0" w:firstLine="640" w:firstLineChars="0"/>
        <w:rPr>
          <w:rFonts w:ascii="黑体" w:hAnsi="黑体" w:eastAsia="黑体" w:cs="黑体"/>
          <w:b/>
          <w:spacing w:val="0"/>
        </w:rPr>
      </w:pPr>
    </w:p>
    <w:p>
      <w:pPr>
        <w:pStyle w:val="5"/>
        <w:keepNext w:val="0"/>
        <w:keepLines w:val="0"/>
        <w:spacing w:before="100" w:after="100" w:line="600" w:lineRule="atLeast"/>
        <w:ind w:left="0" w:right="0" w:firstLine="640" w:firstLineChars="0"/>
        <w:rPr>
          <w:rFonts w:ascii="黑体" w:hAnsi="黑体" w:eastAsia="黑体" w:cs="黑体"/>
          <w:b/>
          <w:spacing w:val="0"/>
        </w:rPr>
      </w:pP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二、单位基本情况</w:t>
      </w:r>
      <w:bookmarkEnd w:id="9"/>
      <w:bookmarkEnd w:id="10"/>
      <w:bookmarkEnd w:id="11"/>
      <w:bookmarkEnd w:id="12"/>
    </w:p>
    <w:p>
      <w:pPr>
        <w:pStyle w:val="28"/>
        <w:widowControl/>
        <w:spacing w:before="100" w:after="100" w:line="600" w:lineRule="atLeast"/>
        <w:ind w:left="0" w:right="0" w:firstLine="640"/>
        <w:jc w:val="left"/>
        <w:rPr>
          <w:rFonts w:ascii="Times New Roman" w:hAnsi="Times New Roman" w:eastAsia="Times New Roman" w:cs="Times New Roman"/>
          <w:kern w:val="0"/>
          <w:sz w:val="24"/>
        </w:rPr>
      </w:pPr>
      <w:bookmarkStart w:id="13" w:name="_Toc256000035"/>
      <w:bookmarkStart w:id="14" w:name="_Toc256000066"/>
      <w:bookmarkStart w:id="15" w:name="_Toc256000097"/>
      <w:bookmarkStart w:id="16" w:name="_Toc256000004"/>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6</w:t>
      </w:r>
      <w:r>
        <w:rPr>
          <w:rFonts w:ascii="仿宋" w:hAnsi="仿宋" w:eastAsia="仿宋" w:cs="仿宋"/>
          <w:spacing w:val="0"/>
          <w:kern w:val="0"/>
          <w:sz w:val="32"/>
          <w:szCs w:val="32"/>
        </w:rPr>
        <w:t>个内设机构，</w:t>
      </w:r>
      <w:r>
        <w:rPr>
          <w:rFonts w:hint="eastAsia" w:ascii="仿宋" w:hAnsi="仿宋" w:eastAsia="仿宋" w:cs="仿宋"/>
          <w:spacing w:val="0"/>
          <w:kern w:val="0"/>
          <w:sz w:val="32"/>
          <w:szCs w:val="32"/>
          <w:lang w:val="en-US" w:eastAsia="zh-CN"/>
        </w:rPr>
        <w:t>无下属单位，</w:t>
      </w:r>
      <w:r>
        <w:rPr>
          <w:rFonts w:ascii="仿宋" w:hAnsi="仿宋" w:eastAsia="仿宋" w:cs="仿宋"/>
          <w:spacing w:val="0"/>
          <w:kern w:val="0"/>
          <w:sz w:val="32"/>
          <w:szCs w:val="32"/>
        </w:rPr>
        <w:t>其中：列入2024年决算编制范围的单位详细情况见下表:</w:t>
      </w:r>
    </w:p>
    <w:tbl>
      <w:tblPr>
        <w:tblStyle w:val="22"/>
        <w:tblW w:w="10510"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665"/>
        <w:gridCol w:w="684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133" w:hRule="atLeast"/>
          <w:tblHeader/>
        </w:trPr>
        <w:tc>
          <w:tcPr>
            <w:tcW w:w="366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4"/>
              </w:rPr>
            </w:pPr>
            <w:r>
              <w:rPr>
                <w:rFonts w:ascii="仿宋" w:hAnsi="仿宋" w:eastAsia="仿宋" w:cs="仿宋"/>
                <w:b/>
                <w:bCs/>
                <w:i w:val="0"/>
                <w:iCs w:val="0"/>
                <w:smallCaps w:val="0"/>
                <w:color w:val="000000"/>
                <w:spacing w:val="0"/>
                <w:kern w:val="0"/>
                <w:sz w:val="24"/>
              </w:rPr>
              <w:t>序号</w:t>
            </w:r>
          </w:p>
        </w:tc>
        <w:tc>
          <w:tcPr>
            <w:tcW w:w="684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4"/>
              </w:rPr>
            </w:pPr>
            <w:r>
              <w:rPr>
                <w:rFonts w:ascii="仿宋" w:hAnsi="仿宋" w:eastAsia="仿宋" w:cs="仿宋"/>
                <w:b/>
                <w:bCs/>
                <w:i w:val="0"/>
                <w:iCs w:val="0"/>
                <w:smallCaps w:val="0"/>
                <w:color w:val="000000"/>
                <w:spacing w:val="0"/>
                <w:kern w:val="0"/>
                <w:sz w:val="24"/>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66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hint="eastAsia" w:ascii="仿宋" w:hAnsi="仿宋" w:eastAsia="仿宋" w:cs="仿宋"/>
                <w:b/>
                <w:bCs/>
                <w:i w:val="0"/>
                <w:iCs w:val="0"/>
                <w:smallCaps w:val="0"/>
                <w:color w:val="000000"/>
                <w:spacing w:val="0"/>
                <w:kern w:val="0"/>
                <w:sz w:val="24"/>
                <w:lang w:val="en-US" w:eastAsia="zh-CN"/>
              </w:rPr>
            </w:pPr>
            <w:r>
              <w:rPr>
                <w:rFonts w:hint="eastAsia" w:ascii="仿宋" w:hAnsi="仿宋" w:eastAsia="仿宋" w:cs="仿宋"/>
                <w:b/>
                <w:bCs/>
                <w:i w:val="0"/>
                <w:iCs w:val="0"/>
                <w:smallCaps w:val="0"/>
                <w:color w:val="000000"/>
                <w:spacing w:val="0"/>
                <w:kern w:val="0"/>
                <w:sz w:val="24"/>
                <w:lang w:val="en-US" w:eastAsia="zh-CN"/>
              </w:rPr>
              <w:t>1</w:t>
            </w:r>
          </w:p>
        </w:tc>
        <w:tc>
          <w:tcPr>
            <w:tcW w:w="684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hint="default" w:ascii="仿宋" w:hAnsi="仿宋" w:eastAsia="仿宋" w:cs="仿宋"/>
                <w:b/>
                <w:bCs/>
                <w:i w:val="0"/>
                <w:iCs w:val="0"/>
                <w:smallCaps w:val="0"/>
                <w:color w:val="000000"/>
                <w:spacing w:val="0"/>
                <w:kern w:val="0"/>
                <w:sz w:val="24"/>
                <w:lang w:val="en-US" w:eastAsia="zh-CN"/>
              </w:rPr>
            </w:pPr>
            <w:r>
              <w:rPr>
                <w:rFonts w:hint="eastAsia" w:ascii="仿宋" w:hAnsi="仿宋" w:eastAsia="仿宋" w:cs="仿宋"/>
                <w:b/>
                <w:bCs/>
                <w:i w:val="0"/>
                <w:iCs w:val="0"/>
                <w:smallCaps w:val="0"/>
                <w:color w:val="000000"/>
                <w:spacing w:val="0"/>
                <w:kern w:val="0"/>
                <w:sz w:val="24"/>
                <w:lang w:val="en-US" w:eastAsia="zh-CN"/>
              </w:rPr>
              <w:t>厦门市龙湫亭实验学校</w:t>
            </w:r>
          </w:p>
        </w:tc>
      </w:tr>
    </w:tbl>
    <w:p>
      <w:pPr>
        <w:pStyle w:val="5"/>
        <w:keepNext w:val="0"/>
        <w:keepLines w:val="0"/>
        <w:spacing w:before="100" w:after="100" w:line="600" w:lineRule="atLeast"/>
        <w:ind w:left="0" w:right="0" w:firstLine="640" w:firstLineChars="0"/>
        <w:rPr>
          <w:rFonts w:ascii="黑体" w:hAnsi="黑体" w:eastAsia="黑体" w:cs="黑体"/>
          <w:b/>
          <w:spacing w:val="0"/>
        </w:rPr>
      </w:pP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3"/>
      <w:bookmarkEnd w:id="14"/>
      <w:bookmarkEnd w:id="15"/>
      <w:bookmarkEnd w:id="16"/>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2024年，厦门市龙湫亭实验学校单位主要任务是：围绕上述任务，重点完成了以下工作：</w:t>
      </w:r>
    </w:p>
    <w:p>
      <w:pPr>
        <w:pStyle w:val="28"/>
        <w:widowControl/>
        <w:spacing w:before="100" w:after="100" w:line="600" w:lineRule="atLeast"/>
        <w:ind w:right="0" w:firstLine="640" w:firstLineChars="20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我校教育教学工作坚持以习近平新时代中国特色社会主义思想为指导，着力培育和践行社会主义核心价值观，全面贯彻党的教育方针，积极推进素质教育。今年，我校顺利完成了湖里区教改汇报、全国足球特色校现场核查、厦门市中小学科学教育实验校评估、五星智慧校园建设检查等工作，获得较为优异的成绩：荣获“厦门市五星级智慧校园”“厦门市五一先锋号”“厦门市首批中小学德育品牌”“厦门市中小学智慧教育特色品牌培育对象”“厦门市首批科学教育实验校”“厦门市儿童友好学校”“厦门市家庭教育特色学校”。学校被授予湖里区 2024年初中教育优质奖，在多个师生比赛中获奖，较好地完成了年度工作计划。</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（一）加强党组织建设，打造“智创+”品牌 </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在这一年里，党总支得到了进一步完善。注重团队建设，推进各项工作，形成了良好的工作氛围，打造了具有龙湫亭特色的“智创”品牌。</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在“智创+”党建品牌引领下，学校关注教师共同体发展。紧紧抓住“党员先锋示范引领和骨干教师队伍建设”双培养这个有机融合点，组织开展“党员示范岗”“党员示范课”“党员先锋组”活动，把党员的先锋模范作用发挥在教育教学服务的第一线。我们努力做好党员发展工作，024年发展了四名入党积极分子，其中2名确认为发展对象。</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落实好“三会一课”等党的组织生活制度，把教师紧密团结在党的周围。学校党总支每月开展 2 次线下全体教师政治学习活动，同时通过党小组在线上理论学习、视频学习、发表评论、个人自学等多种方式开展学习。</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（二）服务中心大局，发挥战斗堡垒作用</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学校围绕教育教学改革发展、师资队伍建设、落实立德树人及文明创建等中心任务，以“智创+”党建品牌为引领，推进“鲜活德育”品牌、“融创”科学教育品牌、“数字赋能·鲜活智融”智慧教育品牌三大品牌走深走实。</w:t>
      </w:r>
    </w:p>
    <w:p>
      <w:pPr>
        <w:pStyle w:val="28"/>
        <w:widowControl/>
        <w:spacing w:before="100" w:after="100" w:line="600" w:lineRule="atLeast"/>
        <w:ind w:left="0" w:right="0" w:firstLine="640"/>
        <w:jc w:val="left"/>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1.“鲜活德育”更鲜活</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2024年8月，在厦门市首批中小学德育品牌评选中，“鲜活德育”成功入选。德育工作围绕“立德树人”的教育根本任务，在巩固成果的基础上，创新教育形式，德育品牌更“鲜活”。</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（1）实践活动项目化。学校在德育实践活动的设计上，关注“综合育人”方式以提升学生核心素养；关注“实践育人”方式，提升学生的动手能力和运用知识解决问题能力，促进学生德智体美劳全面发展。</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（2）育德项目协同化。家庭、学校和社会三方形成教育合力，共同促进学生的健康成长和全面发展。</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3）推进行走的大思政。在重大纪念日、重大历史事件契机下，学校都会组织开展“学习新思想，做好接班人”等主题教育，并与学科思政教学加以融合，学生通过亲身参与和体验，与“思政”产生更强烈的情感共鸣。</w:t>
      </w:r>
    </w:p>
    <w:p>
      <w:pPr>
        <w:pStyle w:val="28"/>
        <w:widowControl/>
        <w:spacing w:before="100" w:after="100" w:line="600" w:lineRule="atLeast"/>
        <w:ind w:left="0" w:right="0" w:firstLine="640"/>
        <w:jc w:val="left"/>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2.“智融教育”促发展</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11月，我校成功入选首批厦门市中小学科学教育实验校，“融创”科学教育品牌由此打响。接下来的科学教育还将继续深耕“科学＋劳动”的科学教育主题，以项目式学习为主要学习路径，倡导融学科、融生活、融创造的融合模式，打破三堵墙——“学科的墙”“教室的墙”“学校的墙”，整合各类资源，实现培养学生科学素养的最终目标。</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2024年12月，我校“数字赋能·鲜活智融”智慧教育品牌成为厦门市中小学智慧教育特色品牌培育对象。</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（1）智慧赋能，以评促教。我校更新智慧教育教学设备，以智慧化助力教学改革。</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（2）多样活动，搭建平台。教导处设置多样化、创新化、特色化的课后服务课程，满足不同学生的成长需求。除此之外，教导处为同学们精心开设了多个社团，促进学生多元成长、实现“一生一技”的目标。</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（3）加强教育科研，提升专业素养，多元有序开展师徒结对工作： </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①本学年在原来带教工作开展的基础上，不断健全教师师徒结对带教工作，并不断完善师徒结对反馈机制，对师徒结对教师的结对领域进行定期跟踪监测。</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②做好课题跟进管理工作。教研室根据学校课题申报和开展情况，对各级各项课题进行了跟踪管理、组织、指导。</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③扎实落实校本研修工作。除了学期期初的校本培训，利用每两周一次的教工会开展校本培训。培训内容多样化。开展通识类培训全员教师培训、学科类小规模培训外，还利用教工例会，还开展了法律、师德、德育管理、心理教育、信息技术与智慧校园等培训。</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在推动教育高质量发展等重大任务中，学校积极作为，成绩备受瞩目。</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（三）确保学校平安稳定，创办安全校园</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1.完善制度，消除隐患 </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学校制定了学校安全信息报告制度、安全检查与反馈制度、消防安全制度、设施安全管理制度等综治工作规章制度，定期开展校园欺凌排查整治。 </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2.开展安全教育，提高安全意识 </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学校通过全体教工例会、国旗下讲话向全体师生传达有关安全工作的文件精神，利用安全主题班会、黑板报、手抄报对学生进行安全知识教育。每学期定期开展专题技能知识培训，每月组织一次防火、防震、反恐防暴、防空等专题应急逃生演练活动，提高了师生应对地质灾害的应变能力。</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3.落实食品安全，强化日常监管与检查，每日对食堂进行巡查抽检，膳食委员部家委每日通过明厨亮灶+互联网对食堂进行抽检，及时发现问题整改问题。通过学校负责人陪餐制、试餐小组、家长与师生同餐同价，自愿陪餐作用，进一步提高食堂饭菜质量和服务水平。</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在过去的一年中，学校积极推动学校规范化建设，管理有成效、有特色。 我们将进一步进行认真的分析，开拓创新，不断促进学校工作的全面发展，办好人民满意的教育。</w:t>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bookmarkStart w:id="17" w:name="_Toc256000098"/>
      <w:bookmarkStart w:id="18" w:name="_Toc256000005"/>
      <w:bookmarkStart w:id="19" w:name="_Toc256000036"/>
      <w:bookmarkStart w:id="20" w:name="_Toc256000067"/>
      <w:r>
        <w:rPr>
          <w:rFonts w:ascii="黑体" w:hAnsi="黑体" w:eastAsia="黑体" w:cs="黑体"/>
          <w:b/>
          <w:spacing w:val="0"/>
          <w:sz w:val="56"/>
          <w:szCs w:val="56"/>
        </w:rPr>
        <w:t>第二部分</w:t>
      </w:r>
      <w:bookmarkEnd w:id="17"/>
      <w:bookmarkEnd w:id="18"/>
      <w:bookmarkEnd w:id="19"/>
      <w:bookmarkEnd w:id="20"/>
      <w:r>
        <w:rPr>
          <w:rFonts w:ascii="宋体" w:hAnsi="宋体" w:eastAsia="宋体" w:cs="宋体"/>
          <w:b/>
          <w:spacing w:val="0"/>
          <w:sz w:val="56"/>
          <w:szCs w:val="56"/>
        </w:rPr>
        <w:t> </w:t>
      </w:r>
      <w:bookmarkStart w:id="21" w:name="_Toc256000037"/>
      <w:bookmarkStart w:id="22" w:name="_Toc256000099"/>
      <w:bookmarkStart w:id="23" w:name="_Toc256000006"/>
      <w:bookmarkStart w:id="24" w:name="_Toc256000068"/>
      <w:r>
        <w:rPr>
          <w:rFonts w:ascii="黑体" w:hAnsi="黑体" w:eastAsia="黑体" w:cs="黑体"/>
          <w:b/>
          <w:spacing w:val="0"/>
          <w:sz w:val="56"/>
          <w:szCs w:val="56"/>
        </w:rPr>
        <w:t>2024年度决算表</w:t>
      </w:r>
      <w:bookmarkEnd w:id="21"/>
      <w:bookmarkEnd w:id="22"/>
      <w:bookmarkEnd w:id="23"/>
      <w:bookmarkEnd w:id="24"/>
    </w:p>
    <w:p>
      <w:pPr>
        <w:pStyle w:val="4"/>
      </w:pPr>
    </w:p>
    <w:p>
      <w:pPr>
        <w:pStyle w:val="5"/>
        <w:keepNext w:val="0"/>
        <w:keepLines w:val="0"/>
        <w:spacing w:before="100" w:after="100" w:line="240" w:lineRule="auto"/>
        <w:ind w:left="0" w:leftChars="0" w:right="0" w:firstLine="0" w:firstLineChars="0"/>
        <w:rPr>
          <w:rFonts w:ascii="黑体" w:hAnsi="黑体" w:eastAsia="黑体" w:cs="黑体"/>
          <w:b/>
          <w:spacing w:val="0"/>
          <w:sz w:val="56"/>
          <w:szCs w:val="56"/>
        </w:rPr>
      </w:pPr>
      <w:r>
        <w:rPr>
          <w:rFonts w:ascii="黑体" w:hAnsi="黑体" w:eastAsia="黑体" w:cs="黑体"/>
          <w:b/>
          <w:spacing w:val="0"/>
        </w:rPr>
        <w:t>一、收入支出决算总表</w:t>
      </w:r>
    </w:p>
    <w:tbl>
      <w:tblPr>
        <w:tblStyle w:val="22"/>
        <w:tblpPr w:leftFromText="180" w:rightFromText="180" w:vertAnchor="text" w:horzAnchor="page" w:tblpX="1182" w:tblpY="578"/>
        <w:tblOverlap w:val="never"/>
        <w:tblW w:w="10041" w:type="dxa"/>
        <w:jc w:val="center"/>
        <w:tblInd w:w="0" w:type="dxa"/>
        <w:tblLayout w:type="fixed"/>
        <w:tblCellMar>
          <w:top w:w="15" w:type="dxa"/>
          <w:left w:w="15" w:type="dxa"/>
          <w:bottom w:w="15" w:type="dxa"/>
          <w:right w:w="15" w:type="dxa"/>
        </w:tblCellMar>
      </w:tblPr>
      <w:tblGrid>
        <w:gridCol w:w="3406"/>
        <w:gridCol w:w="464"/>
        <w:gridCol w:w="779"/>
        <w:gridCol w:w="3344"/>
        <w:gridCol w:w="464"/>
        <w:gridCol w:w="1584"/>
      </w:tblGrid>
      <w:tr>
        <w:tblPrEx>
          <w:tblLayout w:type="fixed"/>
          <w:tblCellMar>
            <w:top w:w="15" w:type="dxa"/>
            <w:left w:w="15" w:type="dxa"/>
            <w:bottom w:w="15" w:type="dxa"/>
            <w:right w:w="15" w:type="dxa"/>
          </w:tblCellMar>
        </w:tblPrEx>
        <w:trPr>
          <w:trHeight w:val="992" w:hRule="atLeast"/>
          <w:tblHeader/>
          <w:jc w:val="center"/>
        </w:trPr>
        <w:tc>
          <w:tcPr>
            <w:tcW w:w="10041"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bookmarkStart w:id="25" w:name="_Toc256000100"/>
            <w:bookmarkStart w:id="26" w:name="_Toc256000038"/>
            <w:bookmarkStart w:id="27" w:name="_Toc256000069"/>
            <w:bookmarkStart w:id="28" w:name="_Toc256000007"/>
            <w:r>
              <w:rPr>
                <w:rFonts w:ascii="宋体" w:hAnsi="宋体" w:eastAsia="宋体" w:cs="宋体"/>
                <w:b w:val="0"/>
                <w:bCs w:val="0"/>
                <w:i w:val="0"/>
                <w:iCs w:val="0"/>
                <w:smallCaps w:val="0"/>
                <w:color w:val="000000"/>
                <w:kern w:val="0"/>
                <w:sz w:val="21"/>
                <w:szCs w:val="21"/>
              </w:rPr>
              <w:t>收入支出决算总表</w:t>
            </w:r>
          </w:p>
        </w:tc>
      </w:tr>
      <w:tr>
        <w:tblPrEx>
          <w:tblLayout w:type="fixed"/>
          <w:tblCellMar>
            <w:top w:w="15" w:type="dxa"/>
            <w:left w:w="15" w:type="dxa"/>
            <w:bottom w:w="15" w:type="dxa"/>
            <w:right w:w="15" w:type="dxa"/>
          </w:tblCellMar>
        </w:tblPrEx>
        <w:trPr>
          <w:trHeight w:val="396" w:hRule="atLeast"/>
          <w:tblHeader/>
          <w:jc w:val="center"/>
        </w:trPr>
        <w:tc>
          <w:tcPr>
            <w:tcW w:w="387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tblHeader/>
          <w:jc w:val="center"/>
        </w:trPr>
        <w:tc>
          <w:tcPr>
            <w:tcW w:w="34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单位：厦门市龙湫亭实验学校</w:t>
            </w:r>
          </w:p>
        </w:tc>
        <w:tc>
          <w:tcPr>
            <w:tcW w:w="4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4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rPr>
          <w:trHeight w:val="413" w:hRule="atLeast"/>
          <w:jc w:val="center"/>
        </w:trPr>
        <w:tc>
          <w:tcPr>
            <w:tcW w:w="464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收入</w:t>
            </w:r>
          </w:p>
        </w:tc>
        <w:tc>
          <w:tcPr>
            <w:tcW w:w="539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支出</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行次</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行次</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栏次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栏次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一、一般公共预算财政拨款收入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4,169.81</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一、一般公共服务支出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32</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二、政府性基金预算财政拨款收入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二、外交支出</w:t>
            </w:r>
            <w:r>
              <w:rPr>
                <w:rFonts w:ascii="Times New Roman" w:hAnsi="Times New Roman" w:eastAsia="Times New Roman" w:cs="Times New Roman"/>
                <w:b w:val="0"/>
                <w:bCs w:val="0"/>
                <w:i w:val="0"/>
                <w:iCs w:val="0"/>
                <w:smallCaps w:val="0"/>
                <w:color w:val="000000"/>
                <w:kern w:val="0"/>
                <w:sz w:val="21"/>
                <w:szCs w:val="21"/>
              </w:rPr>
              <w:t xml:space="preserve">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33</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三、国有资本经营预算财政拨款收入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三、国防支出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34</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四、上级补助收入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四、公共安全支出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35</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五、事业收入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五、教育支出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3,631.96</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六、经营收入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六、科学技术支出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37</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七、附属单位上缴收入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七、文化旅游体育与传媒支出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38</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八、其他收入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八、社会保障和就业支出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367.16</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九、卫生健康支出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40</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158.34</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10</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十、节能环保支出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41</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11</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十一、城乡社区支出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42</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十二、农林水支出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43</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13</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十三、交通运输支出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44</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14</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十四、资源勘探工业信息等支出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45</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15</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十五、商业服务业等支出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46</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16</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十六、金融支出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47</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17</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十七、援助其他地区支出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48</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18</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十八、自然资源海洋气象等支出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49</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19</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十九、住房保障支出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50</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12.35</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二十、粮油物资储备支出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51</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21</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二十一、国有资本经营预算支出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52</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22</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二十二、灾害防治及应急管理支出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53</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23</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二十三、其他支出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54</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24</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二十四、债务还本支出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55</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25</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二十五、债务付息支出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56</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2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26</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二十六、抗疫特别国债安排的支出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57</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本年收入合计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27</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4,169.81</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本年支出合计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58</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4,169.81</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使用非财政拨款结余（含专用结余）</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28</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结余分配</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59</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年初结转和结余</w:t>
            </w:r>
            <w:r>
              <w:rPr>
                <w:rFonts w:ascii="Times New Roman" w:hAnsi="Times New Roman" w:eastAsia="Times New Roman" w:cs="Times New Roman"/>
                <w:b w:val="0"/>
                <w:bCs w:val="0"/>
                <w:i w:val="0"/>
                <w:iCs w:val="0"/>
                <w:smallCaps w:val="0"/>
                <w:color w:val="000000"/>
                <w:kern w:val="0"/>
                <w:sz w:val="21"/>
                <w:szCs w:val="21"/>
              </w:rPr>
              <w:t xml:space="preserve">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29</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年末结转和结余</w:t>
            </w:r>
            <w:r>
              <w:rPr>
                <w:rFonts w:ascii="Times New Roman" w:hAnsi="Times New Roman" w:eastAsia="Times New Roman" w:cs="Times New Roman"/>
                <w:b w:val="0"/>
                <w:bCs w:val="0"/>
                <w:i w:val="0"/>
                <w:iCs w:val="0"/>
                <w:smallCaps w:val="0"/>
                <w:color w:val="000000"/>
                <w:kern w:val="0"/>
                <w:sz w:val="21"/>
                <w:szCs w:val="21"/>
              </w:rPr>
              <w:t xml:space="preserve">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60</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385"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61</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413" w:hRule="atLeast"/>
          <w:jc w:val="center"/>
        </w:trPr>
        <w:tc>
          <w:tcPr>
            <w:tcW w:w="34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总计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4,169.81</w:t>
            </w:r>
          </w:p>
        </w:tc>
        <w:tc>
          <w:tcPr>
            <w:tcW w:w="33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总计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62</w:t>
            </w:r>
          </w:p>
        </w:tc>
        <w:tc>
          <w:tcPr>
            <w:tcW w:w="15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4,169.81</w:t>
            </w:r>
          </w:p>
        </w:tc>
      </w:tr>
      <w:tr>
        <w:tblPrEx>
          <w:tblLayout w:type="fixed"/>
          <w:tblCellMar>
            <w:top w:w="15" w:type="dxa"/>
            <w:left w:w="15" w:type="dxa"/>
            <w:bottom w:w="15" w:type="dxa"/>
            <w:right w:w="15" w:type="dxa"/>
          </w:tblCellMar>
        </w:tblPrEx>
        <w:trPr>
          <w:trHeight w:val="461" w:hRule="atLeast"/>
          <w:jc w:val="center"/>
        </w:trPr>
        <w:tc>
          <w:tcPr>
            <w:tcW w:w="10041"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w:t>
            </w:r>
            <w:r>
              <w:rPr>
                <w:rFonts w:ascii="Times New Roman" w:hAnsi="Times New Roman" w:eastAsia="Times New Roman" w:cs="Times New Roman"/>
                <w:b w:val="0"/>
                <w:bCs w:val="0"/>
                <w:i w:val="0"/>
                <w:iCs w:val="0"/>
                <w:smallCaps w:val="0"/>
                <w:color w:val="000000"/>
                <w:kern w:val="0"/>
                <w:sz w:val="21"/>
                <w:szCs w:val="21"/>
              </w:rPr>
              <w:t>1.</w:t>
            </w:r>
            <w:r>
              <w:rPr>
                <w:rFonts w:ascii="宋体" w:hAnsi="宋体" w:eastAsia="宋体" w:cs="宋体"/>
                <w:b w:val="0"/>
                <w:bCs w:val="0"/>
                <w:i w:val="0"/>
                <w:iCs w:val="0"/>
                <w:smallCaps w:val="0"/>
                <w:color w:val="000000"/>
                <w:kern w:val="0"/>
                <w:sz w:val="21"/>
                <w:szCs w:val="21"/>
              </w:rPr>
              <w:t>本表反映部门本年度的总收支和年末结转结余情况。</w:t>
            </w:r>
          </w:p>
        </w:tc>
      </w:tr>
      <w:tr>
        <w:tblPrEx>
          <w:tblLayout w:type="fixed"/>
          <w:tblCellMar>
            <w:top w:w="15" w:type="dxa"/>
            <w:left w:w="15" w:type="dxa"/>
            <w:bottom w:w="15" w:type="dxa"/>
            <w:right w:w="15" w:type="dxa"/>
          </w:tblCellMar>
        </w:tblPrEx>
        <w:trPr>
          <w:trHeight w:val="461" w:hRule="atLeast"/>
          <w:jc w:val="center"/>
        </w:trPr>
        <w:tc>
          <w:tcPr>
            <w:tcW w:w="10041"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r>
              <w:rPr>
                <w:rFonts w:ascii="宋体" w:hAnsi="宋体" w:eastAsia="宋体" w:cs="宋体"/>
                <w:b w:val="0"/>
                <w:bCs w:val="0"/>
                <w:i w:val="0"/>
                <w:iCs w:val="0"/>
                <w:smallCaps w:val="0"/>
                <w:color w:val="000000"/>
                <w:kern w:val="0"/>
                <w:sz w:val="21"/>
                <w:szCs w:val="21"/>
              </w:rPr>
              <w:t>本套报表金额单位转换时可能存在尾数误差。</w:t>
            </w:r>
          </w:p>
        </w:tc>
      </w:tr>
      <w:tr>
        <w:tblPrEx>
          <w:tblLayout w:type="fixed"/>
          <w:tblCellMar>
            <w:top w:w="15" w:type="dxa"/>
            <w:left w:w="15" w:type="dxa"/>
            <w:bottom w:w="15" w:type="dxa"/>
            <w:right w:w="15" w:type="dxa"/>
          </w:tblCellMar>
        </w:tblPrEx>
        <w:trPr>
          <w:trHeight w:val="461" w:hRule="atLeast"/>
          <w:jc w:val="center"/>
        </w:trPr>
        <w:tc>
          <w:tcPr>
            <w:tcW w:w="10041"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p>
        </w:tc>
      </w:tr>
      <w:bookmarkEnd w:id="25"/>
      <w:bookmarkEnd w:id="26"/>
      <w:bookmarkEnd w:id="27"/>
      <w:bookmarkEnd w:id="28"/>
    </w:tbl>
    <w:p>
      <w:pPr>
        <w:pStyle w:val="4"/>
      </w:pPr>
    </w:p>
    <w:p>
      <w:pPr>
        <w:pStyle w:val="29"/>
        <w:widowControl/>
        <w:spacing w:before="100" w:after="100"/>
        <w:ind w:left="0" w:right="0" w:firstLine="0"/>
        <w:jc w:val="center"/>
        <w:rPr>
          <w:rFonts w:ascii="Times New Roman" w:hAnsi="Times New Roman" w:eastAsia="Times New Roman" w:cs="Times New Roman"/>
          <w:kern w:val="0"/>
          <w:sz w:val="24"/>
        </w:rPr>
      </w:pPr>
    </w:p>
    <w:p>
      <w:pPr>
        <w:sectPr>
          <w:footerReference r:id="rId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2"/>
        <w:tblpPr w:leftFromText="180" w:rightFromText="180" w:vertAnchor="text" w:horzAnchor="page" w:tblpX="1318" w:tblpY="815"/>
        <w:tblOverlap w:val="never"/>
        <w:tblW w:w="9066" w:type="dxa"/>
        <w:tblInd w:w="0" w:type="dxa"/>
        <w:tblLayout w:type="fixed"/>
        <w:tblCellMar>
          <w:top w:w="15" w:type="dxa"/>
          <w:left w:w="15" w:type="dxa"/>
          <w:bottom w:w="15" w:type="dxa"/>
          <w:right w:w="15" w:type="dxa"/>
        </w:tblCellMar>
      </w:tblPr>
      <w:tblGrid>
        <w:gridCol w:w="867"/>
        <w:gridCol w:w="1849"/>
        <w:gridCol w:w="1078"/>
        <w:gridCol w:w="1078"/>
        <w:gridCol w:w="927"/>
        <w:gridCol w:w="581"/>
        <w:gridCol w:w="581"/>
        <w:gridCol w:w="1004"/>
        <w:gridCol w:w="1101"/>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2"/>
                <w:szCs w:val="22"/>
              </w:rPr>
            </w:pPr>
            <w:bookmarkStart w:id="29" w:name="_Toc256000008"/>
            <w:bookmarkStart w:id="30" w:name="_Toc256000101"/>
            <w:bookmarkStart w:id="31" w:name="_Toc256000039"/>
            <w:bookmarkStart w:id="32" w:name="_Toc256000070"/>
            <w:r>
              <w:rPr>
                <w:rFonts w:ascii="宋体" w:hAnsi="宋体" w:eastAsia="宋体" w:cs="宋体"/>
                <w:b w:val="0"/>
                <w:bCs w:val="0"/>
                <w:i w:val="0"/>
                <w:iCs w:val="0"/>
                <w:smallCaps w:val="0"/>
                <w:color w:val="000000"/>
                <w:kern w:val="0"/>
                <w:sz w:val="22"/>
                <w:szCs w:val="22"/>
              </w:rPr>
              <w:t>收入决算表</w:t>
            </w:r>
          </w:p>
        </w:tc>
      </w:tr>
      <w:tr>
        <w:tblPrEx>
          <w:tblLayout w:type="fixed"/>
          <w:tblCellMar>
            <w:top w:w="15" w:type="dxa"/>
            <w:left w:w="15" w:type="dxa"/>
            <w:bottom w:w="15" w:type="dxa"/>
            <w:right w:w="15" w:type="dxa"/>
          </w:tblCellMar>
        </w:tblPrEx>
        <w:trPr>
          <w:tblHeader/>
        </w:trPr>
        <w:tc>
          <w:tcPr>
            <w:tcW w:w="8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8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7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7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4872"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部门</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单位：厦门市龙湫亭实验学校</w:t>
            </w:r>
          </w:p>
        </w:tc>
        <w:tc>
          <w:tcPr>
            <w:tcW w:w="9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2024</w:t>
            </w:r>
            <w:r>
              <w:rPr>
                <w:rFonts w:ascii="宋体" w:hAnsi="宋体" w:eastAsia="宋体" w:cs="宋体"/>
                <w:b w:val="0"/>
                <w:bCs w:val="0"/>
                <w:i w:val="0"/>
                <w:iCs w:val="0"/>
                <w:smallCaps w:val="0"/>
                <w:color w:val="000000"/>
                <w:kern w:val="0"/>
                <w:sz w:val="24"/>
                <w:szCs w:val="24"/>
              </w:rPr>
              <w:t>年度</w:t>
            </w:r>
          </w:p>
        </w:tc>
        <w:tc>
          <w:tcPr>
            <w:tcW w:w="5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金额单位：万元</w:t>
            </w:r>
          </w:p>
        </w:tc>
      </w:tr>
      <w:tr>
        <w:tblPrEx>
          <w:tblLayout w:type="fixed"/>
          <w:tblCellMar>
            <w:top w:w="15" w:type="dxa"/>
            <w:left w:w="15" w:type="dxa"/>
            <w:bottom w:w="15" w:type="dxa"/>
            <w:right w:w="15" w:type="dxa"/>
          </w:tblCellMar>
        </w:tblPrEx>
        <w:trPr>
          <w:tblHeader/>
        </w:trPr>
        <w:tc>
          <w:tcPr>
            <w:tcW w:w="27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项目</w:t>
            </w:r>
          </w:p>
        </w:tc>
        <w:tc>
          <w:tcPr>
            <w:tcW w:w="107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本年收入合计</w:t>
            </w:r>
          </w:p>
        </w:tc>
        <w:tc>
          <w:tcPr>
            <w:tcW w:w="107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财政拨款收入</w:t>
            </w:r>
            <w:r>
              <w:rPr>
                <w:rFonts w:ascii="Times New Roman" w:hAnsi="Times New Roman" w:eastAsia="Times New Roman" w:cs="Times New Roman"/>
                <w:b w:val="0"/>
                <w:bCs w:val="0"/>
                <w:i w:val="0"/>
                <w:iCs w:val="0"/>
                <w:smallCaps w:val="0"/>
                <w:color w:val="000000"/>
                <w:kern w:val="0"/>
                <w:sz w:val="22"/>
                <w:szCs w:val="22"/>
              </w:rPr>
              <w:t xml:space="preserve"> </w:t>
            </w:r>
          </w:p>
        </w:tc>
        <w:tc>
          <w:tcPr>
            <w:tcW w:w="9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上级补助收入</w:t>
            </w:r>
          </w:p>
        </w:tc>
        <w:tc>
          <w:tcPr>
            <w:tcW w:w="5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事业收入</w:t>
            </w:r>
          </w:p>
        </w:tc>
        <w:tc>
          <w:tcPr>
            <w:tcW w:w="5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经营收入</w:t>
            </w:r>
          </w:p>
        </w:tc>
        <w:tc>
          <w:tcPr>
            <w:tcW w:w="10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附属单位上缴收入</w:t>
            </w:r>
          </w:p>
        </w:tc>
        <w:tc>
          <w:tcPr>
            <w:tcW w:w="11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其他收入</w:t>
            </w:r>
          </w:p>
        </w:tc>
      </w:tr>
      <w:tr>
        <w:tblPrEx>
          <w:tblLayout w:type="fixed"/>
          <w:tblCellMar>
            <w:top w:w="15" w:type="dxa"/>
            <w:left w:w="15" w:type="dxa"/>
            <w:bottom w:w="15" w:type="dxa"/>
            <w:right w:w="15" w:type="dxa"/>
          </w:tblCellMar>
        </w:tblPrEx>
        <w:trPr>
          <w:tblHeader/>
        </w:trPr>
        <w:tc>
          <w:tcPr>
            <w:tcW w:w="8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科目代码</w:t>
            </w:r>
          </w:p>
        </w:tc>
        <w:tc>
          <w:tcPr>
            <w:tcW w:w="184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科目名称</w:t>
            </w:r>
          </w:p>
        </w:tc>
        <w:tc>
          <w:tcPr>
            <w:tcW w:w="107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07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9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0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rPr>
          <w:tblHeader/>
        </w:trPr>
        <w:tc>
          <w:tcPr>
            <w:tcW w:w="8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07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07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9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0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c>
          <w:tcPr>
            <w:tcW w:w="27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栏次</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6</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7</w:t>
            </w:r>
          </w:p>
        </w:tc>
      </w:tr>
      <w:tr>
        <w:tblPrEx>
          <w:tblLayout w:type="fixed"/>
          <w:tblCellMar>
            <w:top w:w="15" w:type="dxa"/>
            <w:left w:w="15" w:type="dxa"/>
            <w:bottom w:w="15" w:type="dxa"/>
            <w:right w:w="15" w:type="dxa"/>
          </w:tblCellMar>
        </w:tblPrEx>
        <w:tc>
          <w:tcPr>
            <w:tcW w:w="27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合计</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4,169.81</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4,169.81</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教育支出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3,631.96</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3,631.96</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20501</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教育管理事务</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1.3</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1.3</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2050199</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其他教育管理事务支出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1.3</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1.3</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20502</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普通教育</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3,329.92</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3,329.92</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2050202</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小学教育</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1,782.71</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1,782.71</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2050203</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初中教育</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1,306.39</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1,306.39</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2050299</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其他普通教育支出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240.82</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240.82</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20509</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教育费附加安排的支出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299.62</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299.62</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2050999</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其他教育费附加安排的支出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299.62</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299.62</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20599</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其他教育支出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1.12</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1.12</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2059999</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其他教育支出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1.12</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1.12</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208</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社会保障和就业支出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367.16</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367.16</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20805</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行政事业单位养老支出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367.16</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367.16</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2080505</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机关事业单位基本养老保险缴费支出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244.77</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244.77</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2080506</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机关事业单位职业年金缴费支出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122.39</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122.39</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210</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卫生健康支出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158.34</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158.34</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21011</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行政事业单位医疗</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158.34</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158.34</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2101102</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事业单位医疗</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104.79</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104.79</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2101199</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其他行政事业单位医疗支出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53.54</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53.54</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221</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住房保障支出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12.35</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12.35</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22102</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住房改革支出</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12.35</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12.35</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2210203</w:t>
            </w:r>
          </w:p>
        </w:tc>
        <w:tc>
          <w:tcPr>
            <w:tcW w:w="18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购房补贴</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12.35</w:t>
            </w:r>
          </w:p>
        </w:tc>
        <w:tc>
          <w:tcPr>
            <w:tcW w:w="10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12.35</w:t>
            </w:r>
          </w:p>
        </w:tc>
        <w:tc>
          <w:tcPr>
            <w:tcW w:w="9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注：本表反映部门本年度取得的各项收入情况。</w:t>
            </w:r>
          </w:p>
        </w:tc>
      </w:tr>
      <w:bookmarkEnd w:id="29"/>
      <w:bookmarkEnd w:id="30"/>
      <w:bookmarkEnd w:id="31"/>
      <w:bookmarkEnd w:id="32"/>
    </w:tbl>
    <w:p>
      <w:pPr>
        <w:pStyle w:val="5"/>
        <w:keepNext w:val="0"/>
        <w:keepLines w:val="0"/>
        <w:spacing w:before="100" w:after="100" w:line="240" w:lineRule="auto"/>
        <w:ind w:left="0" w:leftChars="0" w:right="0" w:firstLine="0" w:firstLineChars="0"/>
        <w:rPr>
          <w:rFonts w:ascii="Times New Roman" w:hAnsi="Times New Roman" w:eastAsia="Times New Roman" w:cs="Times New Roman"/>
          <w:kern w:val="0"/>
          <w:sz w:val="24"/>
        </w:rPr>
      </w:pPr>
      <w:r>
        <w:rPr>
          <w:rFonts w:ascii="Times New Roman" w:hAnsi="Times New Roman" w:eastAsia="Times New Roman" w:cs="Times New Roman"/>
          <w:kern w:val="0"/>
          <w:sz w:val="24"/>
        </w:rPr>
        <w:t> </w:t>
      </w:r>
      <w:r>
        <w:rPr>
          <w:rFonts w:ascii="黑体" w:hAnsi="黑体" w:eastAsia="黑体" w:cs="黑体"/>
          <w:b/>
          <w:spacing w:val="0"/>
        </w:rPr>
        <w:t>二、收入决算表</w:t>
      </w:r>
    </w:p>
    <w:p>
      <w:pPr>
        <w:sectPr>
          <w:footerReference r:id="rId6"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tbl>
      <w:tblPr>
        <w:tblStyle w:val="22"/>
        <w:tblpPr w:leftFromText="180" w:rightFromText="180" w:vertAnchor="text" w:horzAnchor="page" w:tblpX="1644" w:tblpY="804"/>
        <w:tblOverlap w:val="never"/>
        <w:tblW w:w="9066" w:type="dxa"/>
        <w:tblInd w:w="0" w:type="dxa"/>
        <w:tblLayout w:type="fixed"/>
        <w:tblCellMar>
          <w:top w:w="15" w:type="dxa"/>
          <w:left w:w="15" w:type="dxa"/>
          <w:bottom w:w="15" w:type="dxa"/>
          <w:right w:w="15" w:type="dxa"/>
        </w:tblCellMar>
      </w:tblPr>
      <w:tblGrid>
        <w:gridCol w:w="283"/>
        <w:gridCol w:w="282"/>
        <w:gridCol w:w="283"/>
        <w:gridCol w:w="2334"/>
        <w:gridCol w:w="1126"/>
        <w:gridCol w:w="904"/>
        <w:gridCol w:w="795"/>
        <w:gridCol w:w="947"/>
        <w:gridCol w:w="670"/>
        <w:gridCol w:w="1442"/>
      </w:tblGrid>
      <w:tr>
        <w:tblPrEx>
          <w:tblLayout w:type="fixed"/>
          <w:tblCellMar>
            <w:top w:w="15" w:type="dxa"/>
            <w:left w:w="15" w:type="dxa"/>
            <w:bottom w:w="15" w:type="dxa"/>
            <w:right w:w="15" w:type="dxa"/>
          </w:tblCellMar>
        </w:tblPrEx>
        <w:trPr>
          <w:tblHeader/>
        </w:trPr>
        <w:tc>
          <w:tcPr>
            <w:tcW w:w="9066"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bookmarkStart w:id="33" w:name="_Toc256000040"/>
            <w:bookmarkStart w:id="34" w:name="_Toc256000009"/>
            <w:bookmarkStart w:id="35" w:name="_Toc256000102"/>
            <w:bookmarkStart w:id="36" w:name="_Toc256000071"/>
            <w:r>
              <w:rPr>
                <w:rFonts w:ascii="宋体" w:hAnsi="宋体" w:eastAsia="宋体" w:cs="宋体"/>
                <w:b w:val="0"/>
                <w:bCs w:val="0"/>
                <w:i w:val="0"/>
                <w:iCs w:val="0"/>
                <w:smallCaps w:val="0"/>
                <w:color w:val="000000"/>
                <w:kern w:val="0"/>
                <w:sz w:val="21"/>
                <w:szCs w:val="21"/>
              </w:rPr>
              <w:t>支出决算表</w:t>
            </w:r>
          </w:p>
        </w:tc>
      </w:tr>
      <w:tr>
        <w:tblPrEx>
          <w:tblLayout w:type="fixed"/>
          <w:tblCellMar>
            <w:top w:w="15" w:type="dxa"/>
            <w:left w:w="15" w:type="dxa"/>
            <w:bottom w:w="15" w:type="dxa"/>
            <w:right w:w="15" w:type="dxa"/>
          </w:tblCellMar>
        </w:tblPrEx>
        <w:trPr>
          <w:tblHeader/>
        </w:trPr>
        <w:tc>
          <w:tcPr>
            <w:tcW w:w="28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8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8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2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4308"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单位：厦门市龙湫亭实验学校</w:t>
            </w:r>
          </w:p>
        </w:tc>
        <w:tc>
          <w:tcPr>
            <w:tcW w:w="9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7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rPr>
          <w:tblHeader/>
        </w:trPr>
        <w:tc>
          <w:tcPr>
            <w:tcW w:w="318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w:t>
            </w:r>
          </w:p>
        </w:tc>
        <w:tc>
          <w:tcPr>
            <w:tcW w:w="112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本年支出合计</w:t>
            </w:r>
          </w:p>
        </w:tc>
        <w:tc>
          <w:tcPr>
            <w:tcW w:w="9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基本支出</w:t>
            </w:r>
          </w:p>
        </w:tc>
        <w:tc>
          <w:tcPr>
            <w:tcW w:w="7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项目支出</w:t>
            </w:r>
          </w:p>
        </w:tc>
        <w:tc>
          <w:tcPr>
            <w:tcW w:w="94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上缴上级支出</w:t>
            </w:r>
          </w:p>
        </w:tc>
        <w:tc>
          <w:tcPr>
            <w:tcW w:w="67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经营支出</w:t>
            </w:r>
          </w:p>
        </w:tc>
        <w:tc>
          <w:tcPr>
            <w:tcW w:w="144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对附属单位补助支出</w:t>
            </w:r>
          </w:p>
        </w:tc>
      </w:tr>
      <w:tr>
        <w:tblPrEx>
          <w:tblLayout w:type="fixed"/>
          <w:tblCellMar>
            <w:top w:w="15" w:type="dxa"/>
            <w:left w:w="15" w:type="dxa"/>
            <w:bottom w:w="15" w:type="dxa"/>
            <w:right w:w="15" w:type="dxa"/>
          </w:tblCellMar>
        </w:tblPrEx>
        <w:trPr>
          <w:tblHeader/>
        </w:trPr>
        <w:tc>
          <w:tcPr>
            <w:tcW w:w="848"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科目代码</w:t>
            </w:r>
          </w:p>
        </w:tc>
        <w:tc>
          <w:tcPr>
            <w:tcW w:w="23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112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7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4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6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44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rPr>
          <w:tblHeader/>
        </w:trPr>
        <w:tc>
          <w:tcPr>
            <w:tcW w:w="84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23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12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7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4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6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44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c>
          <w:tcPr>
            <w:tcW w:w="318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栏次</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6</w:t>
            </w:r>
          </w:p>
        </w:tc>
      </w:tr>
      <w:tr>
        <w:tblPrEx>
          <w:tblLayout w:type="fixed"/>
          <w:tblCellMar>
            <w:top w:w="15" w:type="dxa"/>
            <w:left w:w="15" w:type="dxa"/>
            <w:bottom w:w="15" w:type="dxa"/>
            <w:right w:w="15" w:type="dxa"/>
          </w:tblCellMar>
        </w:tblPrEx>
        <w:tc>
          <w:tcPr>
            <w:tcW w:w="318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合计</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4,169.81</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3,716.63</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453.18</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3,631.96</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3,178.78</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453.18</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20501</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教育管理事务</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2050199</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其他教育管理事务支出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普通教育</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3,329.92</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3,178.78</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151.14</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2050202</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小学教育</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1,782.71</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1,782.71</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2050203</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初中教育</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1,306.39</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1,306.39</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2050299</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其他普通教育支出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240.82</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89.68</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151.14</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教育费附加安排的支出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299.62</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299.62</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2050999</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其他教育费附加安排的支出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299.62</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299.62</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20599</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1.12</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1.12</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2059999</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1.12</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1.12</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社会保障和就业支出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367.16</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367.16</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行政事业单位养老支出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367.16</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367.16</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2080505</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机关事业单位基本养老保险缴费支出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244.77</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244.77</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2080506</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机关事业单位职业年金缴费支出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122.39</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122.39</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卫生健康支出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158.34</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158.34</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行政事业单位医疗</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158.34</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158.34</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2101102</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事业单位医疗</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104.79</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104.79</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2101199</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其他行政事业单位医疗支出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53.54</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53.54</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住房保障支出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22102</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住房改革支出</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8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2210203</w:t>
            </w:r>
          </w:p>
        </w:tc>
        <w:tc>
          <w:tcPr>
            <w:tcW w:w="23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购房补贴</w:t>
            </w:r>
          </w:p>
        </w:tc>
        <w:tc>
          <w:tcPr>
            <w:tcW w:w="11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9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906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注：本表反映部门本年度各项支出情况。</w:t>
            </w:r>
          </w:p>
        </w:tc>
      </w:tr>
    </w:tbl>
    <w:p>
      <w:pPr>
        <w:pStyle w:val="29"/>
        <w:widowControl/>
        <w:spacing w:before="100" w:after="100"/>
        <w:ind w:right="0"/>
        <w:jc w:val="left"/>
        <w:rPr>
          <w:rFonts w:ascii="黑体" w:hAnsi="黑体" w:eastAsia="黑体" w:cs="黑体"/>
          <w:b/>
          <w:bCs/>
          <w:spacing w:val="0"/>
          <w:sz w:val="32"/>
          <w:szCs w:val="32"/>
          <w:lang w:val="en-US" w:eastAsia="zh-CN" w:bidi="ar-SA"/>
        </w:rPr>
      </w:pPr>
      <w:r>
        <w:rPr>
          <w:rFonts w:ascii="黑体" w:hAnsi="黑体" w:eastAsia="黑体" w:cs="黑体"/>
          <w:b/>
          <w:bCs/>
          <w:spacing w:val="0"/>
          <w:sz w:val="32"/>
          <w:szCs w:val="32"/>
          <w:lang w:val="en-US" w:eastAsia="zh-CN" w:bidi="ar-SA"/>
        </w:rPr>
        <w:t>三、支出决算表</w:t>
      </w:r>
      <w:bookmarkEnd w:id="33"/>
      <w:bookmarkEnd w:id="34"/>
      <w:bookmarkEnd w:id="35"/>
      <w:bookmarkEnd w:id="36"/>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720" w:right="0" w:hanging="720" w:firstLineChars="0"/>
        <w:rPr>
          <w:rFonts w:ascii="黑体" w:hAnsi="黑体" w:eastAsia="黑体" w:cs="黑体"/>
          <w:b/>
          <w:spacing w:val="0"/>
        </w:rPr>
      </w:pPr>
    </w:p>
    <w:p>
      <w:pPr>
        <w:pStyle w:val="5"/>
        <w:keepNext w:val="0"/>
        <w:keepLines w:val="0"/>
        <w:spacing w:before="100" w:after="100" w:line="240" w:lineRule="auto"/>
        <w:ind w:left="720" w:right="0" w:hanging="720" w:firstLineChars="0"/>
        <w:rPr>
          <w:rFonts w:hint="eastAsia" w:eastAsia="宋体"/>
          <w:lang w:eastAsia="zh-CN"/>
        </w:rPr>
      </w:pPr>
      <w:r>
        <w:rPr>
          <w:rFonts w:ascii="黑体" w:hAnsi="黑体" w:eastAsia="黑体" w:cs="黑体"/>
          <w:b/>
          <w:spacing w:val="0"/>
        </w:rPr>
        <w:t>四、财政拨款收入支出决算总表</w:t>
      </w:r>
    </w:p>
    <w:tbl>
      <w:tblPr>
        <w:tblStyle w:val="22"/>
        <w:tblpPr w:leftFromText="180" w:rightFromText="180" w:vertAnchor="text" w:horzAnchor="page" w:tblpX="1414" w:tblpY="1197"/>
        <w:tblOverlap w:val="never"/>
        <w:tblW w:w="9066" w:type="dxa"/>
        <w:tblInd w:w="0" w:type="dxa"/>
        <w:tblLayout w:type="fixed"/>
        <w:tblCellMar>
          <w:top w:w="15" w:type="dxa"/>
          <w:left w:w="15" w:type="dxa"/>
          <w:bottom w:w="15" w:type="dxa"/>
          <w:right w:w="15" w:type="dxa"/>
        </w:tblCellMar>
      </w:tblPr>
      <w:tblGrid>
        <w:gridCol w:w="1544"/>
        <w:gridCol w:w="328"/>
        <w:gridCol w:w="744"/>
        <w:gridCol w:w="1521"/>
        <w:gridCol w:w="643"/>
        <w:gridCol w:w="744"/>
        <w:gridCol w:w="1247"/>
        <w:gridCol w:w="1018"/>
        <w:gridCol w:w="1277"/>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pStyle w:val="5"/>
              <w:keepNext w:val="0"/>
              <w:keepLines w:val="0"/>
              <w:spacing w:before="100" w:after="100" w:line="240" w:lineRule="auto"/>
              <w:ind w:right="0"/>
              <w:rPr>
                <w:rFonts w:ascii="Times New Roman" w:hAnsi="Times New Roman" w:eastAsia="Times New Roman" w:cs="Times New Roman"/>
                <w:b/>
                <w:bCs/>
                <w:kern w:val="0"/>
                <w:sz w:val="28"/>
                <w:szCs w:val="28"/>
              </w:rPr>
            </w:pPr>
            <w:bookmarkStart w:id="37" w:name="_Toc256000041"/>
            <w:bookmarkStart w:id="38" w:name="_Toc256000103"/>
            <w:bookmarkStart w:id="39" w:name="_Toc256000010"/>
            <w:bookmarkStart w:id="40" w:name="_Toc256000072"/>
          </w:p>
          <w:p>
            <w:pPr>
              <w:widowControl/>
              <w:spacing w:line="900" w:lineRule="atLeast"/>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财政拨款收入支出决算总表</w:t>
            </w:r>
          </w:p>
        </w:tc>
      </w:tr>
      <w:tr>
        <w:tblPrEx>
          <w:tblLayout w:type="fixed"/>
          <w:tblCellMar>
            <w:top w:w="15" w:type="dxa"/>
            <w:left w:w="15" w:type="dxa"/>
            <w:bottom w:w="15" w:type="dxa"/>
            <w:right w:w="15" w:type="dxa"/>
          </w:tblCellMar>
        </w:tblPrEx>
        <w:trPr>
          <w:tblHeader/>
        </w:trPr>
        <w:tc>
          <w:tcPr>
            <w:tcW w:w="187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4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15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单位：厦门市龙湫亭实验学校</w:t>
            </w:r>
          </w:p>
        </w:tc>
        <w:tc>
          <w:tcPr>
            <w:tcW w:w="3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4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261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收入</w:t>
            </w:r>
          </w:p>
        </w:tc>
        <w:tc>
          <w:tcPr>
            <w:tcW w:w="6450"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支出</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w:t>
            </w:r>
            <w:r>
              <w:rPr>
                <w:rFonts w:ascii="Times New Roman" w:hAnsi="Times New Roman" w:eastAsia="Times New Roman" w:cs="Times New Roman"/>
                <w:b w:val="0"/>
                <w:bCs w:val="0"/>
                <w:i w:val="0"/>
                <w:iCs w:val="0"/>
                <w:smallCaps w:val="0"/>
                <w:color w:val="000000"/>
                <w:kern w:val="0"/>
                <w:sz w:val="20"/>
                <w:szCs w:val="20"/>
              </w:rPr>
              <w:t xml:space="preserve">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行次</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金额</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行次</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合计</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一般公共预算财政拨款</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政府性基金预算财政拨款</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国有资本经营预算财政拨款</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栏次</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栏次</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一、一般公共预算财政拨款</w:t>
            </w:r>
            <w:r>
              <w:rPr>
                <w:rFonts w:ascii="Times New Roman" w:hAnsi="Times New Roman" w:eastAsia="Times New Roman" w:cs="Times New Roman"/>
                <w:b w:val="0"/>
                <w:bCs w:val="0"/>
                <w:i w:val="0"/>
                <w:iCs w:val="0"/>
                <w:smallCaps w:val="0"/>
                <w:color w:val="000000"/>
                <w:kern w:val="0"/>
                <w:sz w:val="20"/>
                <w:szCs w:val="20"/>
              </w:rPr>
              <w:t xml:space="preserve">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4,169.81</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一、一般公共服务支出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二、政府性基金预算财政拨款</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二、外交支出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三、国有资本经营预算财政拨款</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三、国防支出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四、公共安全支出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五、教育支出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3,631.96</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3,631.96</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六、科学技术支出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七、文化旅游体育与传媒支出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八、社会保障和就业支出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367.16</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367.16</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九、卫生健康支出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158.34</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158.34</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十、节能环保支出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十一、城乡社区支出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十二、农林水支出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十三、交通运输支出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十四、资源勘探工业信息等支出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十五、商业服务业等支出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十六、金融支出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十七、援助其他地区支出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十八、自然资源海洋气象等支出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十九、住房保障支出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12.35</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二十、粮油物资储备支出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二十一、国有资本经营预算支出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二十二、灾害防治及应急管理支出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二十三、其他支出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二十四、债务还本支出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二十五、债务付息支出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二十六、抗疫特别国债安排的支出</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本年收入合计</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4,169.81</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本年支出合计</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4,169.81</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4,169.81</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年初财政拨款结转和结余</w:t>
            </w:r>
            <w:r>
              <w:rPr>
                <w:rFonts w:ascii="Times New Roman" w:hAnsi="Times New Roman" w:eastAsia="Times New Roman" w:cs="Times New Roman"/>
                <w:b w:val="0"/>
                <w:bCs w:val="0"/>
                <w:i w:val="0"/>
                <w:iCs w:val="0"/>
                <w:smallCaps w:val="0"/>
                <w:color w:val="000000"/>
                <w:kern w:val="0"/>
                <w:sz w:val="20"/>
                <w:szCs w:val="20"/>
              </w:rPr>
              <w:t xml:space="preserve">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年末财政拨款结转和结余</w:t>
            </w:r>
            <w:r>
              <w:rPr>
                <w:rFonts w:ascii="Times New Roman" w:hAnsi="Times New Roman" w:eastAsia="Times New Roman" w:cs="Times New Roman"/>
                <w:b w:val="0"/>
                <w:bCs w:val="0"/>
                <w:i w:val="0"/>
                <w:iCs w:val="0"/>
                <w:smallCaps w:val="0"/>
                <w:color w:val="000000"/>
                <w:kern w:val="0"/>
                <w:sz w:val="20"/>
                <w:szCs w:val="20"/>
              </w:rPr>
              <w:t xml:space="preserve"> </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一、一般公共预算财政拨款</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二、政府性基金预算财政拨款</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三、国有资本经营预算财政拨款</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5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总计</w:t>
            </w:r>
            <w:r>
              <w:rPr>
                <w:rFonts w:ascii="Times New Roman" w:hAnsi="Times New Roman" w:eastAsia="Times New Roman" w:cs="Times New Roman"/>
                <w:b w:val="0"/>
                <w:bCs w:val="0"/>
                <w:i w:val="0"/>
                <w:iCs w:val="0"/>
                <w:smallCaps w:val="0"/>
                <w:color w:val="000000"/>
                <w:kern w:val="0"/>
                <w:sz w:val="20"/>
                <w:szCs w:val="20"/>
              </w:rPr>
              <w:t xml:space="preserve"> </w:t>
            </w:r>
          </w:p>
        </w:tc>
        <w:tc>
          <w:tcPr>
            <w:tcW w:w="3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4,169.81</w:t>
            </w:r>
          </w:p>
        </w:tc>
        <w:tc>
          <w:tcPr>
            <w:tcW w:w="15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总计</w:t>
            </w:r>
            <w:r>
              <w:rPr>
                <w:rFonts w:ascii="Times New Roman" w:hAnsi="Times New Roman" w:eastAsia="Times New Roman" w:cs="Times New Roman"/>
                <w:b w:val="0"/>
                <w:bCs w:val="0"/>
                <w:i w:val="0"/>
                <w:iCs w:val="0"/>
                <w:smallCaps w:val="0"/>
                <w:color w:val="000000"/>
                <w:kern w:val="0"/>
                <w:sz w:val="20"/>
                <w:szCs w:val="20"/>
              </w:rPr>
              <w:t xml:space="preserve"> </w:t>
            </w:r>
          </w:p>
        </w:tc>
        <w:tc>
          <w:tcPr>
            <w:tcW w:w="6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4,169.81</w:t>
            </w:r>
          </w:p>
        </w:tc>
        <w:tc>
          <w:tcPr>
            <w:tcW w:w="12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4,169.81</w:t>
            </w:r>
          </w:p>
        </w:tc>
        <w:tc>
          <w:tcPr>
            <w:tcW w:w="10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注：本表反映部门本年度一般公共预算财政拨款、政府性基金预算财政拨款和国有资本经营预算财政拨款的总收支和年末结转结余情况。</w:t>
            </w:r>
          </w:p>
        </w:tc>
      </w:tr>
      <w:bookmarkEnd w:id="37"/>
      <w:bookmarkEnd w:id="38"/>
      <w:bookmarkEnd w:id="39"/>
      <w:bookmarkEnd w:id="40"/>
    </w:tbl>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r>
        <w:rPr>
          <w:rFonts w:ascii="Times New Roman" w:hAnsi="Times New Roman" w:eastAsia="Times New Roman" w:cs="Times New Roman"/>
          <w:spacing w:val="0"/>
          <w:kern w:val="0"/>
          <w:sz w:val="27"/>
          <w:szCs w:val="27"/>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tbl>
      <w:tblPr>
        <w:tblStyle w:val="22"/>
        <w:tblpPr w:leftFromText="180" w:rightFromText="180" w:vertAnchor="text" w:horzAnchor="page" w:tblpX="1400" w:tblpY="522"/>
        <w:tblOverlap w:val="never"/>
        <w:tblW w:w="8997" w:type="dxa"/>
        <w:tblInd w:w="0" w:type="dxa"/>
        <w:tblLayout w:type="fixed"/>
        <w:tblCellMar>
          <w:top w:w="15" w:type="dxa"/>
          <w:left w:w="15" w:type="dxa"/>
          <w:bottom w:w="15" w:type="dxa"/>
          <w:right w:w="15" w:type="dxa"/>
        </w:tblCellMar>
      </w:tblPr>
      <w:tblGrid>
        <w:gridCol w:w="335"/>
        <w:gridCol w:w="334"/>
        <w:gridCol w:w="335"/>
        <w:gridCol w:w="3884"/>
        <w:gridCol w:w="884"/>
        <w:gridCol w:w="1221"/>
        <w:gridCol w:w="2004"/>
      </w:tblGrid>
      <w:tr>
        <w:tblPrEx>
          <w:tblLayout w:type="fixed"/>
          <w:tblCellMar>
            <w:top w:w="15" w:type="dxa"/>
            <w:left w:w="15" w:type="dxa"/>
            <w:bottom w:w="15" w:type="dxa"/>
            <w:right w:w="15" w:type="dxa"/>
          </w:tblCellMar>
        </w:tblPrEx>
        <w:trPr>
          <w:tblHeader/>
        </w:trPr>
        <w:tc>
          <w:tcPr>
            <w:tcW w:w="8997"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4"/>
                <w:szCs w:val="24"/>
              </w:rPr>
            </w:pPr>
            <w:bookmarkStart w:id="41" w:name="_Toc256000073"/>
            <w:bookmarkStart w:id="42" w:name="_Toc256000042"/>
            <w:bookmarkStart w:id="43" w:name="_Toc256000104"/>
            <w:bookmarkStart w:id="44" w:name="_Toc256000011"/>
            <w:r>
              <w:rPr>
                <w:rFonts w:ascii="宋体" w:hAnsi="宋体" w:eastAsia="宋体" w:cs="宋体"/>
                <w:b w:val="0"/>
                <w:bCs w:val="0"/>
                <w:i w:val="0"/>
                <w:iCs w:val="0"/>
                <w:smallCaps w:val="0"/>
                <w:color w:val="000000"/>
                <w:kern w:val="0"/>
                <w:sz w:val="24"/>
                <w:szCs w:val="24"/>
              </w:rPr>
              <w:t>一般公共预算财政拨款支出决算表</w:t>
            </w:r>
          </w:p>
        </w:tc>
      </w:tr>
      <w:tr>
        <w:tblPrEx>
          <w:tblLayout w:type="fixed"/>
          <w:tblCellMar>
            <w:top w:w="15" w:type="dxa"/>
            <w:left w:w="15" w:type="dxa"/>
            <w:bottom w:w="15" w:type="dxa"/>
            <w:right w:w="15" w:type="dxa"/>
          </w:tblCellMar>
        </w:tblPrEx>
        <w:trPr>
          <w:tblHeader/>
        </w:trPr>
        <w:tc>
          <w:tcPr>
            <w:tcW w:w="3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3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3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38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2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20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c>
          <w:tcPr>
            <w:tcW w:w="577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部门</w:t>
            </w:r>
            <w:r>
              <w:rPr>
                <w:rFonts w:ascii="Times New Roman" w:hAnsi="Times New Roman" w:eastAsia="Times New Roman" w:cs="Times New Roman"/>
                <w:b w:val="0"/>
                <w:bCs w:val="0"/>
                <w:i w:val="0"/>
                <w:iCs w:val="0"/>
                <w:smallCaps w:val="0"/>
                <w:color w:val="000000"/>
                <w:kern w:val="0"/>
                <w:sz w:val="28"/>
                <w:szCs w:val="28"/>
              </w:rPr>
              <w:t>/</w:t>
            </w:r>
            <w:r>
              <w:rPr>
                <w:rFonts w:ascii="宋体" w:hAnsi="宋体" w:eastAsia="宋体" w:cs="宋体"/>
                <w:b w:val="0"/>
                <w:bCs w:val="0"/>
                <w:i w:val="0"/>
                <w:iCs w:val="0"/>
                <w:smallCaps w:val="0"/>
                <w:color w:val="000000"/>
                <w:kern w:val="0"/>
                <w:sz w:val="28"/>
                <w:szCs w:val="28"/>
              </w:rPr>
              <w:t>单位：厦门市龙湫亭实验学校</w:t>
            </w:r>
          </w:p>
        </w:tc>
        <w:tc>
          <w:tcPr>
            <w:tcW w:w="12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2024</w:t>
            </w:r>
            <w:r>
              <w:rPr>
                <w:rFonts w:ascii="宋体" w:hAnsi="宋体" w:eastAsia="宋体" w:cs="宋体"/>
                <w:b w:val="0"/>
                <w:bCs w:val="0"/>
                <w:i w:val="0"/>
                <w:iCs w:val="0"/>
                <w:smallCaps w:val="0"/>
                <w:color w:val="000000"/>
                <w:kern w:val="0"/>
                <w:sz w:val="28"/>
                <w:szCs w:val="28"/>
              </w:rPr>
              <w:t>年度</w:t>
            </w:r>
          </w:p>
        </w:tc>
        <w:tc>
          <w:tcPr>
            <w:tcW w:w="20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金额单位：万元</w:t>
            </w:r>
          </w:p>
        </w:tc>
      </w:tr>
      <w:tr>
        <w:tblPrEx>
          <w:tblLayout w:type="fixed"/>
          <w:tblCellMar>
            <w:top w:w="15" w:type="dxa"/>
            <w:left w:w="15" w:type="dxa"/>
            <w:bottom w:w="15" w:type="dxa"/>
            <w:right w:w="15" w:type="dxa"/>
          </w:tblCellMar>
        </w:tblPrEx>
        <w:tc>
          <w:tcPr>
            <w:tcW w:w="488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项目</w:t>
            </w:r>
          </w:p>
        </w:tc>
        <w:tc>
          <w:tcPr>
            <w:tcW w:w="410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本年支出</w:t>
            </w:r>
          </w:p>
        </w:tc>
      </w:tr>
      <w:tr>
        <w:tblPrEx>
          <w:tblLayout w:type="fixed"/>
          <w:tblCellMar>
            <w:top w:w="15" w:type="dxa"/>
            <w:left w:w="15" w:type="dxa"/>
            <w:bottom w:w="15" w:type="dxa"/>
            <w:right w:w="15" w:type="dxa"/>
          </w:tblCellMar>
        </w:tblPrEx>
        <w:trPr>
          <w:tblHeader/>
        </w:trPr>
        <w:tc>
          <w:tcPr>
            <w:tcW w:w="1004"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科目代码</w:t>
            </w:r>
          </w:p>
        </w:tc>
        <w:tc>
          <w:tcPr>
            <w:tcW w:w="38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科目名称</w:t>
            </w:r>
          </w:p>
        </w:tc>
        <w:tc>
          <w:tcPr>
            <w:tcW w:w="8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小计</w:t>
            </w:r>
          </w:p>
        </w:tc>
        <w:tc>
          <w:tcPr>
            <w:tcW w:w="12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基本支出</w:t>
            </w:r>
          </w:p>
        </w:tc>
        <w:tc>
          <w:tcPr>
            <w:tcW w:w="20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项目支出</w:t>
            </w:r>
          </w:p>
        </w:tc>
      </w:tr>
      <w:tr>
        <w:tblPrEx>
          <w:tblLayout w:type="fixed"/>
          <w:tblCellMar>
            <w:top w:w="15" w:type="dxa"/>
            <w:left w:w="15" w:type="dxa"/>
            <w:bottom w:w="15" w:type="dxa"/>
            <w:right w:w="15" w:type="dxa"/>
          </w:tblCellMar>
        </w:tblPrEx>
        <w:trPr>
          <w:tblHeader/>
        </w:trPr>
        <w:tc>
          <w:tcPr>
            <w:tcW w:w="1004"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38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22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20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blHeader/>
        </w:trPr>
        <w:tc>
          <w:tcPr>
            <w:tcW w:w="1004"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38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w:t>
            </w:r>
          </w:p>
        </w:tc>
      </w:tr>
      <w:tr>
        <w:tblPrEx>
          <w:tblLayout w:type="fixed"/>
          <w:tblCellMar>
            <w:top w:w="15" w:type="dxa"/>
            <w:left w:w="15" w:type="dxa"/>
            <w:bottom w:w="15" w:type="dxa"/>
            <w:right w:w="15" w:type="dxa"/>
          </w:tblCellMar>
        </w:tblPrEx>
        <w:tc>
          <w:tcPr>
            <w:tcW w:w="488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合计</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4,169.81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3,716.63</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453.18</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3,631.96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3,178.78</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453.18</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20501</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教育管理事务</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1.3</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1.3</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2050199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其他教育管理事务支出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1.3</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1.3</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普通教育</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3,329.92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3,178.78</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151.14</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2050202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小学教育</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1,782.71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1,782.71</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2050203</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初中教育</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1,306.39</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1,306.39</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2050299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其他普通教育支出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240.82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89.68</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151.14</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教育费附加安排的支出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299.62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299.62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2050999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其他教育费附加安排的支出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299.62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299.62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其他教育支出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1.12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1.12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2059999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其他教育支出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1.12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1.12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208</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社会保障和就业支出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367.16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367.16</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20805</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行政事业单位养老支出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367.16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367.16</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2080505</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机关事业单位基本养老保险缴费支出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244.77</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244.77</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2080506</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机关事业单位职业年金缴费支出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122.39</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122.39</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210</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卫生健康支出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158.34</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158.34</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21011</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行政事业单位医疗</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158.34</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158.34</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2101102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事业单位医疗</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104.79</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104.79</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2101199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其他行政事业单位医疗支出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53.54</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53.54</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221</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住房保障支出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12.35</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12.35</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22102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住房改革支出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12.35</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12.35</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2210203</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购房补贴</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12.35</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12.35</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8997"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注：本表反映部门本年度一般公共预算财政拨款支出情况。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五、一般公共预算财政拨款支出决算表</w:t>
      </w:r>
      <w:bookmarkEnd w:id="41"/>
      <w:bookmarkEnd w:id="42"/>
      <w:bookmarkEnd w:id="43"/>
      <w:bookmarkEnd w:id="44"/>
    </w:p>
    <w:p>
      <w:pPr>
        <w:sectPr>
          <w:footerReference r:id="rId7"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5"/>
        <w:keepNext w:val="0"/>
        <w:keepLines w:val="0"/>
        <w:spacing w:before="100" w:after="100" w:line="240" w:lineRule="auto"/>
        <w:ind w:left="0" w:leftChars="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六、一般公共预算财政拨款基本支出决算表</w:t>
      </w:r>
    </w:p>
    <w:tbl>
      <w:tblPr>
        <w:tblStyle w:val="22"/>
        <w:tblpPr w:leftFromText="180" w:rightFromText="180" w:vertAnchor="text" w:horzAnchor="page" w:tblpX="1480" w:tblpY="609"/>
        <w:tblOverlap w:val="never"/>
        <w:tblW w:w="9066" w:type="dxa"/>
        <w:tblInd w:w="0" w:type="dxa"/>
        <w:tblLayout w:type="fixed"/>
        <w:tblCellMar>
          <w:top w:w="15" w:type="dxa"/>
          <w:left w:w="15" w:type="dxa"/>
          <w:bottom w:w="15" w:type="dxa"/>
          <w:right w:w="15" w:type="dxa"/>
        </w:tblCellMar>
      </w:tblPr>
      <w:tblGrid>
        <w:gridCol w:w="949"/>
        <w:gridCol w:w="1434"/>
        <w:gridCol w:w="779"/>
        <w:gridCol w:w="949"/>
        <w:gridCol w:w="1088"/>
        <w:gridCol w:w="622"/>
        <w:gridCol w:w="949"/>
        <w:gridCol w:w="1428"/>
        <w:gridCol w:w="868"/>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bookmarkStart w:id="45" w:name="_Toc256000012"/>
            <w:bookmarkStart w:id="46" w:name="_Toc256000105"/>
            <w:bookmarkStart w:id="47" w:name="_Toc256000043"/>
            <w:bookmarkStart w:id="48" w:name="_Toc256000074"/>
            <w:r>
              <w:rPr>
                <w:rFonts w:ascii="宋体" w:hAnsi="宋体" w:eastAsia="宋体" w:cs="宋体"/>
                <w:b w:val="0"/>
                <w:bCs w:val="0"/>
                <w:i w:val="0"/>
                <w:iCs w:val="0"/>
                <w:smallCaps w:val="0"/>
                <w:color w:val="000000"/>
                <w:kern w:val="0"/>
                <w:sz w:val="21"/>
                <w:szCs w:val="21"/>
              </w:rPr>
              <w:t>一般公共预算财政拨款基本支出决算表</w:t>
            </w:r>
          </w:p>
        </w:tc>
      </w:tr>
      <w:tr>
        <w:tblPrEx>
          <w:tblLayout w:type="fixed"/>
          <w:tblCellMar>
            <w:top w:w="15" w:type="dxa"/>
            <w:left w:w="15" w:type="dxa"/>
            <w:bottom w:w="15" w:type="dxa"/>
            <w:right w:w="15" w:type="dxa"/>
          </w:tblCellMar>
        </w:tblPrEx>
        <w:trPr>
          <w:tblHeader/>
        </w:trPr>
        <w:tc>
          <w:tcPr>
            <w:tcW w:w="9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blHeader/>
        </w:trPr>
        <w:tc>
          <w:tcPr>
            <w:tcW w:w="4111"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单位：厦门市龙湫亭实验学校</w:t>
            </w:r>
          </w:p>
        </w:tc>
        <w:tc>
          <w:tcPr>
            <w:tcW w:w="10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6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rPr>
          <w:tblHeader/>
        </w:trPr>
        <w:tc>
          <w:tcPr>
            <w:tcW w:w="94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经济分类科目编码</w:t>
            </w:r>
          </w:p>
        </w:tc>
        <w:tc>
          <w:tcPr>
            <w:tcW w:w="14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77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w:t>
            </w:r>
          </w:p>
        </w:tc>
        <w:tc>
          <w:tcPr>
            <w:tcW w:w="94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经济分类科目编码</w:t>
            </w:r>
          </w:p>
        </w:tc>
        <w:tc>
          <w:tcPr>
            <w:tcW w:w="10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6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w:t>
            </w:r>
          </w:p>
        </w:tc>
        <w:tc>
          <w:tcPr>
            <w:tcW w:w="94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经济分类科目编码</w:t>
            </w:r>
          </w:p>
        </w:tc>
        <w:tc>
          <w:tcPr>
            <w:tcW w:w="142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8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w:t>
            </w:r>
          </w:p>
        </w:tc>
      </w:tr>
      <w:tr>
        <w:tblPrEx>
          <w:tblLayout w:type="fixed"/>
          <w:tblCellMar>
            <w:top w:w="15" w:type="dxa"/>
            <w:left w:w="15" w:type="dxa"/>
            <w:bottom w:w="15" w:type="dxa"/>
            <w:right w:w="15" w:type="dxa"/>
          </w:tblCellMar>
        </w:tblPrEx>
        <w:trPr>
          <w:tblHeader/>
        </w:trPr>
        <w:tc>
          <w:tcPr>
            <w:tcW w:w="9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4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77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0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6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4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8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工资福利支出</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3,318.58</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商品和服务支出</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349.39</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30703</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国内债务发行费用</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30101</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基本工资</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395.77</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30201</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办公费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142.2</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30704</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国外债务发行费用</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30102</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津贴补贴</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598.59</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30202</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印刷费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1.67</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资本性支出</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41.45</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30103</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奖金</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1,062.72</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30203</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咨询费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31001</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房屋建筑物购建</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30106</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伙食补助费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30204</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手续费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31002</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办公设备购置</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41.45</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30107</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绩效工资</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194.55</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30205</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水费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6.48</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31003</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专用设备购置</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30108</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机关事业单位基本养老保险缴费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244.77</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30206</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电费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45.29</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31005</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基础设施建设</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30109</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职业年金缴费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122.39</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30207</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邮电费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0.84</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31006</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大型修缮</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30110</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职工基本医疗保险缴费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104.79</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30208</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取暖费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31007</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信息网络及软件购置更新</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30111</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公务员医疗补助缴费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30209</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物业管理费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31008</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物资储备</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30112</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其他社会保障缴费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73.16</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30211</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差旅费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1.79</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31009</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土地补偿</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30113</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住房公积金</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249.58</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30212</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因公出国（境）费用</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31010</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安置补助</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30114</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医疗费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30213</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维修（护）费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28.54</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31011</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地上附着物和青苗补偿</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30199</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其他工资福利支出</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272.25</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30214</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租赁费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31012</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拆迁补偿</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对个人和家庭的补助</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30215</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会议费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31013</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公务用车购置</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30301</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离休费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30216</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培训费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26.68</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31019</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其他交通工具购置</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30302</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退休费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30217</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公务接待费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31021</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文物和陈列品购置</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30303</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退职（役）费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30218</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专用材料费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4.2</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31022</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无形资产购置</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30304</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抚恤金</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30224</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被装购置费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31099</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其他资本性支出</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30305</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生活补助</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30225</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专用燃料费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312</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对企业补助</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30306</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救济费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30226</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劳务费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2.68</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31201</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资本金注入</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30307</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医疗费补助</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30227</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委托业务费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31203</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政府投资基金股权投资</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30308</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助学金</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30228</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工会经费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60.74</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31204</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费用补贴</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30309</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奖励金</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30229</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福利费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4.05</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31205</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利息补贴</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30310</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个人农业生产补贴</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30231</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公务用车运行维护费</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31206</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其他资本性补助</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30311</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代缴社会保险费</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30239</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其他交通费用</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3.92</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31299</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其他对企业补助</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30399</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其他对个人和家庭的补助</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30240</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税金及附加费用</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399</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其他支出</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30299</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其他商品和服务支出</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20.31</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39907</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国家赔偿费用支出</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307</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债务利息及费用支出</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39908</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对民间非营利组织和群众性自治组织补贴</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30701</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国内债务付息</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39909</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经常性赠与</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30702</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国外债务付息</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39910</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资本性赠与</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39999</w:t>
            </w:r>
          </w:p>
        </w:tc>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其他支出</w:t>
            </w:r>
          </w:p>
        </w:tc>
        <w:tc>
          <w:tcPr>
            <w:tcW w:w="8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238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人员经费合计</w:t>
            </w:r>
            <w:r>
              <w:rPr>
                <w:rFonts w:ascii="Times New Roman" w:hAnsi="Times New Roman" w:eastAsia="Times New Roman" w:cs="Times New Roman"/>
                <w:b w:val="0"/>
                <w:bCs w:val="0"/>
                <w:i w:val="0"/>
                <w:iCs w:val="0"/>
                <w:smallCaps w:val="0"/>
                <w:color w:val="000000"/>
                <w:kern w:val="0"/>
                <w:sz w:val="21"/>
                <w:szCs w:val="21"/>
              </w:rPr>
              <w:t xml:space="preserve"> </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3,325.78</w:t>
            </w:r>
          </w:p>
        </w:tc>
        <w:tc>
          <w:tcPr>
            <w:tcW w:w="360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公用经费合计</w:t>
            </w:r>
          </w:p>
        </w:tc>
        <w:tc>
          <w:tcPr>
            <w:tcW w:w="229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390.84</w:t>
            </w:r>
          </w:p>
        </w:tc>
      </w:tr>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注：本表反映部门本年度一般公共预算财政拨款基本支出明细情况。</w:t>
            </w:r>
          </w:p>
        </w:tc>
      </w:tr>
      <w:bookmarkEnd w:id="45"/>
      <w:bookmarkEnd w:id="46"/>
      <w:bookmarkEnd w:id="47"/>
      <w:bookmarkEnd w:id="48"/>
    </w:tbl>
    <w:p>
      <w:pPr>
        <w:pStyle w:val="29"/>
        <w:widowControl/>
        <w:spacing w:before="100" w:after="100"/>
        <w:ind w:left="0" w:right="0" w:firstLine="0"/>
        <w:jc w:val="left"/>
        <w:rPr>
          <w:rFonts w:ascii="Times New Roman" w:hAnsi="Times New Roman" w:eastAsia="Times New Roman" w:cs="Times New Roman"/>
          <w:kern w:val="0"/>
          <w:sz w:val="24"/>
        </w:rPr>
      </w:pPr>
    </w:p>
    <w:p>
      <w:pPr>
        <w:sectPr>
          <w:footerReference r:id="rId8"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tbl>
      <w:tblPr>
        <w:tblStyle w:val="22"/>
        <w:tblpPr w:leftFromText="180" w:rightFromText="180" w:vertAnchor="text" w:horzAnchor="page" w:tblpX="1821" w:tblpY="872"/>
        <w:tblOverlap w:val="never"/>
        <w:tblW w:w="9066" w:type="dxa"/>
        <w:tblInd w:w="0" w:type="dxa"/>
        <w:tblLayout w:type="fixed"/>
        <w:tblCellMar>
          <w:top w:w="15" w:type="dxa"/>
          <w:left w:w="15" w:type="dxa"/>
          <w:bottom w:w="15" w:type="dxa"/>
          <w:right w:w="15" w:type="dxa"/>
        </w:tblCellMar>
      </w:tblPr>
      <w:tblGrid>
        <w:gridCol w:w="359"/>
        <w:gridCol w:w="1163"/>
        <w:gridCol w:w="359"/>
        <w:gridCol w:w="754"/>
        <w:gridCol w:w="912"/>
        <w:gridCol w:w="596"/>
        <w:gridCol w:w="747"/>
        <w:gridCol w:w="1163"/>
        <w:gridCol w:w="360"/>
        <w:gridCol w:w="754"/>
        <w:gridCol w:w="912"/>
        <w:gridCol w:w="987"/>
      </w:tblGrid>
      <w:tr>
        <w:tblPrEx>
          <w:tblLayout w:type="fixed"/>
          <w:tblCellMar>
            <w:top w:w="15" w:type="dxa"/>
            <w:left w:w="15" w:type="dxa"/>
            <w:bottom w:w="15" w:type="dxa"/>
            <w:right w:w="15" w:type="dxa"/>
          </w:tblCellMar>
        </w:tblPrEx>
        <w:trPr>
          <w:tblHeader/>
        </w:trPr>
        <w:tc>
          <w:tcPr>
            <w:tcW w:w="9066" w:type="dxa"/>
            <w:gridSpan w:val="12"/>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2"/>
                <w:szCs w:val="22"/>
              </w:rPr>
            </w:pPr>
            <w:bookmarkStart w:id="49" w:name="_Toc256000013"/>
            <w:bookmarkStart w:id="50" w:name="_Toc256000044"/>
            <w:bookmarkStart w:id="51" w:name="_Toc256000075"/>
            <w:bookmarkStart w:id="52" w:name="_Toc256000106"/>
            <w:r>
              <w:rPr>
                <w:rFonts w:ascii="宋体" w:hAnsi="宋体" w:eastAsia="宋体" w:cs="宋体"/>
                <w:b w:val="0"/>
                <w:bCs w:val="0"/>
                <w:i w:val="0"/>
                <w:iCs w:val="0"/>
                <w:smallCaps w:val="0"/>
                <w:color w:val="000000"/>
                <w:kern w:val="0"/>
                <w:sz w:val="22"/>
                <w:szCs w:val="22"/>
              </w:rPr>
              <w:t>一般公共预算财政拨款</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三公</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经费支出决算</w:t>
            </w:r>
          </w:p>
        </w:tc>
      </w:tr>
      <w:tr>
        <w:tblPrEx>
          <w:tblLayout w:type="fixed"/>
          <w:tblCellMar>
            <w:top w:w="15" w:type="dxa"/>
            <w:left w:w="15" w:type="dxa"/>
            <w:bottom w:w="15" w:type="dxa"/>
            <w:right w:w="15" w:type="dxa"/>
          </w:tblCellMar>
        </w:tblPrEx>
        <w:trPr>
          <w:tblHeader/>
        </w:trPr>
        <w:tc>
          <w:tcPr>
            <w:tcW w:w="3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7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5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7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1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7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4143"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部门</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单位：厦门市龙湫亭实验学校</w:t>
            </w:r>
          </w:p>
        </w:tc>
        <w:tc>
          <w:tcPr>
            <w:tcW w:w="7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2024</w:t>
            </w:r>
            <w:r>
              <w:rPr>
                <w:rFonts w:ascii="宋体" w:hAnsi="宋体" w:eastAsia="宋体" w:cs="宋体"/>
                <w:b w:val="0"/>
                <w:bCs w:val="0"/>
                <w:i w:val="0"/>
                <w:iCs w:val="0"/>
                <w:smallCaps w:val="0"/>
                <w:color w:val="000000"/>
                <w:kern w:val="0"/>
                <w:sz w:val="24"/>
                <w:szCs w:val="24"/>
              </w:rPr>
              <w:t>年度</w:t>
            </w:r>
          </w:p>
        </w:tc>
        <w:tc>
          <w:tcPr>
            <w:tcW w:w="11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3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7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9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金额单位：万元</w:t>
            </w:r>
          </w:p>
        </w:tc>
      </w:tr>
      <w:tr>
        <w:tblPrEx>
          <w:tblLayout w:type="fixed"/>
          <w:tblCellMar>
            <w:top w:w="15" w:type="dxa"/>
            <w:left w:w="15" w:type="dxa"/>
            <w:bottom w:w="15" w:type="dxa"/>
            <w:right w:w="15" w:type="dxa"/>
          </w:tblCellMar>
        </w:tblPrEx>
        <w:tc>
          <w:tcPr>
            <w:tcW w:w="414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预算数</w:t>
            </w:r>
          </w:p>
        </w:tc>
        <w:tc>
          <w:tcPr>
            <w:tcW w:w="492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决算数</w:t>
            </w:r>
          </w:p>
        </w:tc>
      </w:tr>
      <w:tr>
        <w:tblPrEx>
          <w:tblLayout w:type="fixed"/>
          <w:tblCellMar>
            <w:top w:w="15" w:type="dxa"/>
            <w:left w:w="15" w:type="dxa"/>
            <w:bottom w:w="15" w:type="dxa"/>
            <w:right w:w="15" w:type="dxa"/>
          </w:tblCellMar>
        </w:tblPrEx>
        <w:trPr>
          <w:tblHeader/>
        </w:trPr>
        <w:tc>
          <w:tcPr>
            <w:tcW w:w="3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合计</w:t>
            </w:r>
          </w:p>
        </w:tc>
        <w:tc>
          <w:tcPr>
            <w:tcW w:w="11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因公出国</w:t>
            </w:r>
            <w:r>
              <w:rPr>
                <w:rFonts w:ascii="Times New Roman" w:hAnsi="Times New Roman" w:eastAsia="Times New Roman" w:cs="Times New Roman"/>
                <w:b w:val="0"/>
                <w:bCs w:val="0"/>
                <w:i w:val="0"/>
                <w:iCs w:val="0"/>
                <w:smallCaps w:val="0"/>
                <w:color w:val="000000"/>
                <w:kern w:val="0"/>
                <w:sz w:val="22"/>
                <w:szCs w:val="22"/>
              </w:rPr>
              <w:t xml:space="preserve"> </w:t>
            </w:r>
            <w:r>
              <w:rPr>
                <w:rFonts w:ascii="宋体" w:hAnsi="宋体" w:eastAsia="宋体" w:cs="宋体"/>
                <w:b w:val="0"/>
                <w:bCs w:val="0"/>
                <w:i w:val="0"/>
                <w:iCs w:val="0"/>
                <w:smallCaps w:val="0"/>
                <w:color w:val="000000"/>
                <w:kern w:val="0"/>
                <w:sz w:val="22"/>
                <w:szCs w:val="22"/>
              </w:rPr>
              <w:t>（境）费</w:t>
            </w:r>
          </w:p>
        </w:tc>
        <w:tc>
          <w:tcPr>
            <w:tcW w:w="202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公务用车购置及运行维护费</w:t>
            </w:r>
          </w:p>
        </w:tc>
        <w:tc>
          <w:tcPr>
            <w:tcW w:w="59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公务接待费</w:t>
            </w:r>
          </w:p>
        </w:tc>
        <w:tc>
          <w:tcPr>
            <w:tcW w:w="74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合计</w:t>
            </w:r>
          </w:p>
        </w:tc>
        <w:tc>
          <w:tcPr>
            <w:tcW w:w="11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因公出国</w:t>
            </w:r>
            <w:r>
              <w:rPr>
                <w:rFonts w:ascii="Times New Roman" w:hAnsi="Times New Roman" w:eastAsia="Times New Roman" w:cs="Times New Roman"/>
                <w:b w:val="0"/>
                <w:bCs w:val="0"/>
                <w:i w:val="0"/>
                <w:iCs w:val="0"/>
                <w:smallCaps w:val="0"/>
                <w:color w:val="000000"/>
                <w:kern w:val="0"/>
                <w:sz w:val="22"/>
                <w:szCs w:val="22"/>
              </w:rPr>
              <w:t xml:space="preserve"> </w:t>
            </w:r>
            <w:r>
              <w:rPr>
                <w:rFonts w:ascii="宋体" w:hAnsi="宋体" w:eastAsia="宋体" w:cs="宋体"/>
                <w:b w:val="0"/>
                <w:bCs w:val="0"/>
                <w:i w:val="0"/>
                <w:iCs w:val="0"/>
                <w:smallCaps w:val="0"/>
                <w:color w:val="000000"/>
                <w:kern w:val="0"/>
                <w:sz w:val="22"/>
                <w:szCs w:val="22"/>
              </w:rPr>
              <w:t>（境）费</w:t>
            </w:r>
          </w:p>
        </w:tc>
        <w:tc>
          <w:tcPr>
            <w:tcW w:w="2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公务用车购置及运行维护费</w:t>
            </w:r>
          </w:p>
        </w:tc>
        <w:tc>
          <w:tcPr>
            <w:tcW w:w="98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公务接待费</w:t>
            </w:r>
          </w:p>
        </w:tc>
      </w:tr>
      <w:tr>
        <w:tblPrEx>
          <w:tblLayout w:type="fixed"/>
          <w:tblCellMar>
            <w:top w:w="15" w:type="dxa"/>
            <w:left w:w="15" w:type="dxa"/>
            <w:bottom w:w="15" w:type="dxa"/>
            <w:right w:w="15" w:type="dxa"/>
          </w:tblCellMar>
        </w:tblPrEx>
        <w:trPr>
          <w:tblHeader/>
        </w:trPr>
        <w:tc>
          <w:tcPr>
            <w:tcW w:w="3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3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小计</w:t>
            </w:r>
            <w:r>
              <w:rPr>
                <w:rFonts w:ascii="Times New Roman" w:hAnsi="Times New Roman" w:eastAsia="Times New Roman" w:cs="Times New Roman"/>
                <w:b w:val="0"/>
                <w:bCs w:val="0"/>
                <w:i w:val="0"/>
                <w:iCs w:val="0"/>
                <w:smallCaps w:val="0"/>
                <w:color w:val="000000"/>
                <w:kern w:val="0"/>
                <w:sz w:val="22"/>
                <w:szCs w:val="22"/>
              </w:rPr>
              <w:t xml:space="preserve"> </w:t>
            </w:r>
          </w:p>
        </w:tc>
        <w:tc>
          <w:tcPr>
            <w:tcW w:w="7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公务用车购置费</w:t>
            </w:r>
          </w:p>
        </w:tc>
        <w:tc>
          <w:tcPr>
            <w:tcW w:w="9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公务用车运行维护费</w:t>
            </w:r>
          </w:p>
        </w:tc>
        <w:tc>
          <w:tcPr>
            <w:tcW w:w="59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4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3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小计</w:t>
            </w:r>
            <w:r>
              <w:rPr>
                <w:rFonts w:ascii="Times New Roman" w:hAnsi="Times New Roman" w:eastAsia="Times New Roman" w:cs="Times New Roman"/>
                <w:b w:val="0"/>
                <w:bCs w:val="0"/>
                <w:i w:val="0"/>
                <w:iCs w:val="0"/>
                <w:smallCaps w:val="0"/>
                <w:color w:val="000000"/>
                <w:kern w:val="0"/>
                <w:sz w:val="22"/>
                <w:szCs w:val="22"/>
              </w:rPr>
              <w:t xml:space="preserve"> </w:t>
            </w:r>
          </w:p>
        </w:tc>
        <w:tc>
          <w:tcPr>
            <w:tcW w:w="7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公务用车购置费</w:t>
            </w:r>
          </w:p>
        </w:tc>
        <w:tc>
          <w:tcPr>
            <w:tcW w:w="9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公务用车运行维护费</w:t>
            </w:r>
          </w:p>
        </w:tc>
        <w:tc>
          <w:tcPr>
            <w:tcW w:w="9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rPr>
          <w:tblHeader/>
        </w:trPr>
        <w:tc>
          <w:tcPr>
            <w:tcW w:w="3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3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5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9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59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4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3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5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9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9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c>
          <w:tcPr>
            <w:tcW w:w="3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w:t>
            </w:r>
          </w:p>
        </w:tc>
        <w:tc>
          <w:tcPr>
            <w:tcW w:w="3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w:t>
            </w:r>
          </w:p>
        </w:tc>
        <w:tc>
          <w:tcPr>
            <w:tcW w:w="7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w:t>
            </w:r>
          </w:p>
        </w:tc>
        <w:tc>
          <w:tcPr>
            <w:tcW w:w="5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6</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7</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8</w:t>
            </w:r>
          </w:p>
        </w:tc>
        <w:tc>
          <w:tcPr>
            <w:tcW w:w="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9</w:t>
            </w:r>
          </w:p>
        </w:tc>
        <w:tc>
          <w:tcPr>
            <w:tcW w:w="7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10</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11</w:t>
            </w:r>
          </w:p>
        </w:tc>
        <w:tc>
          <w:tcPr>
            <w:tcW w:w="9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w:t>
            </w:r>
          </w:p>
        </w:tc>
      </w:tr>
      <w:tr>
        <w:tblPrEx>
          <w:tblLayout w:type="fixed"/>
          <w:tblCellMar>
            <w:top w:w="15" w:type="dxa"/>
            <w:left w:w="15" w:type="dxa"/>
            <w:bottom w:w="15" w:type="dxa"/>
            <w:right w:w="15" w:type="dxa"/>
          </w:tblCellMar>
        </w:tblPrEx>
        <w:tc>
          <w:tcPr>
            <w:tcW w:w="3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bookmarkStart w:id="121" w:name="_GoBack" w:colFirst="1" w:colLast="11"/>
            <w:r>
              <w:rPr>
                <w:rFonts w:hint="eastAsia" w:eastAsia="宋体" w:cs="Times New Roman"/>
                <w:b w:val="0"/>
                <w:bCs w:val="0"/>
                <w:i w:val="0"/>
                <w:iCs w:val="0"/>
                <w:smallCaps w:val="0"/>
                <w:color w:val="000000"/>
                <w:kern w:val="0"/>
                <w:sz w:val="22"/>
                <w:szCs w:val="22"/>
                <w:lang w:val="en-US" w:eastAsia="zh-CN"/>
              </w:rPr>
              <w:t>0</w:t>
            </w:r>
            <w:r>
              <w:rPr>
                <w:rFonts w:ascii="Times New Roman" w:hAnsi="Times New Roman" w:eastAsia="Times New Roman" w:cs="Times New Roman"/>
                <w:b w:val="0"/>
                <w:bCs w:val="0"/>
                <w:i w:val="0"/>
                <w:iCs w:val="0"/>
                <w:smallCaps w:val="0"/>
                <w:color w:val="000000"/>
                <w:kern w:val="0"/>
                <w:sz w:val="22"/>
                <w:szCs w:val="22"/>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3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7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5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7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c>
          <w:tcPr>
            <w:tcW w:w="9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eastAsia="宋体" w:cs="Times New Roman"/>
                <w:b w:val="0"/>
                <w:bCs w:val="0"/>
                <w:i w:val="0"/>
                <w:iCs w:val="0"/>
                <w:smallCaps w:val="0"/>
                <w:color w:val="000000"/>
                <w:kern w:val="0"/>
                <w:sz w:val="22"/>
                <w:szCs w:val="22"/>
                <w:lang w:val="en-US" w:eastAsia="zh-CN"/>
              </w:rPr>
              <w:t>0</w:t>
            </w:r>
          </w:p>
        </w:tc>
      </w:tr>
      <w:bookmarkEnd w:id="121"/>
      <w:tr>
        <w:tblPrEx>
          <w:tblLayout w:type="fixed"/>
          <w:tblCellMar>
            <w:top w:w="15" w:type="dxa"/>
            <w:left w:w="15" w:type="dxa"/>
            <w:bottom w:w="15" w:type="dxa"/>
            <w:right w:w="15" w:type="dxa"/>
          </w:tblCellMar>
        </w:tblPrEx>
        <w:tc>
          <w:tcPr>
            <w:tcW w:w="9066" w:type="dxa"/>
            <w:gridSpan w:val="12"/>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注：本表反映部门本年度财政拨款</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三公</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经费支出预决算情况。其中，预算数为</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三公</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经费全年预算数，反映按规定程序调整后的预算数；决算数是包括当年财政拨款和以前年度结转资金安排的实际支出。</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七、一般公共预算财政拨款“三公”经费支出决算表</w:t>
      </w:r>
      <w:bookmarkEnd w:id="49"/>
      <w:bookmarkEnd w:id="50"/>
      <w:bookmarkEnd w:id="51"/>
      <w:bookmarkEnd w:id="52"/>
    </w:p>
    <w:p>
      <w:pPr>
        <w:widowControl/>
        <w:jc w:val="left"/>
        <w:rPr>
          <w:rFonts w:hint="eastAsia" w:ascii="宋体" w:hAnsi="宋体" w:cs="宋体"/>
          <w:spacing w:val="0"/>
          <w:kern w:val="0"/>
          <w:sz w:val="32"/>
          <w:szCs w:val="32"/>
          <w:lang w:val="en-US" w:eastAsia="zh-CN"/>
        </w:rPr>
      </w:pPr>
    </w:p>
    <w:p>
      <w:pPr>
        <w:widowControl/>
        <w:ind w:firstLine="640" w:firstLineChars="200"/>
        <w:jc w:val="left"/>
        <w:rPr>
          <w:rFonts w:hint="eastAsia" w:ascii="宋体" w:hAnsi="宋体" w:eastAsia="宋体" w:cs="宋体"/>
          <w:spacing w:val="0"/>
          <w:kern w:val="0"/>
          <w:sz w:val="32"/>
          <w:szCs w:val="32"/>
          <w:lang w:val="en-US" w:eastAsia="zh-CN" w:bidi="ar-SA"/>
        </w:rPr>
      </w:pPr>
      <w:r>
        <w:rPr>
          <w:rFonts w:hint="eastAsia" w:ascii="宋体" w:hAnsi="宋体" w:eastAsia="宋体" w:cs="宋体"/>
          <w:spacing w:val="0"/>
          <w:kern w:val="0"/>
          <w:sz w:val="32"/>
          <w:szCs w:val="32"/>
          <w:lang w:val="en-US" w:eastAsia="zh-CN" w:bidi="ar-SA"/>
        </w:rPr>
        <w:t>本单位2024年度没有使用一般公共预算财政拨款安排的“三公”经费支出。</w:t>
      </w:r>
    </w:p>
    <w:p>
      <w:pPr>
        <w:pStyle w:val="5"/>
        <w:keepNext w:val="0"/>
        <w:keepLines w:val="0"/>
        <w:spacing w:before="100" w:after="100" w:line="240" w:lineRule="auto"/>
        <w:ind w:left="0" w:right="0" w:firstLine="0" w:firstLineChars="0"/>
        <w:rPr>
          <w:rFonts w:ascii="黑体" w:hAnsi="黑体" w:eastAsia="黑体" w:cs="黑体"/>
          <w:b/>
          <w:spacing w:val="0"/>
        </w:rPr>
      </w:pPr>
      <w:bookmarkStart w:id="53" w:name="_Toc256000076"/>
      <w:bookmarkStart w:id="54" w:name="_Toc256000014"/>
      <w:bookmarkStart w:id="55" w:name="_Toc256000107"/>
      <w:bookmarkStart w:id="56" w:name="_Toc256000045"/>
    </w:p>
    <w:p>
      <w:pPr>
        <w:pStyle w:val="5"/>
        <w:keepNext w:val="0"/>
        <w:keepLines w:val="0"/>
        <w:spacing w:before="100" w:after="100" w:line="240" w:lineRule="auto"/>
        <w:ind w:left="0" w:right="0" w:firstLine="0" w:firstLineChars="0"/>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bookmarkEnd w:id="53"/>
    <w:bookmarkEnd w:id="54"/>
    <w:bookmarkEnd w:id="55"/>
    <w:bookmarkEnd w:id="56"/>
    <w:p/>
    <w:p/>
    <w:p/>
    <w:p/>
    <w:p/>
    <w:p/>
    <w:p/>
    <w:p/>
    <w:p/>
    <w:p/>
    <w:p>
      <w:pPr>
        <w:pStyle w:val="5"/>
        <w:keepNext w:val="0"/>
        <w:keepLines w:val="0"/>
        <w:spacing w:before="100" w:after="100" w:line="240" w:lineRule="auto"/>
        <w:ind w:left="0" w:right="0" w:firstLine="0" w:firstLineChars="0"/>
        <w:rPr>
          <w:rFonts w:ascii="宋体" w:hAnsi="宋体" w:eastAsia="宋体" w:cs="宋体"/>
          <w:b w:val="0"/>
          <w:bCs w:val="0"/>
          <w:i w:val="0"/>
          <w:iCs w:val="0"/>
          <w:smallCaps w:val="0"/>
          <w:color w:val="000000"/>
          <w:kern w:val="0"/>
          <w:sz w:val="24"/>
          <w:szCs w:val="24"/>
        </w:rPr>
      </w:pPr>
      <w:r>
        <w:rPr>
          <w:rFonts w:ascii="黑体" w:hAnsi="黑体" w:eastAsia="黑体" w:cs="黑体"/>
          <w:b/>
          <w:spacing w:val="0"/>
        </w:rPr>
        <w:t>八、政府性基金预算财政拨款收入支出决算表</w:t>
      </w:r>
    </w:p>
    <w:p/>
    <w:p>
      <w:pPr>
        <w:bidi w:val="0"/>
        <w:rPr>
          <w:rFonts w:ascii="Times New Roman" w:hAnsi="Times New Roman" w:eastAsia="宋体" w:cs="Times New Roman"/>
          <w:kern w:val="2"/>
          <w:sz w:val="21"/>
          <w:szCs w:val="24"/>
          <w:lang w:val="en-US" w:eastAsia="zh-CN" w:bidi="ar-SA"/>
        </w:rPr>
      </w:pPr>
    </w:p>
    <w:tbl>
      <w:tblPr>
        <w:tblStyle w:val="22"/>
        <w:tblW w:w="9066" w:type="dxa"/>
        <w:tblInd w:w="0" w:type="dxa"/>
        <w:tblLayout w:type="fixed"/>
        <w:tblCellMar>
          <w:top w:w="15" w:type="dxa"/>
          <w:left w:w="15" w:type="dxa"/>
          <w:bottom w:w="15" w:type="dxa"/>
          <w:right w:w="15" w:type="dxa"/>
        </w:tblCellMar>
      </w:tblPr>
      <w:tblGrid>
        <w:gridCol w:w="1848"/>
        <w:gridCol w:w="805"/>
        <w:gridCol w:w="1327"/>
        <w:gridCol w:w="805"/>
        <w:gridCol w:w="1051"/>
        <w:gridCol w:w="805"/>
        <w:gridCol w:w="806"/>
        <w:gridCol w:w="1619"/>
      </w:tblGrid>
      <w:tr>
        <w:tblPrEx>
          <w:tblLayout w:type="fixed"/>
          <w:tblCellMar>
            <w:top w:w="15" w:type="dxa"/>
            <w:left w:w="15" w:type="dxa"/>
            <w:bottom w:w="15" w:type="dxa"/>
            <w:right w:w="15" w:type="dxa"/>
          </w:tblCellMar>
        </w:tblPrEx>
        <w:trPr>
          <w:tblHeader/>
        </w:trPr>
        <w:tc>
          <w:tcPr>
            <w:tcW w:w="9066" w:type="dxa"/>
            <w:gridSpan w:val="8"/>
            <w:tcMar>
              <w:top w:w="20" w:type="dxa"/>
              <w:left w:w="20" w:type="dxa"/>
              <w:bottom w:w="20" w:type="dxa"/>
              <w:right w:w="20" w:type="dxa"/>
            </w:tcMar>
            <w:vAlign w:val="center"/>
          </w:tcPr>
          <w:p>
            <w:pPr>
              <w:pStyle w:val="5"/>
              <w:keepNext w:val="0"/>
              <w:keepLines w:val="0"/>
              <w:spacing w:before="100" w:after="100" w:line="240" w:lineRule="auto"/>
              <w:ind w:left="0" w:right="0" w:firstLine="0" w:firstLineChars="0"/>
              <w:rPr>
                <w:rFonts w:ascii="宋体" w:hAnsi="宋体" w:eastAsia="宋体" w:cs="宋体"/>
                <w:b w:val="0"/>
                <w:bCs w:val="0"/>
                <w:i w:val="0"/>
                <w:iCs w:val="0"/>
                <w:smallCaps w:val="0"/>
                <w:color w:val="000000"/>
                <w:kern w:val="0"/>
                <w:sz w:val="24"/>
                <w:szCs w:val="24"/>
              </w:rPr>
            </w:pPr>
          </w:p>
          <w:p>
            <w:pPr>
              <w:widowControl/>
              <w:spacing w:line="900" w:lineRule="atLeast"/>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政府性基金预算财政拨款收入支出决算表</w:t>
            </w:r>
          </w:p>
        </w:tc>
      </w:tr>
      <w:tr>
        <w:tblPrEx>
          <w:tblLayout w:type="fixed"/>
          <w:tblCellMar>
            <w:top w:w="15" w:type="dxa"/>
            <w:left w:w="15" w:type="dxa"/>
            <w:bottom w:w="15" w:type="dxa"/>
            <w:right w:w="15" w:type="dxa"/>
          </w:tblCellMar>
        </w:tblPrEx>
        <w:trPr>
          <w:tblHeader/>
        </w:trPr>
        <w:tc>
          <w:tcPr>
            <w:tcW w:w="184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3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0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6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c>
          <w:tcPr>
            <w:tcW w:w="4785"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部门</w:t>
            </w:r>
            <w:r>
              <w:rPr>
                <w:rFonts w:ascii="Times New Roman" w:hAnsi="Times New Roman" w:eastAsia="Times New Roman" w:cs="Times New Roman"/>
                <w:b w:val="0"/>
                <w:bCs w:val="0"/>
                <w:i w:val="0"/>
                <w:iCs w:val="0"/>
                <w:smallCaps w:val="0"/>
                <w:color w:val="000000"/>
                <w:kern w:val="0"/>
                <w:sz w:val="28"/>
                <w:szCs w:val="28"/>
              </w:rPr>
              <w:t>/</w:t>
            </w:r>
            <w:r>
              <w:rPr>
                <w:rFonts w:ascii="宋体" w:hAnsi="宋体" w:eastAsia="宋体" w:cs="宋体"/>
                <w:b w:val="0"/>
                <w:bCs w:val="0"/>
                <w:i w:val="0"/>
                <w:iCs w:val="0"/>
                <w:smallCaps w:val="0"/>
                <w:color w:val="000000"/>
                <w:kern w:val="0"/>
                <w:sz w:val="28"/>
                <w:szCs w:val="28"/>
              </w:rPr>
              <w:t>单位：厦门市龙湫亭实验学校</w:t>
            </w:r>
          </w:p>
        </w:tc>
        <w:tc>
          <w:tcPr>
            <w:tcW w:w="10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2024</w:t>
            </w:r>
            <w:r>
              <w:rPr>
                <w:rFonts w:ascii="宋体" w:hAnsi="宋体" w:eastAsia="宋体" w:cs="宋体"/>
                <w:b w:val="0"/>
                <w:bCs w:val="0"/>
                <w:i w:val="0"/>
                <w:iCs w:val="0"/>
                <w:smallCaps w:val="0"/>
                <w:color w:val="000000"/>
                <w:kern w:val="0"/>
                <w:sz w:val="28"/>
                <w:szCs w:val="28"/>
              </w:rPr>
              <w:t>年度</w:t>
            </w:r>
          </w:p>
        </w:tc>
        <w:tc>
          <w:tcPr>
            <w:tcW w:w="8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6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金额单位：万元</w:t>
            </w:r>
          </w:p>
        </w:tc>
      </w:tr>
      <w:tr>
        <w:tblPrEx>
          <w:tblLayout w:type="fixed"/>
          <w:tblCellMar>
            <w:top w:w="15" w:type="dxa"/>
            <w:left w:w="15" w:type="dxa"/>
            <w:bottom w:w="15" w:type="dxa"/>
            <w:right w:w="15" w:type="dxa"/>
          </w:tblCellMar>
        </w:tblPrEx>
        <w:trPr>
          <w:tblHeader/>
        </w:trPr>
        <w:tc>
          <w:tcPr>
            <w:tcW w:w="265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项目</w:t>
            </w:r>
          </w:p>
        </w:tc>
        <w:tc>
          <w:tcPr>
            <w:tcW w:w="13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年初结转和结余</w:t>
            </w:r>
            <w:r>
              <w:rPr>
                <w:rFonts w:ascii="Times New Roman" w:hAnsi="Times New Roman" w:eastAsia="Times New Roman" w:cs="Times New Roman"/>
                <w:b w:val="0"/>
                <w:bCs w:val="0"/>
                <w:i w:val="0"/>
                <w:iCs w:val="0"/>
                <w:smallCaps w:val="0"/>
                <w:color w:val="000000"/>
                <w:kern w:val="0"/>
                <w:sz w:val="24"/>
                <w:szCs w:val="24"/>
              </w:rPr>
              <w:t xml:space="preserve"> </w:t>
            </w:r>
          </w:p>
        </w:tc>
        <w:tc>
          <w:tcPr>
            <w:tcW w:w="8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本年收入</w:t>
            </w:r>
          </w:p>
        </w:tc>
        <w:tc>
          <w:tcPr>
            <w:tcW w:w="266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本年支出</w:t>
            </w:r>
          </w:p>
        </w:tc>
        <w:tc>
          <w:tcPr>
            <w:tcW w:w="161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年末结转和结余</w:t>
            </w:r>
          </w:p>
        </w:tc>
      </w:tr>
      <w:tr>
        <w:tblPrEx>
          <w:tblLayout w:type="fixed"/>
          <w:tblCellMar>
            <w:top w:w="15" w:type="dxa"/>
            <w:left w:w="15" w:type="dxa"/>
            <w:bottom w:w="15" w:type="dxa"/>
            <w:right w:w="15" w:type="dxa"/>
          </w:tblCellMar>
        </w:tblPrEx>
        <w:trPr>
          <w:tblHeader/>
        </w:trPr>
        <w:tc>
          <w:tcPr>
            <w:tcW w:w="184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支出功能分类科目编码</w:t>
            </w:r>
          </w:p>
        </w:tc>
        <w:tc>
          <w:tcPr>
            <w:tcW w:w="8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科目名称</w:t>
            </w:r>
          </w:p>
        </w:tc>
        <w:tc>
          <w:tcPr>
            <w:tcW w:w="13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05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小计</w:t>
            </w:r>
          </w:p>
        </w:tc>
        <w:tc>
          <w:tcPr>
            <w:tcW w:w="8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基本支出</w:t>
            </w:r>
            <w:r>
              <w:rPr>
                <w:rFonts w:ascii="Times New Roman" w:hAnsi="Times New Roman" w:eastAsia="Times New Roman" w:cs="Times New Roman"/>
                <w:b w:val="0"/>
                <w:bCs w:val="0"/>
                <w:i w:val="0"/>
                <w:iCs w:val="0"/>
                <w:smallCaps w:val="0"/>
                <w:color w:val="000000"/>
                <w:kern w:val="0"/>
                <w:sz w:val="24"/>
                <w:szCs w:val="24"/>
              </w:rPr>
              <w:t xml:space="preserve"> </w:t>
            </w:r>
          </w:p>
        </w:tc>
        <w:tc>
          <w:tcPr>
            <w:tcW w:w="80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项目支出</w:t>
            </w:r>
          </w:p>
        </w:tc>
        <w:tc>
          <w:tcPr>
            <w:tcW w:w="16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blHeader/>
        </w:trPr>
        <w:tc>
          <w:tcPr>
            <w:tcW w:w="18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3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05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6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c>
          <w:tcPr>
            <w:tcW w:w="265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栏次</w:t>
            </w:r>
          </w:p>
        </w:tc>
        <w:tc>
          <w:tcPr>
            <w:tcW w:w="13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w:t>
            </w:r>
          </w:p>
        </w:tc>
        <w:tc>
          <w:tcPr>
            <w:tcW w:w="10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4</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5</w:t>
            </w:r>
          </w:p>
        </w:tc>
        <w:tc>
          <w:tcPr>
            <w:tcW w:w="16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6</w:t>
            </w:r>
          </w:p>
        </w:tc>
      </w:tr>
      <w:tr>
        <w:tblPrEx>
          <w:tblLayout w:type="fixed"/>
          <w:tblCellMar>
            <w:top w:w="15" w:type="dxa"/>
            <w:left w:w="15" w:type="dxa"/>
            <w:bottom w:w="15" w:type="dxa"/>
            <w:right w:w="15" w:type="dxa"/>
          </w:tblCellMar>
        </w:tblPrEx>
        <w:tc>
          <w:tcPr>
            <w:tcW w:w="265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合计</w:t>
            </w:r>
          </w:p>
        </w:tc>
        <w:tc>
          <w:tcPr>
            <w:tcW w:w="13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0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6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1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3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0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6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c>
          <w:tcPr>
            <w:tcW w:w="906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bidi w:val="0"/>
        <w:rPr>
          <w:lang w:val="en-US" w:eastAsia="zh-CN"/>
        </w:rPr>
      </w:pPr>
      <w:r>
        <w:rPr>
          <w:rFonts w:ascii="Times New Roman" w:hAnsi="Times New Roman" w:eastAsia="Times New Roman" w:cs="Times New Roman"/>
          <w:spacing w:val="0"/>
          <w:kern w:val="0"/>
          <w:sz w:val="27"/>
          <w:szCs w:val="27"/>
        </w:rPr>
        <w:t> </w:t>
      </w:r>
      <w:r>
        <w:rPr>
          <w:rFonts w:hint="eastAsia" w:ascii="宋体" w:hAnsi="宋体" w:cs="宋体"/>
          <w:spacing w:val="0"/>
          <w:kern w:val="0"/>
          <w:sz w:val="32"/>
          <w:szCs w:val="32"/>
          <w:lang w:val="en-US" w:eastAsia="zh-CN"/>
        </w:rPr>
        <w:t>本单位2024年度没有使用政府性基金预算财政拨款安排的经费支出。</w:t>
      </w:r>
    </w:p>
    <w:p>
      <w:pPr>
        <w:bidi w:val="0"/>
        <w:rPr>
          <w:lang w:val="en-US" w:eastAsia="zh-CN"/>
        </w:rPr>
      </w:pPr>
    </w:p>
    <w:p>
      <w:pPr>
        <w:pStyle w:val="5"/>
        <w:keepNext w:val="0"/>
        <w:keepLines w:val="0"/>
        <w:spacing w:before="100" w:after="100" w:line="240" w:lineRule="auto"/>
        <w:ind w:left="0" w:right="0" w:firstLine="0" w:firstLineChars="0"/>
        <w:rPr>
          <w:rFonts w:ascii="黑体" w:hAnsi="黑体" w:eastAsia="黑体" w:cs="黑体"/>
          <w:b/>
          <w:spacing w:val="0"/>
        </w:rPr>
      </w:pPr>
      <w:bookmarkStart w:id="57" w:name="_Toc256000077"/>
      <w:bookmarkStart w:id="58" w:name="_Toc256000015"/>
      <w:bookmarkStart w:id="59" w:name="_Toc256000108"/>
      <w:bookmarkStart w:id="60" w:name="_Toc256000046"/>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tbl>
      <w:tblPr>
        <w:tblStyle w:val="22"/>
        <w:tblpPr w:leftFromText="180" w:rightFromText="180" w:vertAnchor="text" w:horzAnchor="page" w:tblpX="1480" w:tblpY="753"/>
        <w:tblOverlap w:val="never"/>
        <w:tblW w:w="9066" w:type="dxa"/>
        <w:tblInd w:w="0" w:type="dxa"/>
        <w:tblLayout w:type="fixed"/>
        <w:tblCellMar>
          <w:top w:w="15" w:type="dxa"/>
          <w:left w:w="15" w:type="dxa"/>
          <w:bottom w:w="15" w:type="dxa"/>
          <w:right w:w="15" w:type="dxa"/>
        </w:tblCellMar>
      </w:tblPr>
      <w:tblGrid>
        <w:gridCol w:w="2224"/>
        <w:gridCol w:w="2223"/>
        <w:gridCol w:w="1307"/>
        <w:gridCol w:w="1213"/>
        <w:gridCol w:w="2099"/>
      </w:tblGrid>
      <w:tr>
        <w:tblPrEx>
          <w:tblLayout w:type="fixed"/>
          <w:tblCellMar>
            <w:top w:w="15" w:type="dxa"/>
            <w:left w:w="15" w:type="dxa"/>
            <w:bottom w:w="15" w:type="dxa"/>
            <w:right w:w="15" w:type="dxa"/>
          </w:tblCellMar>
        </w:tblPrEx>
        <w:trPr>
          <w:tblHeader/>
        </w:trPr>
        <w:tc>
          <w:tcPr>
            <w:tcW w:w="906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国有资本经营预算财政拨款支出决算表</w:t>
            </w:r>
          </w:p>
        </w:tc>
      </w:tr>
      <w:tr>
        <w:tblPrEx>
          <w:tblLayout w:type="fixed"/>
          <w:tblCellMar>
            <w:top w:w="15" w:type="dxa"/>
            <w:left w:w="15" w:type="dxa"/>
            <w:bottom w:w="15" w:type="dxa"/>
            <w:right w:w="15" w:type="dxa"/>
          </w:tblCellMar>
        </w:tblPrEx>
        <w:trPr>
          <w:tblHeader/>
        </w:trPr>
        <w:tc>
          <w:tcPr>
            <w:tcW w:w="22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c>
          <w:tcPr>
            <w:tcW w:w="2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c>
          <w:tcPr>
            <w:tcW w:w="13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c>
          <w:tcPr>
            <w:tcW w:w="12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c>
          <w:tcPr>
            <w:tcW w:w="20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c>
          <w:tcPr>
            <w:tcW w:w="444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部门</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单位：厦门市龙湫亭实验学校</w:t>
            </w:r>
          </w:p>
        </w:tc>
        <w:tc>
          <w:tcPr>
            <w:tcW w:w="13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2024</w:t>
            </w:r>
            <w:r>
              <w:rPr>
                <w:rFonts w:ascii="宋体" w:hAnsi="宋体" w:eastAsia="宋体" w:cs="宋体"/>
                <w:b w:val="0"/>
                <w:bCs w:val="0"/>
                <w:i w:val="0"/>
                <w:iCs w:val="0"/>
                <w:smallCaps w:val="0"/>
                <w:color w:val="000000"/>
                <w:kern w:val="0"/>
                <w:sz w:val="32"/>
                <w:szCs w:val="32"/>
              </w:rPr>
              <w:t>年度</w:t>
            </w:r>
          </w:p>
        </w:tc>
        <w:tc>
          <w:tcPr>
            <w:tcW w:w="12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c>
          <w:tcPr>
            <w:tcW w:w="20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金额单位：万元</w:t>
            </w:r>
          </w:p>
        </w:tc>
      </w:tr>
      <w:tr>
        <w:tblPrEx>
          <w:tblLayout w:type="fixed"/>
          <w:tblCellMar>
            <w:top w:w="15" w:type="dxa"/>
            <w:left w:w="15" w:type="dxa"/>
            <w:bottom w:w="15" w:type="dxa"/>
            <w:right w:w="15" w:type="dxa"/>
          </w:tblCellMar>
        </w:tblPrEx>
        <w:tc>
          <w:tcPr>
            <w:tcW w:w="444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项目</w:t>
            </w:r>
          </w:p>
        </w:tc>
        <w:tc>
          <w:tcPr>
            <w:tcW w:w="461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本年支出</w:t>
            </w:r>
          </w:p>
        </w:tc>
      </w:tr>
      <w:tr>
        <w:tblPrEx>
          <w:tblLayout w:type="fixed"/>
          <w:tblCellMar>
            <w:top w:w="15" w:type="dxa"/>
            <w:left w:w="15" w:type="dxa"/>
            <w:bottom w:w="15" w:type="dxa"/>
            <w:right w:w="15" w:type="dxa"/>
          </w:tblCellMar>
        </w:tblPrEx>
        <w:trPr>
          <w:tblHeader/>
        </w:trPr>
        <w:tc>
          <w:tcPr>
            <w:tcW w:w="222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科目代码</w:t>
            </w:r>
          </w:p>
        </w:tc>
        <w:tc>
          <w:tcPr>
            <w:tcW w:w="22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科目名称</w:t>
            </w:r>
          </w:p>
        </w:tc>
        <w:tc>
          <w:tcPr>
            <w:tcW w:w="13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合计</w:t>
            </w:r>
          </w:p>
        </w:tc>
        <w:tc>
          <w:tcPr>
            <w:tcW w:w="12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基本支出</w:t>
            </w:r>
          </w:p>
        </w:tc>
        <w:tc>
          <w:tcPr>
            <w:tcW w:w="209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项目支出</w:t>
            </w:r>
          </w:p>
        </w:tc>
      </w:tr>
      <w:tr>
        <w:tblPrEx>
          <w:tblLayout w:type="fixed"/>
          <w:tblCellMar>
            <w:top w:w="15" w:type="dxa"/>
            <w:left w:w="15" w:type="dxa"/>
            <w:bottom w:w="15" w:type="dxa"/>
            <w:right w:w="15" w:type="dxa"/>
          </w:tblCellMar>
        </w:tblPrEx>
        <w:trPr>
          <w:tblHeader/>
        </w:trPr>
        <w:tc>
          <w:tcPr>
            <w:tcW w:w="222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2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13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12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209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blHeader/>
        </w:trPr>
        <w:tc>
          <w:tcPr>
            <w:tcW w:w="222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2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13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12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c>
          <w:tcPr>
            <w:tcW w:w="209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c>
          <w:tcPr>
            <w:tcW w:w="444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栏次</w:t>
            </w:r>
          </w:p>
        </w:tc>
        <w:tc>
          <w:tcPr>
            <w:tcW w:w="13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1</w:t>
            </w:r>
          </w:p>
        </w:tc>
        <w:tc>
          <w:tcPr>
            <w:tcW w:w="12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2</w:t>
            </w:r>
          </w:p>
        </w:tc>
        <w:tc>
          <w:tcPr>
            <w:tcW w:w="20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3</w:t>
            </w:r>
          </w:p>
        </w:tc>
      </w:tr>
      <w:tr>
        <w:tblPrEx>
          <w:tblLayout w:type="fixed"/>
          <w:tblCellMar>
            <w:top w:w="15" w:type="dxa"/>
            <w:left w:w="15" w:type="dxa"/>
            <w:bottom w:w="15" w:type="dxa"/>
            <w:right w:w="15" w:type="dxa"/>
          </w:tblCellMar>
        </w:tblPrEx>
        <w:tc>
          <w:tcPr>
            <w:tcW w:w="444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32"/>
                <w:szCs w:val="32"/>
              </w:rPr>
            </w:pPr>
            <w:r>
              <w:rPr>
                <w:rFonts w:ascii="宋体" w:hAnsi="宋体" w:eastAsia="宋体" w:cs="宋体"/>
                <w:b w:val="0"/>
                <w:bCs w:val="0"/>
                <w:i w:val="0"/>
                <w:iCs w:val="0"/>
                <w:smallCaps w:val="0"/>
                <w:color w:val="000000"/>
                <w:kern w:val="0"/>
                <w:sz w:val="32"/>
                <w:szCs w:val="32"/>
              </w:rPr>
              <w:t>合计</w:t>
            </w:r>
          </w:p>
        </w:tc>
        <w:tc>
          <w:tcPr>
            <w:tcW w:w="13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c>
          <w:tcPr>
            <w:tcW w:w="12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c>
          <w:tcPr>
            <w:tcW w:w="20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c>
          <w:tcPr>
            <w:tcW w:w="2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c>
          <w:tcPr>
            <w:tcW w:w="2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c>
          <w:tcPr>
            <w:tcW w:w="13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c>
          <w:tcPr>
            <w:tcW w:w="12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c>
          <w:tcPr>
            <w:tcW w:w="20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32"/>
                <w:szCs w:val="32"/>
              </w:rPr>
            </w:pPr>
            <w:r>
              <w:rPr>
                <w:rFonts w:ascii="Times New Roman" w:hAnsi="Times New Roman" w:eastAsia="Times New Roman" w:cs="Times New Roman"/>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c>
          <w:tcPr>
            <w:tcW w:w="9066" w:type="dxa"/>
            <w:gridSpan w:val="5"/>
            <w:tcMar>
              <w:top w:w="20" w:type="dxa"/>
              <w:left w:w="20" w:type="dxa"/>
              <w:bottom w:w="20" w:type="dxa"/>
              <w:right w:w="20" w:type="dxa"/>
            </w:tcMar>
            <w:vAlign w:val="center"/>
          </w:tcPr>
          <w:p>
            <w:pPr>
              <w:widowControl/>
              <w:spacing w:line="375" w:lineRule="atLeast"/>
              <w:jc w:val="left"/>
              <w:rPr>
                <w:rFonts w:ascii="宋体" w:hAnsi="宋体" w:eastAsia="宋体" w:cs="宋体"/>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注：本表反映部门本年度国有资本经营预算财政拨款支出情况。</w:t>
            </w:r>
          </w:p>
          <w:p>
            <w:pPr>
              <w:widowControl/>
              <w:spacing w:line="375" w:lineRule="atLeast"/>
              <w:jc w:val="left"/>
              <w:rPr>
                <w:rFonts w:ascii="宋体" w:hAnsi="宋体" w:eastAsia="宋体" w:cs="宋体"/>
                <w:b w:val="0"/>
                <w:bCs w:val="0"/>
                <w:i w:val="0"/>
                <w:iCs w:val="0"/>
                <w:smallCaps w:val="0"/>
                <w:color w:val="000000"/>
                <w:kern w:val="0"/>
                <w:sz w:val="28"/>
                <w:szCs w:val="28"/>
              </w:rPr>
            </w:pPr>
          </w:p>
          <w:p>
            <w:pPr>
              <w:widowControl/>
              <w:spacing w:line="375" w:lineRule="atLeast"/>
              <w:jc w:val="left"/>
              <w:rPr>
                <w:rFonts w:ascii="宋体" w:hAnsi="宋体" w:eastAsia="宋体" w:cs="宋体"/>
                <w:b w:val="0"/>
                <w:bCs w:val="0"/>
                <w:i w:val="0"/>
                <w:iCs w:val="0"/>
                <w:smallCaps w:val="0"/>
                <w:color w:val="000000"/>
                <w:kern w:val="0"/>
                <w:sz w:val="28"/>
                <w:szCs w:val="28"/>
              </w:rPr>
            </w:pPr>
          </w:p>
        </w:tc>
      </w:tr>
    </w:tbl>
    <w:p>
      <w:pPr>
        <w:pStyle w:val="5"/>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九、国有资本经营预算财政拨款支出决算表</w:t>
      </w:r>
      <w:bookmarkEnd w:id="57"/>
      <w:bookmarkEnd w:id="58"/>
      <w:bookmarkEnd w:id="59"/>
      <w:bookmarkEnd w:id="60"/>
    </w:p>
    <w:p>
      <w:pPr>
        <w:widowControl/>
        <w:ind w:firstLine="640" w:firstLineChars="200"/>
        <w:jc w:val="left"/>
        <w:rPr>
          <w:rFonts w:hint="eastAsia" w:ascii="宋体" w:hAnsi="宋体" w:cs="宋体"/>
          <w:spacing w:val="0"/>
          <w:kern w:val="0"/>
          <w:sz w:val="32"/>
          <w:szCs w:val="32"/>
          <w:lang w:val="en-US" w:eastAsia="zh-CN"/>
        </w:rPr>
      </w:pPr>
      <w:r>
        <w:rPr>
          <w:rFonts w:hint="eastAsia" w:ascii="宋体" w:hAnsi="宋体" w:cs="宋体"/>
          <w:spacing w:val="0"/>
          <w:kern w:val="0"/>
          <w:sz w:val="32"/>
          <w:szCs w:val="32"/>
          <w:lang w:val="en-US" w:eastAsia="zh-CN"/>
        </w:rPr>
        <w:t>本单位2024年度没有使用国有资本经营预算财政拨款安排的经费支出。</w:t>
      </w:r>
    </w:p>
    <w:p>
      <w:pPr>
        <w:pStyle w:val="28"/>
        <w:widowControl/>
        <w:spacing w:before="240" w:after="240"/>
        <w:jc w:val="left"/>
        <w:rPr>
          <w:rFonts w:ascii="Times New Roman" w:hAnsi="Times New Roman" w:eastAsia="Times New Roman" w:cs="Times New Roman"/>
          <w:kern w:val="0"/>
          <w:sz w:val="24"/>
        </w:rPr>
        <w:sectPr>
          <w:footerReference r:id="rId9" w:type="default"/>
          <w:pgSz w:w="11906" w:h="16383"/>
          <w:pgMar w:top="1800" w:right="1440" w:bottom="1800" w:left="1440" w:header="720" w:footer="720" w:gutter="0"/>
          <w:cols w:space="720" w:num="1"/>
        </w:sectPr>
      </w:pPr>
    </w:p>
    <w:p>
      <w:pPr>
        <w:pStyle w:val="28"/>
        <w:widowControl/>
        <w:spacing w:before="240" w:after="24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bookmarkStart w:id="61" w:name="_Toc256000109"/>
      <w:bookmarkStart w:id="62" w:name="_Toc256000016"/>
      <w:bookmarkStart w:id="63" w:name="_Toc256000047"/>
      <w:bookmarkStart w:id="64" w:name="_Toc256000078"/>
      <w:r>
        <w:rPr>
          <w:rFonts w:ascii="黑体" w:hAnsi="黑体" w:eastAsia="黑体" w:cs="黑体"/>
          <w:b/>
          <w:spacing w:val="0"/>
          <w:sz w:val="56"/>
          <w:szCs w:val="56"/>
        </w:rPr>
        <w:t>第三部分</w:t>
      </w:r>
      <w:bookmarkEnd w:id="61"/>
      <w:bookmarkEnd w:id="62"/>
      <w:bookmarkEnd w:id="63"/>
      <w:bookmarkEnd w:id="64"/>
      <w:r>
        <w:rPr>
          <w:rFonts w:ascii="宋体" w:hAnsi="宋体" w:eastAsia="宋体" w:cs="宋体"/>
          <w:b/>
          <w:spacing w:val="0"/>
          <w:sz w:val="56"/>
          <w:szCs w:val="56"/>
        </w:rPr>
        <w:t> </w:t>
      </w:r>
      <w:bookmarkStart w:id="65" w:name="_Toc256000048"/>
      <w:bookmarkStart w:id="66" w:name="_Toc256000017"/>
      <w:bookmarkStart w:id="67" w:name="_Toc256000079"/>
      <w:bookmarkStart w:id="68" w:name="_Toc256000110"/>
      <w:r>
        <w:rPr>
          <w:rFonts w:ascii="黑体" w:hAnsi="黑体" w:eastAsia="黑体" w:cs="黑体"/>
          <w:b/>
          <w:spacing w:val="0"/>
          <w:sz w:val="56"/>
          <w:szCs w:val="56"/>
        </w:rPr>
        <w:t>2024年度决算情况说明</w:t>
      </w:r>
      <w:bookmarkEnd w:id="65"/>
      <w:bookmarkEnd w:id="66"/>
      <w:bookmarkEnd w:id="67"/>
      <w:bookmarkEnd w:id="68"/>
    </w:p>
    <w:p>
      <w:pPr>
        <w:pStyle w:val="4"/>
      </w:pPr>
    </w:p>
    <w:p>
      <w:pPr>
        <w:pStyle w:val="5"/>
        <w:keepNext w:val="0"/>
        <w:keepLines w:val="0"/>
        <w:pageBreakBefore w:val="0"/>
        <w:kinsoku/>
        <w:wordWrap/>
        <w:overflowPunct/>
        <w:topLinePunct w:val="0"/>
        <w:autoSpaceDE/>
        <w:autoSpaceDN/>
        <w:bidi w:val="0"/>
        <w:adjustRightInd/>
        <w:snapToGrid/>
        <w:spacing w:before="100" w:after="100" w:line="600" w:lineRule="exact"/>
        <w:ind w:left="0" w:leftChars="0" w:right="0" w:firstLine="643" w:firstLineChars="200"/>
        <w:jc w:val="both"/>
        <w:textAlignment w:val="auto"/>
        <w:rPr>
          <w:rFonts w:ascii="Times New Roman" w:hAnsi="Times New Roman" w:eastAsia="Times New Roman" w:cs="Times New Roman"/>
          <w:b/>
          <w:bCs/>
          <w:kern w:val="0"/>
          <w:sz w:val="28"/>
          <w:szCs w:val="28"/>
        </w:rPr>
      </w:pPr>
      <w:bookmarkStart w:id="69" w:name="_Toc256000111"/>
      <w:bookmarkStart w:id="70" w:name="_Toc256000080"/>
      <w:bookmarkStart w:id="71" w:name="_Toc256000018"/>
      <w:bookmarkStart w:id="72" w:name="_Toc256000049"/>
      <w:r>
        <w:rPr>
          <w:rFonts w:ascii="黑体" w:hAnsi="黑体" w:eastAsia="黑体" w:cs="黑体"/>
          <w:b/>
          <w:spacing w:val="0"/>
        </w:rPr>
        <w:t>一、收入支出决算总体情况说明</w:t>
      </w:r>
      <w:bookmarkEnd w:id="69"/>
      <w:bookmarkEnd w:id="70"/>
      <w:bookmarkEnd w:id="71"/>
      <w:bookmarkEnd w:id="72"/>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cs="仿宋"/>
          <w:spacing w:val="0"/>
          <w:kern w:val="0"/>
          <w:sz w:val="32"/>
          <w:szCs w:val="32"/>
          <w:lang w:val="en-US" w:eastAsia="zh-CN" w:bidi="ar-SA"/>
        </w:rPr>
      </w:pPr>
      <w:r>
        <w:rPr>
          <w:rFonts w:ascii="仿宋" w:hAnsi="仿宋" w:eastAsia="仿宋" w:cs="仿宋"/>
          <w:spacing w:val="0"/>
          <w:kern w:val="0"/>
          <w:sz w:val="32"/>
          <w:szCs w:val="32"/>
          <w:lang w:val="en-US" w:eastAsia="zh-CN" w:bidi="ar-SA"/>
        </w:rPr>
        <w:t>2024年度本单位收入总计4169.81万元，支出总计4169.81万元，与上年决算数相比，各增加632.91万元，各增长17.89%。主要</w:t>
      </w:r>
      <w:r>
        <w:rPr>
          <w:rFonts w:hint="eastAsia" w:ascii="仿宋" w:hAnsi="仿宋" w:eastAsia="仿宋" w:cs="仿宋"/>
          <w:spacing w:val="0"/>
          <w:kern w:val="0"/>
          <w:sz w:val="32"/>
          <w:szCs w:val="32"/>
          <w:lang w:val="en-US" w:eastAsia="zh-CN" w:bidi="ar-SA"/>
        </w:rPr>
        <w:t>原因是</w:t>
      </w:r>
      <w:r>
        <w:rPr>
          <w:rFonts w:ascii="仿宋" w:hAnsi="仿宋" w:eastAsia="仿宋" w:cs="仿宋"/>
          <w:spacing w:val="0"/>
          <w:kern w:val="0"/>
          <w:sz w:val="32"/>
          <w:szCs w:val="32"/>
          <w:lang w:val="en-US" w:eastAsia="zh-CN" w:bidi="ar-SA"/>
        </w:rPr>
        <w:t>学生数、教师数增加。</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2024年度收入4169.81万元，比上年决算数</w:t>
      </w:r>
      <w:r>
        <w:rPr>
          <w:rFonts w:ascii="仿宋" w:hAnsi="仿宋" w:eastAsia="仿宋" w:cs="仿宋"/>
          <w:kern w:val="0"/>
          <w:sz w:val="32"/>
          <w:szCs w:val="32"/>
        </w:rPr>
        <w:t>增加</w:t>
      </w:r>
      <w:r>
        <w:rPr>
          <w:rFonts w:ascii="仿宋" w:hAnsi="仿宋" w:eastAsia="仿宋" w:cs="仿宋"/>
          <w:spacing w:val="0"/>
          <w:kern w:val="0"/>
          <w:sz w:val="32"/>
          <w:szCs w:val="32"/>
        </w:rPr>
        <w:t>632.91万元，</w:t>
      </w:r>
      <w:r>
        <w:rPr>
          <w:rFonts w:ascii="仿宋" w:hAnsi="仿宋" w:eastAsia="仿宋" w:cs="仿宋"/>
          <w:kern w:val="0"/>
          <w:sz w:val="32"/>
          <w:szCs w:val="32"/>
        </w:rPr>
        <w:t>增长</w:t>
      </w:r>
      <w:r>
        <w:rPr>
          <w:rFonts w:ascii="仿宋" w:hAnsi="仿宋" w:eastAsia="仿宋" w:cs="仿宋"/>
          <w:spacing w:val="0"/>
          <w:kern w:val="0"/>
          <w:sz w:val="32"/>
          <w:szCs w:val="32"/>
        </w:rPr>
        <w:t>17.89%，具体情况如下：</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1.一般公共预算财政拨款收入4169.81万元。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2024年度支出4169.81万元，比上年决算数增加632.91万元，增长17.89%，具体情况如下：</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1.基本支出3716.63万元。其中，人员支出3325.78万元，公用支出390.84万元。</w:t>
      </w:r>
    </w:p>
    <w:p>
      <w:pPr>
        <w:pStyle w:val="28"/>
        <w:keepNext w:val="0"/>
        <w:keepLines w:val="0"/>
        <w:pageBreakBefore w:val="0"/>
        <w:widowControl/>
        <w:kinsoku/>
        <w:wordWrap/>
        <w:overflowPunct/>
        <w:topLinePunct w:val="0"/>
        <w:autoSpaceDE/>
        <w:autoSpaceDN/>
        <w:bidi w:val="0"/>
        <w:adjustRightInd/>
        <w:snapToGrid/>
        <w:spacing w:before="240" w:after="24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2.项目支出453.18万元。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73" w:name="_Toc256000050"/>
      <w:bookmarkStart w:id="74" w:name="_Toc256000081"/>
      <w:bookmarkStart w:id="75" w:name="_Toc256000112"/>
      <w:bookmarkStart w:id="76" w:name="_Toc256000019"/>
      <w:r>
        <w:rPr>
          <w:rFonts w:ascii="黑体" w:hAnsi="黑体" w:eastAsia="黑体" w:cs="黑体"/>
          <w:b/>
          <w:spacing w:val="0"/>
        </w:rPr>
        <w:t>二、财政拨款收入支出决算总体情况说明</w:t>
      </w:r>
      <w:bookmarkEnd w:id="73"/>
      <w:bookmarkEnd w:id="74"/>
      <w:bookmarkEnd w:id="75"/>
      <w:bookmarkEnd w:id="76"/>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2024年度财政拨款收入总计4169.81万元，支出总计4169.81万元，与上年决算数相比，各增加632.91万元，增长17.89%，主要</w:t>
      </w:r>
      <w:r>
        <w:rPr>
          <w:rFonts w:hint="eastAsia" w:ascii="仿宋" w:hAnsi="仿宋" w:eastAsia="仿宋" w:cs="仿宋"/>
          <w:spacing w:val="0"/>
          <w:kern w:val="0"/>
          <w:sz w:val="32"/>
          <w:szCs w:val="32"/>
        </w:rPr>
        <w:t>原因是</w:t>
      </w:r>
      <w:r>
        <w:rPr>
          <w:rFonts w:ascii="仿宋" w:hAnsi="仿宋" w:eastAsia="仿宋" w:cs="仿宋"/>
          <w:spacing w:val="0"/>
          <w:kern w:val="0"/>
          <w:sz w:val="32"/>
          <w:szCs w:val="32"/>
          <w:lang w:val="en-US" w:eastAsia="zh-CN" w:bidi="ar-SA"/>
        </w:rPr>
        <w:t>学生数、教师数增加。</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77" w:name="_Toc256000113"/>
      <w:bookmarkStart w:id="78" w:name="_Toc256000051"/>
      <w:bookmarkStart w:id="79" w:name="_Toc256000020"/>
      <w:bookmarkStart w:id="80" w:name="_Toc256000082"/>
      <w:r>
        <w:rPr>
          <w:rFonts w:ascii="黑体" w:hAnsi="黑体" w:eastAsia="黑体" w:cs="黑体"/>
          <w:b/>
          <w:spacing w:val="0"/>
        </w:rPr>
        <w:t>三、一般公共预算拨款支出决算情况说明</w:t>
      </w:r>
      <w:bookmarkEnd w:id="77"/>
      <w:bookmarkEnd w:id="78"/>
      <w:bookmarkEnd w:id="79"/>
      <w:bookmarkEnd w:id="80"/>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2024年一般公共预算支出4169.81万元，比上年决算数增加632.91万元，增长17.89%，具体情况如下(按</w:t>
      </w:r>
      <w:r>
        <w:rPr>
          <w:rStyle w:val="30"/>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cs="仿宋"/>
          <w:spacing w:val="0"/>
          <w:kern w:val="0"/>
          <w:sz w:val="32"/>
          <w:szCs w:val="32"/>
          <w:highlight w:val="yellow"/>
          <w:lang w:val="en-US" w:eastAsia="zh-CN" w:bidi="ar-SA"/>
        </w:rPr>
      </w:pPr>
      <w:r>
        <w:rPr>
          <w:rFonts w:ascii="仿宋" w:hAnsi="仿宋" w:eastAsia="仿宋" w:cs="仿宋"/>
          <w:spacing w:val="0"/>
          <w:kern w:val="0"/>
          <w:sz w:val="32"/>
          <w:szCs w:val="32"/>
        </w:rPr>
        <w:t>（一）2050199 其他教育管理事务支出1.30万元，较上年决算数增加1.30万元，增长100%。</w:t>
      </w:r>
      <w:r>
        <w:rPr>
          <w:rFonts w:ascii="仿宋" w:hAnsi="仿宋" w:eastAsia="仿宋" w:cs="仿宋"/>
          <w:spacing w:val="0"/>
          <w:kern w:val="0"/>
          <w:sz w:val="32"/>
          <w:szCs w:val="32"/>
          <w:highlight w:val="none"/>
        </w:rPr>
        <w:t>主要原因是</w:t>
      </w:r>
      <w:r>
        <w:rPr>
          <w:rFonts w:hint="eastAsia" w:ascii="仿宋" w:hAnsi="仿宋" w:eastAsia="仿宋" w:cs="仿宋"/>
          <w:spacing w:val="0"/>
          <w:kern w:val="0"/>
          <w:sz w:val="32"/>
          <w:szCs w:val="32"/>
          <w:highlight w:val="none"/>
          <w:lang w:val="en-US" w:eastAsia="zh-CN"/>
        </w:rPr>
        <w:t>市名师工作室经费收入增加。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（二）2050202 小学教育1,782.71万元，较上年决算数增加142.89万元，增长8.71%。主要原因</w:t>
      </w:r>
      <w:r>
        <w:rPr>
          <w:rFonts w:hint="eastAsia" w:ascii="仿宋" w:hAnsi="仿宋" w:eastAsia="仿宋" w:cs="仿宋"/>
          <w:spacing w:val="0"/>
          <w:kern w:val="0"/>
          <w:sz w:val="32"/>
          <w:szCs w:val="32"/>
          <w:lang w:val="en-US" w:eastAsia="zh-CN"/>
        </w:rPr>
        <w:t>是</w:t>
      </w:r>
      <w:r>
        <w:rPr>
          <w:rFonts w:ascii="仿宋" w:hAnsi="仿宋" w:eastAsia="仿宋" w:cs="仿宋"/>
          <w:spacing w:val="0"/>
          <w:kern w:val="0"/>
          <w:sz w:val="32"/>
          <w:szCs w:val="32"/>
          <w:lang w:val="en-US" w:eastAsia="zh-CN" w:bidi="ar-SA"/>
        </w:rPr>
        <w:t>学生数、教师数增加。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（三）2050203 初中教育1,306.39万元，较上年决算数增加134.27万元，增长11.46%。主要原因是</w:t>
      </w:r>
      <w:r>
        <w:rPr>
          <w:rFonts w:ascii="仿宋" w:hAnsi="仿宋" w:eastAsia="仿宋" w:cs="仿宋"/>
          <w:spacing w:val="0"/>
          <w:kern w:val="0"/>
          <w:sz w:val="32"/>
          <w:szCs w:val="32"/>
          <w:lang w:val="en-US" w:eastAsia="zh-CN" w:bidi="ar-SA"/>
        </w:rPr>
        <w:t>学生数、教师数增加。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（四）2050299 其他普通教育支出240.82万元，较上年决算数减少0.75万元，下降0.31%。</w:t>
      </w:r>
      <w:r>
        <w:rPr>
          <w:rFonts w:ascii="仿宋" w:hAnsi="仿宋" w:eastAsia="仿宋" w:cs="仿宋"/>
          <w:spacing w:val="0"/>
          <w:kern w:val="0"/>
          <w:sz w:val="32"/>
          <w:szCs w:val="32"/>
          <w:highlight w:val="none"/>
        </w:rPr>
        <w:t>主要原因是其他普通教育</w:t>
      </w:r>
      <w:r>
        <w:rPr>
          <w:rFonts w:hint="eastAsia" w:ascii="仿宋" w:hAnsi="仿宋" w:eastAsia="仿宋" w:cs="仿宋"/>
          <w:spacing w:val="0"/>
          <w:kern w:val="0"/>
          <w:sz w:val="32"/>
          <w:szCs w:val="32"/>
          <w:highlight w:val="none"/>
          <w:lang w:val="en-US" w:eastAsia="zh-CN"/>
        </w:rPr>
        <w:t>收入减少</w:t>
      </w:r>
      <w:r>
        <w:rPr>
          <w:rFonts w:ascii="仿宋" w:hAnsi="仿宋" w:eastAsia="仿宋" w:cs="仿宋"/>
          <w:spacing w:val="0"/>
          <w:kern w:val="0"/>
          <w:sz w:val="32"/>
          <w:szCs w:val="32"/>
          <w:highlight w:val="none"/>
          <w:lang w:val="en-US" w:eastAsia="zh-CN" w:bidi="ar-SA"/>
        </w:rPr>
        <w:t>。</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cs="仿宋"/>
          <w:spacing w:val="0"/>
          <w:kern w:val="0"/>
          <w:sz w:val="32"/>
          <w:szCs w:val="32"/>
          <w:lang w:val="en-US" w:eastAsia="zh-CN" w:bidi="ar-SA"/>
        </w:rPr>
      </w:pPr>
      <w:r>
        <w:rPr>
          <w:rFonts w:ascii="仿宋" w:hAnsi="仿宋" w:eastAsia="仿宋" w:cs="仿宋"/>
          <w:spacing w:val="0"/>
          <w:kern w:val="0"/>
          <w:sz w:val="32"/>
          <w:szCs w:val="32"/>
        </w:rPr>
        <w:t>（五）2050999 其他教育费附加安排的支出299.62万元，较上年决算数增加299.62万元，增长100%。主要原因是</w:t>
      </w:r>
      <w:r>
        <w:rPr>
          <w:rFonts w:hint="eastAsia" w:ascii="仿宋" w:hAnsi="仿宋" w:eastAsia="仿宋" w:cs="仿宋"/>
          <w:spacing w:val="0"/>
          <w:kern w:val="0"/>
          <w:sz w:val="32"/>
          <w:szCs w:val="32"/>
          <w:lang w:val="en-US" w:eastAsia="zh-CN"/>
        </w:rPr>
        <w:t>改善学校办学条件，所以教育附加费增加。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（六）2059999 其他教育支出1.12万元，较上年决算数增加0.16万元，增长16.67%。主要原因是其他教育</w:t>
      </w:r>
      <w:r>
        <w:rPr>
          <w:rFonts w:hint="eastAsia" w:ascii="仿宋" w:hAnsi="仿宋" w:eastAsia="仿宋" w:cs="仿宋"/>
          <w:spacing w:val="0"/>
          <w:kern w:val="0"/>
          <w:sz w:val="32"/>
          <w:szCs w:val="32"/>
          <w:lang w:val="en-US" w:eastAsia="zh-CN"/>
        </w:rPr>
        <w:t>收入</w:t>
      </w:r>
      <w:r>
        <w:rPr>
          <w:rFonts w:ascii="仿宋" w:hAnsi="仿宋" w:eastAsia="仿宋" w:cs="仿宋"/>
          <w:spacing w:val="0"/>
          <w:kern w:val="0"/>
          <w:sz w:val="32"/>
          <w:szCs w:val="32"/>
          <w:lang w:val="en-US" w:eastAsia="zh-CN" w:bidi="ar-SA"/>
        </w:rPr>
        <w:t>增加。</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（七）2080505 机关事业单位基本养老保险缴费支出244.77万元，较上年决算数增加20.06万元，增长8.93%。主要原因是</w:t>
      </w:r>
      <w:r>
        <w:rPr>
          <w:rFonts w:ascii="仿宋" w:hAnsi="仿宋" w:eastAsia="仿宋" w:cs="仿宋"/>
          <w:spacing w:val="0"/>
          <w:kern w:val="0"/>
          <w:sz w:val="32"/>
          <w:szCs w:val="32"/>
          <w:lang w:val="en-US" w:eastAsia="zh-CN"/>
        </w:rPr>
        <w:t>基数政策性调整和教师数增加。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（八）2080506 机关事业单位职业年金缴费支出122.39万元，较上年决算数增加10.03万元，增长8.93%。主要原因是</w:t>
      </w:r>
      <w:r>
        <w:rPr>
          <w:rFonts w:ascii="仿宋" w:hAnsi="仿宋" w:eastAsia="仿宋" w:cs="仿宋"/>
          <w:spacing w:val="0"/>
          <w:kern w:val="0"/>
          <w:sz w:val="32"/>
          <w:szCs w:val="32"/>
          <w:lang w:val="en-US" w:eastAsia="zh-CN"/>
        </w:rPr>
        <w:t>基数政策性调整和教师数增加。</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pPr>
      <w:r>
        <w:rPr>
          <w:rFonts w:ascii="仿宋" w:hAnsi="仿宋" w:eastAsia="仿宋" w:cs="仿宋"/>
          <w:spacing w:val="0"/>
          <w:kern w:val="0"/>
          <w:sz w:val="32"/>
          <w:szCs w:val="32"/>
        </w:rPr>
        <w:t>（九）2101102 事业单位医疗104.79万元，较上年决算数增加8.59万元，增长8.93%。主要原因是</w:t>
      </w:r>
      <w:r>
        <w:rPr>
          <w:rFonts w:hint="eastAsia" w:ascii="仿宋" w:hAnsi="仿宋" w:eastAsia="仿宋" w:cs="仿宋"/>
          <w:spacing w:val="0"/>
          <w:kern w:val="0"/>
          <w:sz w:val="32"/>
          <w:szCs w:val="32"/>
          <w:lang w:val="en-US" w:eastAsia="zh-CN"/>
        </w:rPr>
        <w:t>基数政策性调整和教师数增加。</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（十）2101199 其他行政事业单位医疗支出53.54万元，较上年决算数增加4.39万元，增长8.93%。主要原因是</w:t>
      </w:r>
      <w:r>
        <w:rPr>
          <w:rFonts w:ascii="仿宋" w:hAnsi="仿宋" w:eastAsia="仿宋" w:cs="仿宋"/>
          <w:spacing w:val="0"/>
          <w:kern w:val="0"/>
          <w:sz w:val="32"/>
          <w:szCs w:val="32"/>
          <w:lang w:val="en-US" w:eastAsia="zh-CN"/>
        </w:rPr>
        <w:t>基数政策性调整和教师数增加。</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（十一）2210203 购房补贴12.35万元，较上年决算数增加12.35万元，增长100%。主要原因是</w:t>
      </w:r>
      <w:r>
        <w:rPr>
          <w:rFonts w:hint="eastAsia" w:ascii="仿宋" w:hAnsi="仿宋" w:eastAsia="仿宋" w:cs="仿宋"/>
          <w:spacing w:val="0"/>
          <w:kern w:val="0"/>
          <w:sz w:val="32"/>
          <w:szCs w:val="32"/>
          <w:lang w:val="en-US" w:eastAsia="zh-CN"/>
        </w:rPr>
        <w:t>教师申请</w:t>
      </w:r>
      <w:r>
        <w:rPr>
          <w:rFonts w:ascii="仿宋" w:hAnsi="仿宋" w:eastAsia="仿宋" w:cs="仿宋"/>
          <w:spacing w:val="0"/>
          <w:kern w:val="0"/>
          <w:sz w:val="32"/>
          <w:szCs w:val="32"/>
        </w:rPr>
        <w:t>购房补贴</w:t>
      </w:r>
      <w:r>
        <w:rPr>
          <w:rFonts w:hint="eastAsia" w:ascii="仿宋" w:hAnsi="仿宋" w:eastAsia="仿宋" w:cs="仿宋"/>
          <w:spacing w:val="0"/>
          <w:kern w:val="0"/>
          <w:sz w:val="32"/>
          <w:szCs w:val="32"/>
          <w:lang w:val="en-US" w:eastAsia="zh-CN"/>
        </w:rPr>
        <w:t>人数增加。</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81" w:name="_Toc256000083"/>
      <w:bookmarkStart w:id="82" w:name="_Toc256000114"/>
      <w:bookmarkStart w:id="83" w:name="_Toc256000052"/>
      <w:bookmarkStart w:id="84" w:name="_Toc256000021"/>
      <w:r>
        <w:rPr>
          <w:rFonts w:ascii="黑体" w:hAnsi="黑体" w:eastAsia="黑体" w:cs="黑体"/>
          <w:b/>
          <w:spacing w:val="0"/>
        </w:rPr>
        <w:t>四、政府性基金预算财政拨款支出决算情况说明</w:t>
      </w:r>
      <w:bookmarkEnd w:id="81"/>
      <w:bookmarkEnd w:id="82"/>
      <w:bookmarkEnd w:id="83"/>
      <w:bookmarkEnd w:id="84"/>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2024年度政府性基金支出0万元，比上年决算数增加0万元，增长0%</w:t>
      </w:r>
      <w:r>
        <w:rPr>
          <w:rFonts w:hint="eastAsia" w:ascii="仿宋" w:hAnsi="仿宋" w:eastAsia="仿宋" w:cs="仿宋"/>
          <w:spacing w:val="0"/>
          <w:kern w:val="0"/>
          <w:sz w:val="32"/>
          <w:szCs w:val="32"/>
          <w:lang w:eastAsia="zh-CN"/>
        </w:rPr>
        <w:t>。</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楷体" w:hAnsi="楷体" w:eastAsia="楷体" w:cs="楷体"/>
          <w:spacing w:val="0"/>
          <w:kern w:val="0"/>
          <w:sz w:val="32"/>
          <w:szCs w:val="32"/>
        </w:rPr>
        <w:t>本单位2024年度没有使用政府性基金预算拨款安排的支出。</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85" w:name="_Toc256000022"/>
      <w:bookmarkStart w:id="86" w:name="_Toc256000053"/>
      <w:bookmarkStart w:id="87" w:name="_Toc256000115"/>
      <w:bookmarkStart w:id="88" w:name="_Toc256000084"/>
      <w:r>
        <w:rPr>
          <w:rFonts w:ascii="黑体" w:hAnsi="黑体" w:eastAsia="黑体" w:cs="黑体"/>
          <w:b/>
          <w:spacing w:val="0"/>
        </w:rPr>
        <w:t>五、国有资本经营预算财政拨款支出决算情况说明</w:t>
      </w:r>
      <w:bookmarkEnd w:id="85"/>
      <w:bookmarkEnd w:id="86"/>
      <w:bookmarkEnd w:id="87"/>
      <w:bookmarkEnd w:id="88"/>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楷体" w:hAnsi="楷体" w:eastAsia="楷体" w:cs="楷体"/>
          <w:spacing w:val="0"/>
          <w:kern w:val="0"/>
          <w:sz w:val="32"/>
          <w:szCs w:val="32"/>
        </w:rPr>
        <w:t>本单位2024年度没有使用国有资本经营预算财政拨款安排的支出。</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89" w:name="_Toc256000023"/>
      <w:bookmarkStart w:id="90" w:name="_Toc256000054"/>
      <w:bookmarkStart w:id="91" w:name="_Toc256000085"/>
      <w:bookmarkStart w:id="92" w:name="_Toc256000116"/>
      <w:r>
        <w:rPr>
          <w:rFonts w:ascii="黑体" w:hAnsi="黑体" w:eastAsia="黑体" w:cs="黑体"/>
          <w:b/>
          <w:spacing w:val="0"/>
        </w:rPr>
        <w:t>六、一般公共预算财政拨款基本支出决算情况说明</w:t>
      </w:r>
      <w:bookmarkEnd w:id="89"/>
      <w:bookmarkEnd w:id="90"/>
      <w:bookmarkEnd w:id="91"/>
      <w:bookmarkEnd w:id="92"/>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2024年度一般公共预算财政拨款基本支出3716.63万元，其中：</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3325.78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用经费390.84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93" w:name="_Toc256000055"/>
      <w:bookmarkStart w:id="94" w:name="_Toc256000086"/>
      <w:bookmarkStart w:id="95" w:name="_Toc256000024"/>
      <w:bookmarkStart w:id="96" w:name="_Toc256000117"/>
      <w:r>
        <w:rPr>
          <w:rFonts w:ascii="黑体" w:hAnsi="黑体" w:eastAsia="黑体" w:cs="黑体"/>
          <w:b/>
          <w:spacing w:val="0"/>
        </w:rPr>
        <w:t>七、一般公共预算拨款“三公”经费支出决算情况说明</w:t>
      </w:r>
      <w:bookmarkEnd w:id="93"/>
      <w:bookmarkEnd w:id="94"/>
      <w:bookmarkEnd w:id="95"/>
      <w:bookmarkEnd w:id="96"/>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2024年度一般公共预算拨款“三公”经费支出0万元，完成全年预算的 0%；较上年增加0万元，增长0%。主要原因是</w:t>
      </w:r>
      <w:r>
        <w:rPr>
          <w:rFonts w:hint="eastAsia" w:ascii="仿宋" w:hAnsi="仿宋" w:eastAsia="仿宋" w:cs="仿宋"/>
          <w:spacing w:val="0"/>
          <w:kern w:val="0"/>
          <w:sz w:val="32"/>
          <w:szCs w:val="32"/>
          <w:lang w:val="en-US" w:eastAsia="zh-CN"/>
        </w:rPr>
        <w:t>本单位</w:t>
      </w:r>
      <w:r>
        <w:rPr>
          <w:rFonts w:ascii="仿宋" w:hAnsi="仿宋" w:eastAsia="仿宋" w:cs="仿宋"/>
          <w:spacing w:val="0"/>
          <w:kern w:val="0"/>
          <w:sz w:val="32"/>
          <w:szCs w:val="32"/>
          <w:lang w:val="en-US" w:eastAsia="zh-CN"/>
        </w:rPr>
        <w:t>没有 “三公”经费支出。</w:t>
      </w:r>
      <w:r>
        <w:rPr>
          <w:rFonts w:ascii="仿宋" w:hAnsi="仿宋" w:eastAsia="仿宋" w:cs="仿宋"/>
          <w:spacing w:val="0"/>
          <w:kern w:val="0"/>
          <w:sz w:val="32"/>
          <w:szCs w:val="32"/>
        </w:rPr>
        <w:t>具体情况如下：</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pPr>
      <w:r>
        <w:rPr>
          <w:rFonts w:ascii="仿宋" w:hAnsi="仿宋" w:eastAsia="仿宋" w:cs="仿宋"/>
          <w:spacing w:val="0"/>
          <w:kern w:val="0"/>
          <w:sz w:val="32"/>
          <w:szCs w:val="32"/>
        </w:rPr>
        <w:t>（一）因公出国（境）费支出0万元，完成全年预算的 0%；较上年增加0万元，增长0%。全年安排本单位组织的出国团组0 个，参加其他单位出国团组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个；全年因公出国（境）累计0人次。主要是</w:t>
      </w:r>
      <w:r>
        <w:rPr>
          <w:rFonts w:ascii="仿宋" w:hAnsi="仿宋" w:eastAsia="仿宋" w:cs="仿宋"/>
          <w:spacing w:val="0"/>
          <w:kern w:val="0"/>
          <w:sz w:val="32"/>
          <w:szCs w:val="32"/>
          <w:lang w:val="en-US" w:eastAsia="zh-CN"/>
        </w:rPr>
        <w:t>本单位</w:t>
      </w:r>
      <w:r>
        <w:rPr>
          <w:rFonts w:hint="eastAsia" w:ascii="仿宋" w:hAnsi="仿宋" w:eastAsia="仿宋" w:cs="仿宋"/>
          <w:spacing w:val="0"/>
          <w:kern w:val="0"/>
          <w:sz w:val="32"/>
          <w:szCs w:val="32"/>
          <w:lang w:val="en-US" w:eastAsia="zh-CN"/>
        </w:rPr>
        <w:t>没有组织出国团组及参加其他部门出国团组。</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（二）公务用车购置及运行费支出0万元，完成全年预算的0%；较上年增加0万元，增长0%。其中：</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pPr>
      <w:r>
        <w:rPr>
          <w:rFonts w:ascii="仿宋" w:hAnsi="仿宋" w:eastAsia="仿宋" w:cs="仿宋"/>
          <w:spacing w:val="0"/>
          <w:kern w:val="0"/>
          <w:sz w:val="32"/>
          <w:szCs w:val="32"/>
        </w:rPr>
        <w:t>公务用车购置费支出0万元，完成全年预算的0%；较上年增加0万元，增长0%。2024年公务用车购置0辆，主要是</w:t>
      </w:r>
      <w:r>
        <w:rPr>
          <w:rFonts w:ascii="仿宋" w:hAnsi="仿宋" w:eastAsia="仿宋" w:cs="仿宋"/>
          <w:spacing w:val="0"/>
          <w:kern w:val="0"/>
          <w:sz w:val="32"/>
          <w:szCs w:val="32"/>
          <w:lang w:val="en-US" w:eastAsia="zh-CN"/>
        </w:rPr>
        <w:t>本单位没有购置公务用车。</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公务用车运行费支出0万元，完成全年预算的0%；较上年增加0万元，增长0%。主要是</w:t>
      </w:r>
      <w:r>
        <w:rPr>
          <w:rFonts w:hint="eastAsia" w:ascii="仿宋" w:hAnsi="仿宋" w:eastAsia="仿宋" w:cs="仿宋"/>
          <w:spacing w:val="0"/>
          <w:kern w:val="0"/>
          <w:sz w:val="32"/>
          <w:szCs w:val="32"/>
          <w:lang w:val="en-US" w:eastAsia="zh-CN"/>
        </w:rPr>
        <w:t>本单位无公务用车运行费用支出。</w:t>
      </w:r>
      <w:r>
        <w:rPr>
          <w:rFonts w:ascii="仿宋" w:hAnsi="仿宋" w:eastAsia="仿宋" w:cs="仿宋"/>
          <w:spacing w:val="0"/>
          <w:kern w:val="0"/>
          <w:sz w:val="32"/>
          <w:szCs w:val="32"/>
        </w:rPr>
        <w:t>截至2024年12月31日，本单位公务用车保有量为0 辆。</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pPr>
      <w:r>
        <w:rPr>
          <w:rFonts w:ascii="仿宋" w:hAnsi="仿宋" w:eastAsia="仿宋" w:cs="仿宋"/>
          <w:spacing w:val="0"/>
          <w:kern w:val="0"/>
          <w:sz w:val="32"/>
          <w:szCs w:val="32"/>
        </w:rPr>
        <w:t>（三）公务接待费支出0万元，完成全年预算的 0%；较上年增加0万元，增长0%。主要是</w:t>
      </w:r>
      <w:r>
        <w:rPr>
          <w:rFonts w:hint="eastAsia" w:ascii="仿宋" w:hAnsi="仿宋" w:eastAsia="仿宋" w:cs="仿宋"/>
          <w:spacing w:val="0"/>
          <w:kern w:val="0"/>
          <w:sz w:val="32"/>
          <w:szCs w:val="32"/>
          <w:lang w:val="en-US" w:eastAsia="zh-CN"/>
        </w:rPr>
        <w:t>本单位没有公务接待活动</w:t>
      </w:r>
      <w:r>
        <w:rPr>
          <w:rFonts w:ascii="仿宋" w:hAnsi="仿宋" w:eastAsia="仿宋" w:cs="仿宋"/>
          <w:spacing w:val="0"/>
          <w:kern w:val="0"/>
          <w:sz w:val="32"/>
          <w:szCs w:val="32"/>
        </w:rPr>
        <w:t>。累计接待0批次、0人次。</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97" w:name="_Toc256000087"/>
      <w:bookmarkStart w:id="98" w:name="_Toc256000118"/>
      <w:bookmarkStart w:id="99" w:name="_Toc256000056"/>
      <w:bookmarkStart w:id="100" w:name="_Toc256000025"/>
      <w:r>
        <w:rPr>
          <w:rFonts w:ascii="黑体" w:hAnsi="黑体" w:eastAsia="黑体" w:cs="黑体"/>
          <w:b/>
          <w:spacing w:val="0"/>
        </w:rPr>
        <w:t>八、预算绩效情况说明</w:t>
      </w:r>
      <w:bookmarkEnd w:id="97"/>
      <w:bookmarkEnd w:id="98"/>
      <w:bookmarkEnd w:id="99"/>
      <w:bookmarkEnd w:id="100"/>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根据预算绩效管理要求，本单位组织对2024年度个项目实施单位自评，分别是等项目，涉及财政拨款资金共计</w:t>
      </w:r>
      <w:r>
        <w:rPr>
          <w:rFonts w:hint="eastAsia" w:ascii="仿宋" w:hAnsi="仿宋" w:eastAsia="仿宋" w:cs="仿宋"/>
          <w:spacing w:val="0"/>
          <w:kern w:val="0"/>
          <w:sz w:val="32"/>
          <w:szCs w:val="32"/>
          <w:lang w:val="en-US" w:eastAsia="zh-CN"/>
        </w:rPr>
        <w:t>1.92</w:t>
      </w:r>
      <w:r>
        <w:rPr>
          <w:rFonts w:ascii="仿宋" w:hAnsi="仿宋" w:eastAsia="仿宋" w:cs="仿宋"/>
          <w:spacing w:val="0"/>
          <w:kern w:val="0"/>
          <w:sz w:val="32"/>
          <w:szCs w:val="32"/>
        </w:rPr>
        <w:t>万元。（《项目支出绩效自评表》详见附件）</w:t>
      </w:r>
    </w:p>
    <w:p>
      <w:pPr>
        <w:pStyle w:val="5"/>
        <w:keepNext w:val="0"/>
        <w:keepLines w:val="0"/>
        <w:pageBreakBefore w:val="0"/>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b/>
          <w:bCs/>
          <w:kern w:val="0"/>
          <w:sz w:val="28"/>
          <w:szCs w:val="28"/>
        </w:rPr>
      </w:pPr>
      <w:bookmarkStart w:id="101" w:name="_Toc256000088"/>
      <w:bookmarkStart w:id="102" w:name="_Toc256000026"/>
      <w:bookmarkStart w:id="103" w:name="_Toc256000119"/>
      <w:bookmarkStart w:id="104" w:name="_Toc256000057"/>
      <w:r>
        <w:rPr>
          <w:rFonts w:ascii="黑体" w:hAnsi="黑体" w:eastAsia="黑体" w:cs="黑体"/>
          <w:b/>
          <w:spacing w:val="0"/>
        </w:rPr>
        <w:t>九、其他重要事项说明</w:t>
      </w:r>
      <w:bookmarkEnd w:id="101"/>
      <w:bookmarkEnd w:id="102"/>
      <w:bookmarkEnd w:id="103"/>
      <w:bookmarkEnd w:id="104"/>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楷体" w:hAnsi="楷体" w:eastAsia="楷体" w:cs="楷体"/>
          <w:spacing w:val="0"/>
          <w:kern w:val="0"/>
          <w:sz w:val="32"/>
          <w:szCs w:val="32"/>
        </w:rPr>
        <w:t>（一）机关运行经费</w:t>
      </w:r>
      <w:r>
        <w:rPr>
          <w:rFonts w:ascii="宋体" w:hAnsi="宋体" w:cs="宋体"/>
          <w:spacing w:val="0"/>
          <w:kern w:val="0"/>
          <w:sz w:val="32"/>
          <w:szCs w:val="32"/>
        </w:rPr>
        <w:t>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pPr>
      <w:r>
        <w:rPr>
          <w:rFonts w:ascii="仿宋" w:hAnsi="仿宋" w:eastAsia="仿宋" w:cs="仿宋"/>
          <w:spacing w:val="0"/>
          <w:kern w:val="0"/>
          <w:sz w:val="32"/>
          <w:szCs w:val="32"/>
        </w:rPr>
        <w:t>2024年度机关运行经费支出0万元，比上年决算数增加0万元，增长0%，主要原因是:</w:t>
      </w:r>
      <w:r>
        <w:rPr>
          <w:rFonts w:ascii="仿宋" w:hAnsi="仿宋" w:eastAsia="仿宋" w:cs="仿宋"/>
          <w:spacing w:val="0"/>
          <w:kern w:val="0"/>
          <w:sz w:val="32"/>
          <w:szCs w:val="32"/>
          <w:lang w:val="en-US" w:eastAsia="zh-CN"/>
        </w:rPr>
        <w:t>本单位为事业单位，没有机关运行经费。</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3" w:firstLineChars="200"/>
        <w:jc w:val="both"/>
        <w:textAlignment w:val="auto"/>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（二）政府采购情况</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楷体" w:hAnsi="楷体" w:eastAsia="楷体" w:cs="楷体"/>
          <w:spacing w:val="0"/>
          <w:kern w:val="0"/>
          <w:sz w:val="32"/>
          <w:szCs w:val="32"/>
        </w:rPr>
        <w:t>本单位2024年度没有政府采购支出。</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right="0" w:firstLine="643" w:firstLineChars="200"/>
        <w:jc w:val="both"/>
        <w:textAlignment w:val="auto"/>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28"/>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r>
        <w:rPr>
          <w:rFonts w:ascii="宋体" w:hAnsi="宋体" w:cs="宋体"/>
          <w:spacing w:val="0"/>
          <w:kern w:val="0"/>
          <w:sz w:val="56"/>
          <w:szCs w:val="56"/>
        </w:rPr>
        <w:t xml:space="preserve"> </w:t>
      </w: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bookmarkStart w:id="105" w:name="_Toc256000120"/>
      <w:bookmarkStart w:id="106" w:name="_Toc256000089"/>
      <w:bookmarkStart w:id="107" w:name="_Toc256000027"/>
      <w:bookmarkStart w:id="108" w:name="_Toc256000058"/>
      <w:r>
        <w:rPr>
          <w:rFonts w:ascii="黑体" w:hAnsi="黑体" w:eastAsia="黑体" w:cs="黑体"/>
          <w:b/>
          <w:spacing w:val="0"/>
          <w:sz w:val="56"/>
          <w:szCs w:val="56"/>
        </w:rPr>
        <w:t>第四部分</w:t>
      </w:r>
      <w:bookmarkEnd w:id="105"/>
      <w:bookmarkEnd w:id="106"/>
      <w:bookmarkEnd w:id="107"/>
      <w:bookmarkEnd w:id="108"/>
      <w:r>
        <w:rPr>
          <w:rFonts w:ascii="宋体" w:hAnsi="宋体" w:eastAsia="宋体" w:cs="宋体"/>
          <w:b/>
          <w:spacing w:val="0"/>
          <w:sz w:val="56"/>
          <w:szCs w:val="56"/>
        </w:rPr>
        <w:t> </w:t>
      </w:r>
      <w:bookmarkStart w:id="109" w:name="_Toc256000028"/>
      <w:bookmarkStart w:id="110" w:name="_Toc256000059"/>
      <w:bookmarkStart w:id="111" w:name="_Toc256000090"/>
      <w:bookmarkStart w:id="112" w:name="_Toc256000121"/>
      <w:r>
        <w:rPr>
          <w:rFonts w:ascii="黑体" w:hAnsi="黑体" w:eastAsia="黑体" w:cs="黑体"/>
          <w:b/>
          <w:spacing w:val="0"/>
          <w:sz w:val="56"/>
          <w:szCs w:val="56"/>
        </w:rPr>
        <w:t>名词解释</w:t>
      </w:r>
      <w:bookmarkEnd w:id="109"/>
      <w:bookmarkEnd w:id="110"/>
      <w:bookmarkEnd w:id="111"/>
      <w:bookmarkEnd w:id="112"/>
    </w:p>
    <w:p>
      <w:pPr>
        <w:pStyle w:val="4"/>
      </w:pP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widowControl/>
        <w:spacing w:before="240" w:after="240"/>
        <w:jc w:val="left"/>
        <w:rPr>
          <w:rFonts w:ascii="Times New Roman" w:hAnsi="Times New Roman" w:eastAsia="Times New Roman" w:cs="Times New Roman"/>
          <w:kern w:val="0"/>
          <w:sz w:val="24"/>
        </w:rPr>
      </w:pPr>
    </w:p>
    <w:p>
      <w:pPr>
        <w:sectPr>
          <w:footerReference r:id="rId10"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3"/>
        <w:keepNext w:val="0"/>
        <w:keepLines w:val="0"/>
        <w:spacing w:before="299" w:after="299" w:line="240" w:lineRule="auto"/>
        <w:ind w:firstLine="0" w:firstLineChars="0"/>
        <w:jc w:val="center"/>
        <w:rPr>
          <w:rFonts w:ascii="Times New Roman" w:hAnsi="Times New Roman" w:eastAsia="Times New Roman" w:cs="Times New Roman"/>
          <w:b/>
          <w:bCs/>
          <w:kern w:val="0"/>
          <w:sz w:val="36"/>
          <w:szCs w:val="36"/>
        </w:rPr>
      </w:pPr>
      <w:bookmarkStart w:id="113" w:name="_Toc256000122"/>
      <w:bookmarkStart w:id="114" w:name="_Toc256000060"/>
      <w:bookmarkStart w:id="115" w:name="_Toc256000029"/>
      <w:bookmarkStart w:id="116" w:name="_Toc256000091"/>
      <w:r>
        <w:rPr>
          <w:rFonts w:ascii="黑体" w:hAnsi="黑体" w:eastAsia="黑体" w:cs="黑体"/>
          <w:b/>
          <w:sz w:val="56"/>
          <w:szCs w:val="56"/>
        </w:rPr>
        <w:t>第五部分</w:t>
      </w:r>
      <w:bookmarkEnd w:id="113"/>
      <w:bookmarkEnd w:id="114"/>
      <w:bookmarkEnd w:id="115"/>
      <w:bookmarkEnd w:id="116"/>
      <w:r>
        <w:rPr>
          <w:rFonts w:ascii="Calibri" w:hAnsi="Calibri" w:eastAsia="Calibri" w:cs="Calibri"/>
          <w:b/>
          <w:sz w:val="56"/>
          <w:szCs w:val="56"/>
        </w:rPr>
        <w:t> </w:t>
      </w:r>
      <w:bookmarkStart w:id="117" w:name="_Toc256000123"/>
      <w:bookmarkStart w:id="118" w:name="_Toc256000030"/>
      <w:bookmarkStart w:id="119" w:name="_Toc256000092"/>
      <w:bookmarkStart w:id="120" w:name="_Toc256000061"/>
      <w:r>
        <w:rPr>
          <w:rFonts w:ascii="黑体" w:hAnsi="黑体" w:eastAsia="黑体" w:cs="黑体"/>
          <w:b/>
          <w:sz w:val="56"/>
          <w:szCs w:val="56"/>
        </w:rPr>
        <w:t>附件</w:t>
      </w:r>
      <w:bookmarkEnd w:id="117"/>
      <w:bookmarkEnd w:id="118"/>
      <w:bookmarkEnd w:id="119"/>
      <w:bookmarkEnd w:id="120"/>
    </w:p>
    <w:p>
      <w:pPr>
        <w:pStyle w:val="28"/>
        <w:widowControl/>
        <w:spacing w:before="240" w:after="240"/>
        <w:jc w:val="center"/>
        <w:rPr>
          <w:rFonts w:ascii="Times New Roman" w:hAnsi="Times New Roman" w:eastAsia="Times New Roman" w:cs="Times New Roman"/>
          <w:kern w:val="0"/>
          <w:sz w:val="24"/>
        </w:rPr>
      </w:pPr>
    </w:p>
    <w:p>
      <w:pPr>
        <w:sectPr>
          <w:footerReference r:id="rId11" w:type="default"/>
          <w:pgSz w:w="11906" w:h="16838"/>
          <w:pgMar w:top="1440" w:right="720" w:bottom="1440" w:left="720" w:header="720" w:footer="720" w:gutter="0"/>
          <w:cols w:space="720" w:num="1"/>
        </w:sectPr>
      </w:pPr>
    </w:p>
    <w:tbl>
      <w:tblPr>
        <w:tblStyle w:val="22"/>
        <w:tblpPr w:leftFromText="180" w:rightFromText="180" w:vertAnchor="text" w:horzAnchor="page" w:tblpX="737" w:tblpY="-1"/>
        <w:tblOverlap w:val="never"/>
        <w:tblW w:w="107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28"/>
        <w:gridCol w:w="757"/>
        <w:gridCol w:w="1966"/>
        <w:gridCol w:w="1428"/>
        <w:gridCol w:w="757"/>
        <w:gridCol w:w="892"/>
        <w:gridCol w:w="892"/>
        <w:gridCol w:w="757"/>
        <w:gridCol w:w="757"/>
        <w:gridCol w:w="487"/>
        <w:gridCol w:w="6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7" w:hRule="atLeast"/>
        </w:trPr>
        <w:tc>
          <w:tcPr>
            <w:tcW w:w="10795"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4" w:hRule="atLeast"/>
        </w:trPr>
        <w:tc>
          <w:tcPr>
            <w:tcW w:w="10795"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1428" w:type="dxa"/>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预算单位（盖章）：                                                                                                  </w:t>
            </w:r>
          </w:p>
        </w:tc>
        <w:tc>
          <w:tcPr>
            <w:tcW w:w="757" w:type="dxa"/>
            <w:tcBorders>
              <w:top w:val="nil"/>
              <w:left w:val="nil"/>
              <w:bottom w:val="single" w:color="000000" w:sz="4" w:space="0"/>
              <w:right w:val="nil"/>
            </w:tcBorders>
            <w:shd w:val="clear" w:color="auto" w:fill="auto"/>
            <w:noWrap/>
            <w:vAlign w:val="center"/>
          </w:tcPr>
          <w:p>
            <w:pPr>
              <w:ind w:left="-1459" w:leftChars="-695" w:firstLine="0" w:firstLineChars="0"/>
              <w:rPr>
                <w:rFonts w:hint="eastAsia" w:asciiTheme="minorEastAsia" w:hAnsiTheme="minorEastAsia" w:eastAsiaTheme="minorEastAsia" w:cstheme="minorEastAsia"/>
                <w:i w:val="0"/>
                <w:iCs w:val="0"/>
                <w:color w:val="000000"/>
                <w:sz w:val="20"/>
                <w:szCs w:val="20"/>
                <w:u w:val="none"/>
              </w:rPr>
            </w:pPr>
          </w:p>
        </w:tc>
        <w:tc>
          <w:tcPr>
            <w:tcW w:w="1966" w:type="dxa"/>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厦门市龙湫亭实验学校</w:t>
            </w:r>
          </w:p>
        </w:tc>
        <w:tc>
          <w:tcPr>
            <w:tcW w:w="1428" w:type="dxa"/>
            <w:tcBorders>
              <w:top w:val="nil"/>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nil"/>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892" w:type="dxa"/>
            <w:tcBorders>
              <w:top w:val="nil"/>
              <w:left w:val="nil"/>
              <w:bottom w:val="single" w:color="000000" w:sz="4" w:space="0"/>
              <w:right w:val="nil"/>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2" w:type="dxa"/>
            <w:tcBorders>
              <w:top w:val="nil"/>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nil"/>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nil"/>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487" w:type="dxa"/>
            <w:tcBorders>
              <w:top w:val="nil"/>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674" w:type="dxa"/>
            <w:tcBorders>
              <w:top w:val="nil"/>
              <w:left w:val="nil"/>
              <w:bottom w:val="single" w:color="000000" w:sz="4" w:space="0"/>
              <w:right w:val="nil"/>
            </w:tcBorders>
            <w:shd w:val="clear" w:color="auto" w:fill="auto"/>
            <w:noWrap/>
            <w:vAlign w:val="center"/>
          </w:tcPr>
          <w:p>
            <w:pPr>
              <w:keepNext w:val="0"/>
              <w:keepLines w:val="0"/>
              <w:widowControl/>
              <w:suppressLineNumbers w:val="0"/>
              <w:tabs>
                <w:tab w:val="left" w:pos="1050"/>
              </w:tabs>
              <w:ind w:left="-180" w:leftChars="-200" w:hanging="240" w:hangingChars="12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2185"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项目名称</w:t>
            </w:r>
          </w:p>
        </w:tc>
        <w:tc>
          <w:tcPr>
            <w:tcW w:w="1966"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义务教育困难学生营养餐补助</w:t>
            </w:r>
          </w:p>
        </w:tc>
        <w:tc>
          <w:tcPr>
            <w:tcW w:w="1428" w:type="dxa"/>
            <w:tcBorders>
              <w:top w:val="single" w:color="000000" w:sz="4" w:space="0"/>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nil"/>
              <w:bottom w:val="single" w:color="000000" w:sz="4" w:space="0"/>
              <w:right w:val="nil"/>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892" w:type="dxa"/>
            <w:tcBorders>
              <w:top w:val="single" w:color="000000" w:sz="4" w:space="0"/>
              <w:left w:val="nil"/>
              <w:bottom w:val="single" w:color="000000" w:sz="4" w:space="0"/>
              <w:right w:val="nil"/>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自评年度</w:t>
            </w:r>
          </w:p>
        </w:tc>
        <w:tc>
          <w:tcPr>
            <w:tcW w:w="26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1" w:hRule="atLeast"/>
        </w:trPr>
        <w:tc>
          <w:tcPr>
            <w:tcW w:w="21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主管部门</w:t>
            </w:r>
          </w:p>
        </w:tc>
        <w:tc>
          <w:tcPr>
            <w:tcW w:w="504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湖里区教育局</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实施单位</w:t>
            </w:r>
          </w:p>
        </w:tc>
        <w:tc>
          <w:tcPr>
            <w:tcW w:w="200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厦门市龙湫亭实验学校</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6" w:hRule="atLeast"/>
        </w:trPr>
        <w:tc>
          <w:tcPr>
            <w:tcW w:w="21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年度预算执行情况</w:t>
            </w: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年初预算数</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已调整数</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调整后预算数</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全年执行数</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执行率</w:t>
            </w:r>
          </w:p>
        </w:tc>
        <w:tc>
          <w:tcPr>
            <w:tcW w:w="7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设置分值</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得分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0" w:hRule="atLeast"/>
        </w:trPr>
        <w:tc>
          <w:tcPr>
            <w:tcW w:w="2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年度资金总额</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1.92</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1.3806</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71.91%</w:t>
            </w:r>
          </w:p>
        </w:tc>
        <w:tc>
          <w:tcPr>
            <w:tcW w:w="7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6" w:hRule="atLeast"/>
        </w:trPr>
        <w:tc>
          <w:tcPr>
            <w:tcW w:w="2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其中：当年财政拨款</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1.92</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1.3806</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71.91%</w:t>
            </w:r>
          </w:p>
        </w:tc>
        <w:tc>
          <w:tcPr>
            <w:tcW w:w="7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8" w:hRule="atLeast"/>
        </w:trPr>
        <w:tc>
          <w:tcPr>
            <w:tcW w:w="2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上年结转资金</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9" w:hRule="atLeast"/>
        </w:trPr>
        <w:tc>
          <w:tcPr>
            <w:tcW w:w="2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其他资金</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4" w:hRule="atLeast"/>
        </w:trPr>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年度</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总体</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目标</w:t>
            </w:r>
          </w:p>
        </w:tc>
        <w:tc>
          <w:tcPr>
            <w:tcW w:w="58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预期目标</w:t>
            </w:r>
          </w:p>
        </w:tc>
        <w:tc>
          <w:tcPr>
            <w:tcW w:w="356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6" w:hRule="atLeast"/>
        </w:trPr>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580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3567"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451" w:hRule="atLeast"/>
        </w:trPr>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580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356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3" w:hRule="atLeast"/>
        </w:trPr>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一级指标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二级指标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三级指标</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指标类型</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绩效目标值</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实际完成值</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完成比例</w:t>
            </w:r>
          </w:p>
        </w:tc>
        <w:tc>
          <w:tcPr>
            <w:tcW w:w="7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设置分值</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得分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4" w:hRule="atLeast"/>
        </w:trPr>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绩</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效</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指</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标</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完</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成</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情</w:t>
            </w:r>
            <w:r>
              <w:rPr>
                <w:rFonts w:hint="eastAsia" w:asciiTheme="minorEastAsia" w:hAnsiTheme="minorEastAsia" w:eastAsiaTheme="minorEastAsia" w:cstheme="minorEastAsia"/>
                <w:b/>
                <w:bCs/>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bCs/>
                <w:i w:val="0"/>
                <w:iCs w:val="0"/>
                <w:color w:val="000000"/>
                <w:kern w:val="0"/>
                <w:sz w:val="20"/>
                <w:szCs w:val="20"/>
                <w:u w:val="none"/>
                <w:lang w:val="en-US" w:eastAsia="zh-CN" w:bidi="ar"/>
              </w:rPr>
              <w:t>况</w:t>
            </w:r>
          </w:p>
        </w:tc>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产出指标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数量指标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审核义务教育阶段阶段受助学生</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定量</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87.50%</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1" w:hRule="atLeast"/>
        </w:trPr>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数量指标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全年营养餐补助人数</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定量</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75.00%</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8" w:hRule="atLeast"/>
        </w:trPr>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成本指标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营养餐发放标准</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定量</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6/餐</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6/餐</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100.00%</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9" w:hRule="atLeast"/>
        </w:trPr>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时效指标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义务教育困难生资助资金下拨及时率</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定量</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100.00%</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6" w:hRule="atLeast"/>
        </w:trPr>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满意度</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服务对象满意度指标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受资助对象满意度</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定量</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7" w:hRule="atLeast"/>
        </w:trPr>
        <w:tc>
          <w:tcPr>
            <w:tcW w:w="887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总分</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83</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430" w:hRule="atLeast"/>
        </w:trPr>
        <w:tc>
          <w:tcPr>
            <w:tcW w:w="107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填表说明：1.年度总体目标和绩效指标中的“具体指标”“年度指标值”按照部门预算批复的绩效目标填写，必须有量化指标。</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bookmarkEnd w:id="0"/>
    <w:p>
      <w:pPr>
        <w:tabs>
          <w:tab w:val="left" w:pos="8415"/>
        </w:tabs>
      </w:pPr>
    </w:p>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12" w:type="default"/>
      <w:pgSz w:w="11906" w:h="16838"/>
      <w:pgMar w:top="153" w:right="720" w:bottom="210" w:left="607"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8CAD46-CD8B-4AD5-90A7-0B5D9DFD934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3E253E7-BBA9-4E40-9D02-06808C9F9A69}"/>
  </w:font>
  <w:font w:name="仿宋">
    <w:panose1 w:val="02010609060101010101"/>
    <w:charset w:val="86"/>
    <w:family w:val="modern"/>
    <w:pitch w:val="default"/>
    <w:sig w:usb0="800002BF" w:usb1="38CF7CFA" w:usb2="00000016" w:usb3="00000000" w:csb0="00040001" w:csb1="00000000"/>
    <w:embedRegular r:id="rId3" w:fontKey="{D26C950B-D91A-40A6-B8EC-C0A8DEDC18D2}"/>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00000000" w:usb1="00000000" w:usb2="00000000" w:usb3="00000000" w:csb0="00000000" w:csb1="00000000"/>
    <w:embedRegular r:id="rId4" w:fontKey="{22CB5BA6-2D31-47F0-9BC3-BF49651F96C1}"/>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embedRegular r:id="rId5" w:fontKey="{3D29A023-87E9-4AA4-AF73-21F1B06AA7A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22</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24</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42</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E45C75"/>
    <w:multiLevelType w:val="singleLevel"/>
    <w:tmpl w:val="D0E45C75"/>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406BE"/>
    <w:rsid w:val="00C420E3"/>
    <w:rsid w:val="021A2E2D"/>
    <w:rsid w:val="02C969C0"/>
    <w:rsid w:val="02FB532C"/>
    <w:rsid w:val="047A1AD0"/>
    <w:rsid w:val="09F36E1A"/>
    <w:rsid w:val="0B3152CE"/>
    <w:rsid w:val="0C59500C"/>
    <w:rsid w:val="117E41D8"/>
    <w:rsid w:val="14F32C86"/>
    <w:rsid w:val="177E4CDB"/>
    <w:rsid w:val="1876268A"/>
    <w:rsid w:val="18A230A3"/>
    <w:rsid w:val="1AF22AF2"/>
    <w:rsid w:val="1B647424"/>
    <w:rsid w:val="1B9F3ADA"/>
    <w:rsid w:val="1E474734"/>
    <w:rsid w:val="1EDA2331"/>
    <w:rsid w:val="222D1C2F"/>
    <w:rsid w:val="23D021ED"/>
    <w:rsid w:val="26215E64"/>
    <w:rsid w:val="289447B6"/>
    <w:rsid w:val="28ED45B4"/>
    <w:rsid w:val="310C4E9A"/>
    <w:rsid w:val="31302D8B"/>
    <w:rsid w:val="32FF7967"/>
    <w:rsid w:val="34CB5AE2"/>
    <w:rsid w:val="36BB3DDC"/>
    <w:rsid w:val="381172F0"/>
    <w:rsid w:val="386465BA"/>
    <w:rsid w:val="3BB545D4"/>
    <w:rsid w:val="3C7E2394"/>
    <w:rsid w:val="3DE96627"/>
    <w:rsid w:val="3FDD65EB"/>
    <w:rsid w:val="411936F5"/>
    <w:rsid w:val="42DC2573"/>
    <w:rsid w:val="437A6825"/>
    <w:rsid w:val="45442C68"/>
    <w:rsid w:val="4604046D"/>
    <w:rsid w:val="4AEB2504"/>
    <w:rsid w:val="4D576E4C"/>
    <w:rsid w:val="4D830B4C"/>
    <w:rsid w:val="4DF05378"/>
    <w:rsid w:val="4FC822DD"/>
    <w:rsid w:val="50036E81"/>
    <w:rsid w:val="503B1837"/>
    <w:rsid w:val="53281363"/>
    <w:rsid w:val="546655A4"/>
    <w:rsid w:val="5500363D"/>
    <w:rsid w:val="551D2442"/>
    <w:rsid w:val="55C86851"/>
    <w:rsid w:val="56582A17"/>
    <w:rsid w:val="568C27AB"/>
    <w:rsid w:val="596B6D1A"/>
    <w:rsid w:val="5A376FBB"/>
    <w:rsid w:val="5EB10CE7"/>
    <w:rsid w:val="61111455"/>
    <w:rsid w:val="611F2A68"/>
    <w:rsid w:val="6244481C"/>
    <w:rsid w:val="62874F7C"/>
    <w:rsid w:val="65237062"/>
    <w:rsid w:val="66B912B0"/>
    <w:rsid w:val="670F7122"/>
    <w:rsid w:val="6796514D"/>
    <w:rsid w:val="685B748F"/>
    <w:rsid w:val="6B370CAD"/>
    <w:rsid w:val="6B497DE1"/>
    <w:rsid w:val="6DDD6467"/>
    <w:rsid w:val="6F1D7993"/>
    <w:rsid w:val="6F7D6FD7"/>
    <w:rsid w:val="6FB83BE3"/>
    <w:rsid w:val="724A736A"/>
    <w:rsid w:val="74000B32"/>
    <w:rsid w:val="75315E8D"/>
    <w:rsid w:val="75A725AD"/>
    <w:rsid w:val="75D73501"/>
    <w:rsid w:val="77DB01F6"/>
    <w:rsid w:val="77FC5FED"/>
    <w:rsid w:val="79534C4C"/>
    <w:rsid w:val="79C94AFA"/>
    <w:rsid w:val="7B36666A"/>
    <w:rsid w:val="7E2E177D"/>
    <w:rsid w:val="7E4F49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7"/>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3"/>
    <w:qFormat/>
    <w:uiPriority w:val="0"/>
    <w:pPr>
      <w:keepNext/>
      <w:keepLines/>
      <w:spacing w:before="280" w:after="290" w:line="376" w:lineRule="auto"/>
      <w:outlineLvl w:val="3"/>
    </w:pPr>
    <w:rPr>
      <w:rFonts w:ascii="Cambria" w:hAnsi="Cambria" w:eastAsia="仿宋"/>
      <w:bCs/>
      <w:sz w:val="32"/>
      <w:szCs w:val="28"/>
    </w:rPr>
  </w:style>
  <w:style w:type="character" w:default="1" w:styleId="19">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4">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5"/>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1">
    <w:name w:val="toc 8"/>
    <w:basedOn w:val="1"/>
    <w:next w:val="1"/>
    <w:qFormat/>
    <w:uiPriority w:val="0"/>
    <w:pPr>
      <w:ind w:left="1470"/>
      <w:jc w:val="left"/>
    </w:pPr>
    <w:rPr>
      <w:sz w:val="20"/>
      <w:szCs w:val="20"/>
    </w:rPr>
  </w:style>
  <w:style w:type="paragraph" w:styleId="12">
    <w:name w:val="footer"/>
    <w:basedOn w:val="1"/>
    <w:link w:val="25"/>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next w:val="4"/>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next w:val="4"/>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8">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qFormat/>
    <w:uiPriority w:val="0"/>
    <w:rPr>
      <w:rFonts w:ascii="宋体" w:hAnsi="宋体" w:eastAsia="仿宋" w:cs="Times New Roman"/>
      <w:kern w:val="2"/>
      <w:sz w:val="32"/>
      <w:szCs w:val="32"/>
      <w:lang w:val="en-US" w:eastAsia="zh-CN" w:bidi="ar-SA"/>
    </w:rPr>
  </w:style>
  <w:style w:type="character" w:customStyle="1" w:styleId="23">
    <w:name w:val="标题 4 字符"/>
    <w:basedOn w:val="19"/>
    <w:link w:val="6"/>
    <w:qFormat/>
    <w:uiPriority w:val="0"/>
    <w:rPr>
      <w:rFonts w:ascii="Cambria" w:hAnsi="Cambria" w:eastAsia="仿宋"/>
      <w:bCs/>
      <w:kern w:val="2"/>
      <w:sz w:val="32"/>
      <w:szCs w:val="28"/>
    </w:rPr>
  </w:style>
  <w:style w:type="character" w:customStyle="1" w:styleId="24">
    <w:name w:val="无间隔 字符"/>
    <w:link w:val="4"/>
    <w:qFormat/>
    <w:locked/>
    <w:uiPriority w:val="0"/>
    <w:rPr>
      <w:rFonts w:eastAsia="仿宋_GB2312"/>
      <w:sz w:val="30"/>
      <w:szCs w:val="22"/>
      <w:lang w:bidi="ar-SA"/>
    </w:rPr>
  </w:style>
  <w:style w:type="character" w:customStyle="1" w:styleId="25">
    <w:name w:val="页脚 字符"/>
    <w:basedOn w:val="19"/>
    <w:link w:val="12"/>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字符"/>
    <w:basedOn w:val="19"/>
    <w:link w:val="5"/>
    <w:qFormat/>
    <w:uiPriority w:val="0"/>
    <w:rPr>
      <w:rFonts w:eastAsia="仿宋"/>
      <w:bCs/>
      <w:kern w:val="2"/>
      <w:sz w:val="32"/>
      <w:szCs w:val="32"/>
    </w:rPr>
  </w:style>
  <w:style w:type="paragraph" w:customStyle="1" w:styleId="28">
    <w:name w:val="MsoNormal"/>
    <w:basedOn w:val="1"/>
    <w:qFormat/>
    <w:uiPriority w:val="0"/>
  </w:style>
  <w:style w:type="paragraph" w:customStyle="1" w:styleId="29">
    <w:name w:val="p"/>
    <w:basedOn w:val="1"/>
    <w:qFormat/>
    <w:uiPriority w:val="0"/>
  </w:style>
  <w:style w:type="character" w:customStyle="1" w:styleId="30">
    <w:name w:val="15"/>
    <w:basedOn w:val="1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32</Pages>
  <Words>416</Words>
  <Characters>451</Characters>
  <Lines>1</Lines>
  <Paragraphs>1</Paragraphs>
  <TotalTime>0</TotalTime>
  <ScaleCrop>false</ScaleCrop>
  <LinksUpToDate>false</LinksUpToDate>
  <CharactersWithSpaces>544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2025-09-16T05:10:43Z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42B5F807297A456FB7DA09D501FE1AE4_13</vt:lpwstr>
  </property>
  <property fmtid="{D5CDD505-2E9C-101B-9397-08002B2CF9AE}" pid="3" name="KSOProductBuildVer">
    <vt:lpwstr>2052-11.8.2.8053</vt:lpwstr>
  </property>
  <property fmtid="{D5CDD505-2E9C-101B-9397-08002B2CF9AE}" pid="4" name="KSOTemplateDocerSaveRecord">
    <vt:lpwstr>eyJoZGlkIjoiZmE5MGQzNGU4ZTJkZTE0ZGIzYmEyZjU1ZDBiM2Q5YmEifQ==</vt:lpwstr>
  </property>
</Properties>
</file>