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rPr>
        <w:t>福建省厦门双十中学湖里分校</w:t>
      </w: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7"/>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1"/>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1"/>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1"/>
              <w:rFonts w:ascii="黑体" w:hAnsi="黑体" w:eastAsia="黑体" w:cs="黑体"/>
            </w:rPr>
            <w:t>一、单位主要职责</w:t>
          </w:r>
          <w:r>
            <w:tab/>
          </w:r>
          <w:r>
            <w:rPr>
              <w:rFonts w:hint="eastAsia"/>
              <w:lang w:val="en-US" w:eastAsia="zh-CN"/>
            </w:rPr>
            <w:t>4</w:t>
          </w:r>
          <w:r>
            <w:fldChar w:fldCharType="end"/>
          </w:r>
        </w:p>
        <w:p>
          <w:pPr>
            <w:pStyle w:val="10"/>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1"/>
              <w:rFonts w:ascii="黑体" w:hAnsi="黑体" w:eastAsia="黑体" w:cs="黑体"/>
            </w:rPr>
            <w:t>二、单位基本情况</w:t>
          </w:r>
          <w:r>
            <w:tab/>
          </w:r>
          <w:r>
            <w:rPr>
              <w:rFonts w:hint="eastAsia"/>
              <w:lang w:val="en-US" w:eastAsia="zh-CN"/>
            </w:rPr>
            <w:t>4</w:t>
          </w:r>
          <w:r>
            <w:fldChar w:fldCharType="end"/>
          </w:r>
        </w:p>
        <w:p>
          <w:pPr>
            <w:pStyle w:val="10"/>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1"/>
              <w:rFonts w:ascii="黑体" w:hAnsi="黑体" w:eastAsia="黑体" w:cs="黑体"/>
            </w:rPr>
            <w:t>三、单位主要工作总结</w:t>
          </w:r>
          <w:r>
            <w:tab/>
          </w:r>
          <w:r>
            <w:rPr>
              <w:rFonts w:hint="eastAsia"/>
              <w:lang w:val="en-US" w:eastAsia="zh-CN"/>
            </w:rPr>
            <w:t>4</w:t>
          </w:r>
          <w:r>
            <w:fldChar w:fldCharType="end"/>
          </w:r>
        </w:p>
        <w:p>
          <w:pPr>
            <w:pStyle w:val="17"/>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1"/>
              <w:rFonts w:ascii="黑体" w:hAnsi="黑体" w:eastAsia="黑体" w:cs="黑体"/>
            </w:rPr>
            <w:t>第二部分</w:t>
          </w:r>
          <w:r>
            <w:tab/>
          </w:r>
          <w:r>
            <w:rPr>
              <w:rFonts w:hint="eastAsia"/>
              <w:lang w:val="en-US" w:eastAsia="zh-CN"/>
            </w:rPr>
            <w:t>7</w:t>
          </w:r>
          <w:r>
            <w:fldChar w:fldCharType="end"/>
          </w:r>
        </w:p>
        <w:p>
          <w:pPr>
            <w:pStyle w:val="17"/>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1"/>
              <w:rFonts w:ascii="黑体" w:hAnsi="黑体" w:eastAsia="黑体" w:cs="黑体"/>
            </w:rPr>
            <w:t>2024年度决算表</w:t>
          </w:r>
          <w:r>
            <w:tab/>
          </w:r>
          <w:r>
            <w:rPr>
              <w:rFonts w:hint="eastAsia"/>
              <w:lang w:val="en-US" w:eastAsia="zh-CN"/>
            </w:rPr>
            <w:t>7</w:t>
          </w:r>
          <w:r>
            <w:fldChar w:fldCharType="end"/>
          </w:r>
        </w:p>
        <w:p>
          <w:pPr>
            <w:pStyle w:val="10"/>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1"/>
              <w:rFonts w:ascii="黑体" w:hAnsi="黑体" w:eastAsia="黑体" w:cs="黑体"/>
            </w:rPr>
            <w:t>一、收入支出决算总表</w:t>
          </w:r>
          <w:r>
            <w:tab/>
          </w:r>
          <w:r>
            <w:rPr>
              <w:rFonts w:hint="eastAsia"/>
              <w:lang w:val="en-US" w:eastAsia="zh-CN"/>
            </w:rPr>
            <w:t>7</w:t>
          </w:r>
          <w:r>
            <w:fldChar w:fldCharType="end"/>
          </w:r>
        </w:p>
        <w:p>
          <w:pPr>
            <w:pStyle w:val="10"/>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1"/>
              <w:rFonts w:ascii="黑体" w:hAnsi="黑体" w:eastAsia="黑体" w:cs="黑体"/>
            </w:rPr>
            <w:t>二、收入决算表</w:t>
          </w:r>
          <w:r>
            <w:tab/>
          </w:r>
          <w:r>
            <w:rPr>
              <w:rFonts w:hint="eastAsia"/>
              <w:lang w:val="en-US" w:eastAsia="zh-CN"/>
            </w:rPr>
            <w:t>8</w:t>
          </w:r>
          <w:r>
            <w:fldChar w:fldCharType="end"/>
          </w:r>
        </w:p>
        <w:p>
          <w:pPr>
            <w:pStyle w:val="10"/>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1"/>
              <w:rFonts w:ascii="黑体" w:hAnsi="黑体" w:eastAsia="黑体" w:cs="黑体"/>
            </w:rPr>
            <w:t>三、支出决算表</w:t>
          </w:r>
          <w:r>
            <w:tab/>
          </w:r>
          <w:r>
            <w:rPr>
              <w:rFonts w:hint="eastAsia"/>
              <w:lang w:val="en-US" w:eastAsia="zh-CN"/>
            </w:rPr>
            <w:t>9</w:t>
          </w:r>
          <w:r>
            <w:fldChar w:fldCharType="end"/>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"_Toc256000103" </w:instrText>
          </w:r>
          <w:r>
            <w:fldChar w:fldCharType="separate"/>
          </w:r>
          <w:r>
            <w:rPr>
              <w:rStyle w:val="21"/>
              <w:rFonts w:ascii="黑体" w:hAnsi="黑体" w:eastAsia="黑体" w:cs="黑体"/>
            </w:rPr>
            <w:t>四、财政拨款收入支出决算总表</w:t>
          </w:r>
          <w:r>
            <w:tab/>
          </w:r>
          <w:r>
            <w:rPr>
              <w:rFonts w:hint="eastAsia"/>
              <w:lang w:val="en-US" w:eastAsia="zh-CN"/>
            </w:rPr>
            <w:t>1</w:t>
          </w:r>
          <w:r>
            <w:fldChar w:fldCharType="end"/>
          </w:r>
          <w:r>
            <w:rPr>
              <w:rFonts w:hint="eastAsia"/>
              <w:lang w:val="en-US" w:eastAsia="zh-CN"/>
            </w:rPr>
            <w:t>0</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"_Toc256000104" </w:instrText>
          </w:r>
          <w:r>
            <w:fldChar w:fldCharType="separate"/>
          </w:r>
          <w:r>
            <w:rPr>
              <w:rStyle w:val="21"/>
              <w:rFonts w:ascii="黑体" w:hAnsi="黑体" w:eastAsia="黑体" w:cs="黑体"/>
            </w:rPr>
            <w:t>五、一般公共预算财政拨款支出决算表</w:t>
          </w:r>
          <w:r>
            <w:tab/>
          </w:r>
          <w:r>
            <w:rPr>
              <w:rFonts w:hint="eastAsia"/>
              <w:lang w:val="en-US" w:eastAsia="zh-CN"/>
            </w:rPr>
            <w:t>1</w:t>
          </w:r>
          <w:r>
            <w:fldChar w:fldCharType="end"/>
          </w:r>
          <w:r>
            <w:rPr>
              <w:rFonts w:hint="eastAsia"/>
              <w:lang w:val="en-US" w:eastAsia="zh-CN"/>
            </w:rPr>
            <w:t>2</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"_Toc256000105" </w:instrText>
          </w:r>
          <w:r>
            <w:fldChar w:fldCharType="separate"/>
          </w:r>
          <w:r>
            <w:rPr>
              <w:rStyle w:val="21"/>
              <w:rFonts w:ascii="黑体" w:hAnsi="黑体" w:eastAsia="黑体" w:cs="黑体"/>
            </w:rPr>
            <w:t>六、一般公共预算财政拨款基本支出决算表</w:t>
          </w:r>
          <w:r>
            <w:tab/>
          </w:r>
          <w:r>
            <w:rPr>
              <w:rFonts w:hint="eastAsia"/>
              <w:lang w:val="en-US" w:eastAsia="zh-CN"/>
            </w:rPr>
            <w:t>1</w:t>
          </w:r>
          <w:r>
            <w:fldChar w:fldCharType="end"/>
          </w:r>
          <w:r>
            <w:rPr>
              <w:rFonts w:hint="eastAsia"/>
              <w:lang w:val="en-US" w:eastAsia="zh-CN"/>
            </w:rPr>
            <w:t>3</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"_Toc256000106" </w:instrText>
          </w:r>
          <w:r>
            <w:fldChar w:fldCharType="separate"/>
          </w:r>
          <w:r>
            <w:rPr>
              <w:rStyle w:val="21"/>
              <w:rFonts w:ascii="黑体" w:hAnsi="黑体" w:eastAsia="黑体" w:cs="黑体"/>
            </w:rPr>
            <w:t>七、一般公共预算财政拨款“三公”经费支出决算表</w:t>
          </w:r>
          <w:r>
            <w:tab/>
          </w:r>
          <w:r>
            <w:rPr>
              <w:rFonts w:hint="eastAsia"/>
              <w:lang w:val="en-US" w:eastAsia="zh-CN"/>
            </w:rPr>
            <w:t>1</w:t>
          </w:r>
          <w:r>
            <w:fldChar w:fldCharType="end"/>
          </w:r>
          <w:r>
            <w:rPr>
              <w:rFonts w:hint="eastAsia"/>
              <w:lang w:val="en-US" w:eastAsia="zh-CN"/>
            </w:rPr>
            <w:t>5</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"_Toc256000107" </w:instrText>
          </w:r>
          <w:r>
            <w:fldChar w:fldCharType="separate"/>
          </w:r>
          <w:r>
            <w:rPr>
              <w:rStyle w:val="21"/>
              <w:rFonts w:ascii="黑体" w:hAnsi="黑体" w:eastAsia="黑体" w:cs="黑体"/>
            </w:rPr>
            <w:t>八、政府性基金预算财政拨款收入支出决算表</w:t>
          </w:r>
          <w:r>
            <w:tab/>
          </w:r>
          <w:r>
            <w:rPr>
              <w:rFonts w:hint="eastAsia"/>
              <w:lang w:val="en-US" w:eastAsia="zh-CN"/>
            </w:rPr>
            <w:t>1</w:t>
          </w:r>
          <w:r>
            <w:fldChar w:fldCharType="end"/>
          </w:r>
          <w:r>
            <w:rPr>
              <w:rFonts w:hint="eastAsia"/>
              <w:lang w:val="en-US" w:eastAsia="zh-CN"/>
            </w:rPr>
            <w:t>5</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"_Toc256000108" </w:instrText>
          </w:r>
          <w:r>
            <w:fldChar w:fldCharType="separate"/>
          </w:r>
          <w:r>
            <w:rPr>
              <w:rStyle w:val="21"/>
              <w:rFonts w:ascii="黑体" w:hAnsi="黑体" w:eastAsia="黑体" w:cs="黑体"/>
            </w:rPr>
            <w:t>九、国有资本经营预算财政拨款支出决算表</w:t>
          </w:r>
          <w:r>
            <w:tab/>
          </w:r>
          <w:r>
            <w:rPr>
              <w:rFonts w:hint="eastAsia"/>
              <w:lang w:val="en-US" w:eastAsia="zh-CN"/>
            </w:rPr>
            <w:t>1</w:t>
          </w:r>
          <w:r>
            <w:fldChar w:fldCharType="end"/>
          </w:r>
          <w:r>
            <w:rPr>
              <w:rFonts w:hint="eastAsia"/>
              <w:lang w:val="en-US" w:eastAsia="zh-CN"/>
            </w:rPr>
            <w:t>6</w:t>
          </w:r>
        </w:p>
        <w:p>
          <w:pPr>
            <w:pStyle w:val="17"/>
            <w:tabs>
              <w:tab w:val="right" w:leader="dot" w:pos="9730"/>
            </w:tabs>
            <w:rPr>
              <w:rFonts w:hint="eastAsia" w:eastAsia="仿宋" w:asciiTheme="minorHAnsi" w:hAnsiTheme="minorHAnsi"/>
              <w:sz w:val="22"/>
              <w:lang w:val="en-US" w:eastAsia="zh-CN"/>
            </w:rPr>
          </w:pPr>
          <w:r>
            <w:fldChar w:fldCharType="begin"/>
          </w:r>
          <w:r>
            <w:instrText xml:space="preserve"> HYPERLINK \l "_Toc256000109" </w:instrText>
          </w:r>
          <w:r>
            <w:fldChar w:fldCharType="separate"/>
          </w:r>
          <w:r>
            <w:rPr>
              <w:rStyle w:val="21"/>
              <w:rFonts w:ascii="黑体" w:hAnsi="黑体" w:eastAsia="黑体" w:cs="黑体"/>
            </w:rPr>
            <w:t>第三部分</w:t>
          </w:r>
          <w:r>
            <w:tab/>
          </w:r>
          <w:r>
            <w:rPr>
              <w:rFonts w:hint="eastAsia"/>
              <w:lang w:val="en-US" w:eastAsia="zh-CN"/>
            </w:rPr>
            <w:t>1</w:t>
          </w:r>
          <w:r>
            <w:fldChar w:fldCharType="end"/>
          </w:r>
          <w:r>
            <w:rPr>
              <w:rFonts w:hint="eastAsia"/>
              <w:lang w:val="en-US" w:eastAsia="zh-CN"/>
            </w:rPr>
            <w:t>7</w:t>
          </w:r>
        </w:p>
        <w:p>
          <w:pPr>
            <w:pStyle w:val="17"/>
            <w:tabs>
              <w:tab w:val="right" w:leader="dot" w:pos="9730"/>
            </w:tabs>
            <w:rPr>
              <w:rFonts w:hint="eastAsia" w:eastAsia="仿宋" w:asciiTheme="minorHAnsi" w:hAnsiTheme="minorHAnsi"/>
              <w:sz w:val="22"/>
              <w:lang w:val="en-US" w:eastAsia="zh-CN"/>
            </w:rPr>
          </w:pPr>
          <w:r>
            <w:fldChar w:fldCharType="begin"/>
          </w:r>
          <w:r>
            <w:instrText xml:space="preserve"> HYPERLINK \l "_Toc256000110" </w:instrText>
          </w:r>
          <w:r>
            <w:fldChar w:fldCharType="separate"/>
          </w:r>
          <w:r>
            <w:rPr>
              <w:rStyle w:val="21"/>
              <w:rFonts w:ascii="黑体" w:hAnsi="黑体" w:eastAsia="黑体" w:cs="黑体"/>
            </w:rPr>
            <w:t>2024年度决算情况说明</w:t>
          </w:r>
          <w:r>
            <w:tab/>
          </w:r>
          <w:r>
            <w:rPr>
              <w:rFonts w:hint="eastAsia"/>
              <w:lang w:val="en-US" w:eastAsia="zh-CN"/>
            </w:rPr>
            <w:t>1</w:t>
          </w:r>
          <w:r>
            <w:fldChar w:fldCharType="end"/>
          </w:r>
          <w:r>
            <w:rPr>
              <w:rFonts w:hint="eastAsia"/>
              <w:lang w:val="en-US" w:eastAsia="zh-CN"/>
            </w:rPr>
            <w:t>7</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"_Toc256000111" </w:instrText>
          </w:r>
          <w:r>
            <w:fldChar w:fldCharType="separate"/>
          </w:r>
          <w:r>
            <w:rPr>
              <w:rStyle w:val="21"/>
              <w:rFonts w:ascii="黑体" w:hAnsi="黑体" w:eastAsia="黑体" w:cs="黑体"/>
            </w:rPr>
            <w:t>一、收入支出决算总体情况说明</w:t>
          </w:r>
          <w:r>
            <w:tab/>
          </w:r>
          <w:r>
            <w:rPr>
              <w:rFonts w:hint="eastAsia"/>
              <w:lang w:val="en-US" w:eastAsia="zh-CN"/>
            </w:rPr>
            <w:t>1</w:t>
          </w:r>
          <w:r>
            <w:fldChar w:fldCharType="end"/>
          </w:r>
          <w:r>
            <w:rPr>
              <w:rFonts w:hint="eastAsia"/>
              <w:lang w:val="en-US" w:eastAsia="zh-CN"/>
            </w:rPr>
            <w:t>7</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"_Toc256000112" </w:instrText>
          </w:r>
          <w:r>
            <w:fldChar w:fldCharType="separate"/>
          </w:r>
          <w:r>
            <w:rPr>
              <w:rStyle w:val="21"/>
              <w:rFonts w:ascii="黑体" w:hAnsi="黑体" w:eastAsia="黑体" w:cs="黑体"/>
            </w:rPr>
            <w:t>二、财政拨款收入支出决算总体情况说明</w:t>
          </w:r>
          <w:r>
            <w:tab/>
          </w:r>
          <w:r>
            <w:rPr>
              <w:rFonts w:hint="eastAsia"/>
              <w:lang w:val="en-US" w:eastAsia="zh-CN"/>
            </w:rPr>
            <w:t>1</w:t>
          </w:r>
          <w:r>
            <w:fldChar w:fldCharType="end"/>
          </w:r>
          <w:r>
            <w:rPr>
              <w:rFonts w:hint="eastAsia"/>
              <w:lang w:val="en-US" w:eastAsia="zh-CN"/>
            </w:rPr>
            <w:t>8</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"_Toc256000113" </w:instrText>
          </w:r>
          <w:r>
            <w:fldChar w:fldCharType="separate"/>
          </w:r>
          <w:r>
            <w:rPr>
              <w:rStyle w:val="21"/>
              <w:rFonts w:ascii="黑体" w:hAnsi="黑体" w:eastAsia="黑体" w:cs="黑体"/>
            </w:rPr>
            <w:t>三、一般公共预算拨款支出决算情况说明</w:t>
          </w:r>
          <w:r>
            <w:tab/>
          </w:r>
          <w:r>
            <w:rPr>
              <w:rFonts w:hint="eastAsia"/>
              <w:lang w:val="en-US" w:eastAsia="zh-CN"/>
            </w:rPr>
            <w:t>1</w:t>
          </w:r>
          <w:r>
            <w:fldChar w:fldCharType="end"/>
          </w:r>
          <w:r>
            <w:rPr>
              <w:rFonts w:hint="eastAsia"/>
              <w:lang w:val="en-US" w:eastAsia="zh-CN"/>
            </w:rPr>
            <w:t>8</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"_Toc256000114" </w:instrText>
          </w:r>
          <w:r>
            <w:fldChar w:fldCharType="separate"/>
          </w:r>
          <w:r>
            <w:rPr>
              <w:rStyle w:val="21"/>
              <w:rFonts w:ascii="黑体" w:hAnsi="黑体" w:eastAsia="黑体" w:cs="黑体"/>
            </w:rPr>
            <w:t>四、政府性基金预算财政拨款支出决算情况说明</w:t>
          </w:r>
          <w:r>
            <w:tab/>
          </w:r>
          <w:r>
            <w:rPr>
              <w:rFonts w:hint="eastAsia"/>
              <w:lang w:val="en-US" w:eastAsia="zh-CN"/>
            </w:rPr>
            <w:t>1</w:t>
          </w:r>
          <w:r>
            <w:fldChar w:fldCharType="end"/>
          </w:r>
          <w:r>
            <w:rPr>
              <w:rFonts w:hint="eastAsia"/>
              <w:lang w:val="en-US" w:eastAsia="zh-CN"/>
            </w:rPr>
            <w:t>9</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"_Toc256000115" </w:instrText>
          </w:r>
          <w:r>
            <w:fldChar w:fldCharType="separate"/>
          </w:r>
          <w:r>
            <w:rPr>
              <w:rStyle w:val="21"/>
              <w:rFonts w:ascii="黑体" w:hAnsi="黑体" w:eastAsia="黑体" w:cs="黑体"/>
            </w:rPr>
            <w:t>五、国有资本经营预算财政拨款支出决算情况说明</w:t>
          </w:r>
          <w:r>
            <w:tab/>
          </w:r>
          <w:r>
            <w:rPr>
              <w:rFonts w:hint="eastAsia"/>
              <w:lang w:val="en-US" w:eastAsia="zh-CN"/>
            </w:rPr>
            <w:t>1</w:t>
          </w:r>
          <w:r>
            <w:fldChar w:fldCharType="end"/>
          </w:r>
          <w:r>
            <w:rPr>
              <w:rFonts w:hint="eastAsia"/>
              <w:lang w:val="en-US" w:eastAsia="zh-CN"/>
            </w:rPr>
            <w:t>9</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"_Toc256000116" </w:instrText>
          </w:r>
          <w:r>
            <w:fldChar w:fldCharType="separate"/>
          </w:r>
          <w:r>
            <w:rPr>
              <w:rStyle w:val="21"/>
              <w:rFonts w:ascii="黑体" w:hAnsi="黑体" w:eastAsia="黑体" w:cs="黑体"/>
            </w:rPr>
            <w:t>六、一般公共预算财政拨款基本支出决算情况说明</w:t>
          </w:r>
          <w:r>
            <w:tab/>
          </w:r>
          <w:r>
            <w:rPr>
              <w:rFonts w:hint="eastAsia"/>
              <w:lang w:val="en-US" w:eastAsia="zh-CN"/>
            </w:rPr>
            <w:t>2</w:t>
          </w:r>
          <w:r>
            <w:fldChar w:fldCharType="end"/>
          </w:r>
          <w:r>
            <w:rPr>
              <w:rFonts w:hint="eastAsia"/>
              <w:lang w:val="en-US" w:eastAsia="zh-CN"/>
            </w:rPr>
            <w:t>0</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"_Toc256000117" </w:instrText>
          </w:r>
          <w:r>
            <w:fldChar w:fldCharType="separate"/>
          </w:r>
          <w:r>
            <w:rPr>
              <w:rStyle w:val="21"/>
              <w:rFonts w:ascii="黑体" w:hAnsi="黑体" w:eastAsia="黑体" w:cs="黑体"/>
            </w:rPr>
            <w:t>七、一般公共预算拨款“三公”经费支出决算情况说明</w:t>
          </w:r>
          <w:r>
            <w:tab/>
          </w:r>
          <w:r>
            <w:rPr>
              <w:rFonts w:hint="eastAsia"/>
              <w:lang w:val="en-US" w:eastAsia="zh-CN"/>
            </w:rPr>
            <w:t>2</w:t>
          </w:r>
          <w:r>
            <w:fldChar w:fldCharType="end"/>
          </w:r>
          <w:r>
            <w:rPr>
              <w:rFonts w:hint="eastAsia"/>
              <w:lang w:val="en-US" w:eastAsia="zh-CN"/>
            </w:rPr>
            <w:t>0</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"_Toc256000118" </w:instrText>
          </w:r>
          <w:r>
            <w:fldChar w:fldCharType="separate"/>
          </w:r>
          <w:r>
            <w:rPr>
              <w:rStyle w:val="21"/>
              <w:rFonts w:ascii="黑体" w:hAnsi="黑体" w:eastAsia="黑体" w:cs="黑体"/>
            </w:rPr>
            <w:t>八、预算绩效情况说明</w:t>
          </w:r>
          <w:r>
            <w:tab/>
          </w:r>
          <w:r>
            <w:rPr>
              <w:rFonts w:hint="eastAsia"/>
              <w:lang w:val="en-US" w:eastAsia="zh-CN"/>
            </w:rPr>
            <w:t>2</w:t>
          </w:r>
          <w:r>
            <w:fldChar w:fldCharType="end"/>
          </w:r>
          <w:r>
            <w:rPr>
              <w:rFonts w:hint="eastAsia"/>
              <w:lang w:val="en-US" w:eastAsia="zh-CN"/>
            </w:rPr>
            <w:t>1</w:t>
          </w:r>
        </w:p>
        <w:p>
          <w:pPr>
            <w:pStyle w:val="10"/>
            <w:tabs>
              <w:tab w:val="right" w:leader="dot" w:pos="9730"/>
            </w:tabs>
            <w:rPr>
              <w:rFonts w:hint="eastAsia" w:eastAsia="仿宋" w:asciiTheme="minorHAnsi" w:hAnsiTheme="minorHAnsi"/>
              <w:sz w:val="22"/>
              <w:lang w:val="en-US" w:eastAsia="zh-CN"/>
            </w:rPr>
          </w:pPr>
          <w:r>
            <w:fldChar w:fldCharType="begin"/>
          </w:r>
          <w:r>
            <w:instrText xml:space="preserve"> HYPERLINK \l "_Toc256000119" </w:instrText>
          </w:r>
          <w:r>
            <w:fldChar w:fldCharType="separate"/>
          </w:r>
          <w:r>
            <w:rPr>
              <w:rStyle w:val="21"/>
              <w:rFonts w:ascii="黑体" w:hAnsi="黑体" w:eastAsia="黑体" w:cs="黑体"/>
            </w:rPr>
            <w:t>九、其他重要事项说明</w:t>
          </w:r>
          <w:r>
            <w:tab/>
          </w:r>
          <w:r>
            <w:rPr>
              <w:rFonts w:hint="eastAsia"/>
              <w:lang w:val="en-US" w:eastAsia="zh-CN"/>
            </w:rPr>
            <w:t>2</w:t>
          </w:r>
          <w:r>
            <w:fldChar w:fldCharType="end"/>
          </w:r>
          <w:r>
            <w:rPr>
              <w:rFonts w:hint="eastAsia"/>
              <w:lang w:val="en-US" w:eastAsia="zh-CN"/>
            </w:rPr>
            <w:t>1</w:t>
          </w:r>
        </w:p>
        <w:p>
          <w:pPr>
            <w:pStyle w:val="17"/>
            <w:tabs>
              <w:tab w:val="right" w:leader="dot" w:pos="9730"/>
            </w:tabs>
            <w:rPr>
              <w:rFonts w:hint="eastAsia" w:eastAsia="仿宋" w:asciiTheme="minorHAnsi" w:hAnsiTheme="minorHAnsi"/>
              <w:sz w:val="22"/>
              <w:lang w:val="en-US" w:eastAsia="zh-CN"/>
            </w:rPr>
          </w:pPr>
          <w:r>
            <w:fldChar w:fldCharType="begin"/>
          </w:r>
          <w:r>
            <w:instrText xml:space="preserve"> HYPERLINK \l "_Toc256000120" </w:instrText>
          </w:r>
          <w:r>
            <w:fldChar w:fldCharType="separate"/>
          </w:r>
          <w:r>
            <w:rPr>
              <w:rStyle w:val="21"/>
              <w:rFonts w:ascii="黑体" w:hAnsi="黑体" w:eastAsia="黑体" w:cs="黑体"/>
            </w:rPr>
            <w:t>第四部分</w:t>
          </w:r>
          <w:r>
            <w:tab/>
          </w:r>
          <w:r>
            <w:rPr>
              <w:rFonts w:hint="eastAsia"/>
              <w:lang w:val="en-US" w:eastAsia="zh-CN"/>
            </w:rPr>
            <w:t>2</w:t>
          </w:r>
          <w:r>
            <w:fldChar w:fldCharType="end"/>
          </w:r>
          <w:r>
            <w:rPr>
              <w:rFonts w:hint="eastAsia"/>
              <w:lang w:val="en-US" w:eastAsia="zh-CN"/>
            </w:rPr>
            <w:t>3</w:t>
          </w:r>
        </w:p>
        <w:p>
          <w:pPr>
            <w:pStyle w:val="17"/>
            <w:tabs>
              <w:tab w:val="right" w:leader="dot" w:pos="9730"/>
            </w:tabs>
            <w:rPr>
              <w:rFonts w:hint="eastAsia" w:eastAsia="仿宋" w:asciiTheme="minorHAnsi" w:hAnsiTheme="minorHAnsi"/>
              <w:sz w:val="22"/>
              <w:lang w:val="en-US" w:eastAsia="zh-CN"/>
            </w:rPr>
          </w:pPr>
          <w:r>
            <w:fldChar w:fldCharType="begin"/>
          </w:r>
          <w:r>
            <w:instrText xml:space="preserve"> HYPERLINK \l "_Toc256000121" </w:instrText>
          </w:r>
          <w:r>
            <w:fldChar w:fldCharType="separate"/>
          </w:r>
          <w:r>
            <w:rPr>
              <w:rStyle w:val="21"/>
              <w:rFonts w:ascii="黑体" w:hAnsi="黑体" w:eastAsia="黑体" w:cs="黑体"/>
            </w:rPr>
            <w:t>名词解释</w:t>
          </w:r>
          <w:r>
            <w:tab/>
          </w:r>
          <w:r>
            <w:rPr>
              <w:rFonts w:hint="eastAsia"/>
              <w:lang w:val="en-US" w:eastAsia="zh-CN"/>
            </w:rPr>
            <w:t>2</w:t>
          </w:r>
          <w:r>
            <w:fldChar w:fldCharType="end"/>
          </w:r>
          <w:r>
            <w:rPr>
              <w:rFonts w:hint="eastAsia"/>
              <w:lang w:val="en-US" w:eastAsia="zh-CN"/>
            </w:rPr>
            <w:t>3</w:t>
          </w:r>
        </w:p>
        <w:p>
          <w:pPr>
            <w:pStyle w:val="17"/>
            <w:tabs>
              <w:tab w:val="right" w:leader="dot" w:pos="9730"/>
            </w:tabs>
            <w:rPr>
              <w:rFonts w:hint="eastAsia" w:eastAsia="仿宋" w:asciiTheme="minorHAnsi" w:hAnsiTheme="minorHAnsi"/>
              <w:sz w:val="22"/>
              <w:lang w:val="en-US" w:eastAsia="zh-CN"/>
            </w:rPr>
          </w:pPr>
          <w:r>
            <w:fldChar w:fldCharType="begin"/>
          </w:r>
          <w:r>
            <w:instrText xml:space="preserve"> HYPERLINK \l "_Toc256000122" </w:instrText>
          </w:r>
          <w:r>
            <w:fldChar w:fldCharType="separate"/>
          </w:r>
          <w:r>
            <w:rPr>
              <w:rStyle w:val="21"/>
              <w:rFonts w:ascii="黑体" w:hAnsi="黑体" w:eastAsia="黑体" w:cs="黑体"/>
            </w:rPr>
            <w:t>第五部分</w:t>
          </w:r>
          <w:r>
            <w:tab/>
          </w:r>
          <w:r>
            <w:rPr>
              <w:rFonts w:hint="eastAsia"/>
              <w:lang w:val="en-US" w:eastAsia="zh-CN"/>
            </w:rPr>
            <w:t>2</w:t>
          </w:r>
          <w:r>
            <w:fldChar w:fldCharType="end"/>
          </w:r>
          <w:r>
            <w:rPr>
              <w:rFonts w:hint="eastAsia"/>
              <w:lang w:val="en-US" w:eastAsia="zh-CN"/>
            </w:rPr>
            <w:t>5</w:t>
          </w:r>
        </w:p>
        <w:p>
          <w:pPr>
            <w:pStyle w:val="17"/>
            <w:tabs>
              <w:tab w:val="right" w:leader="dot" w:pos="9730"/>
            </w:tabs>
            <w:rPr>
              <w:rFonts w:hint="eastAsia" w:eastAsia="仿宋" w:asciiTheme="minorHAnsi" w:hAnsiTheme="minorHAnsi"/>
              <w:sz w:val="22"/>
              <w:lang w:val="en-US" w:eastAsia="zh-CN"/>
            </w:rPr>
          </w:pPr>
          <w:r>
            <w:fldChar w:fldCharType="begin"/>
          </w:r>
          <w:r>
            <w:instrText xml:space="preserve"> HYPERLINK \l "_Toc256000123" </w:instrText>
          </w:r>
          <w:r>
            <w:fldChar w:fldCharType="separate"/>
          </w:r>
          <w:r>
            <w:rPr>
              <w:rStyle w:val="21"/>
              <w:rFonts w:ascii="黑体" w:hAnsi="黑体" w:eastAsia="黑体" w:cs="黑体"/>
            </w:rPr>
            <w:t>附件</w:t>
          </w:r>
          <w:r>
            <w:tab/>
          </w:r>
          <w:r>
            <w:rPr>
              <w:rFonts w:hint="eastAsia"/>
              <w:lang w:val="en-US" w:eastAsia="zh-CN"/>
            </w:rPr>
            <w:t>2</w:t>
          </w:r>
          <w:r>
            <w:fldChar w:fldCharType="end"/>
          </w:r>
          <w:r>
            <w:rPr>
              <w:rFonts w:hint="eastAsia"/>
              <w:lang w:val="en-US" w:eastAsia="zh-CN"/>
            </w:rPr>
            <w:t>5</w:t>
          </w:r>
        </w:p>
        <w:p>
          <w:pPr>
            <w:adjustRightInd w:val="0"/>
            <w:snapToGrid w:val="0"/>
            <w:rPr>
              <w:rFonts w:hint="eastAsia" w:ascii="宋体" w:hAnsi="宋体" w:eastAsia="宋体" w:cs="Times New Roman"/>
              <w:b/>
              <w:bCs/>
              <w:kern w:val="2"/>
              <w:sz w:val="32"/>
              <w:szCs w:val="32"/>
              <w:lang w:val="en-US" w:eastAsia="zh-CN" w:bidi="ar-SA"/>
            </w:rPr>
          </w:pPr>
          <w:r>
            <w:rPr>
              <w:rFonts w:hint="eastAsia" w:ascii="仿宋" w:hAnsi="仿宋" w:eastAsia="仿宋" w:cs="仿宋"/>
              <w:b w:val="0"/>
              <w:bCs/>
              <w:kern w:val="2"/>
              <w:sz w:val="32"/>
              <w:szCs w:val="32"/>
              <w:lang w:val="en-US" w:eastAsia="zh-CN" w:bidi="ar-SA"/>
            </w:rPr>
            <w:fldChar w:fldCharType="end"/>
          </w:r>
        </w:p>
      </w:sdtContent>
    </w:sdt>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5504"/>
        </w:tabs>
        <w:bidi w:val="0"/>
        <w:jc w:val="left"/>
        <w:rPr>
          <w:rFonts w:hint="eastAsia"/>
          <w:lang w:val="en-US" w:eastAsia="zh-CN"/>
        </w:rPr>
        <w:sectPr>
          <w:footerReference r:id="rId4" w:type="default"/>
          <w:pgSz w:w="11906" w:h="16838"/>
          <w:pgMar w:top="1440" w:right="1083" w:bottom="1440" w:left="1083" w:header="0" w:footer="720" w:gutter="0"/>
          <w:cols w:space="0" w:num="1"/>
          <w:rtlGutter w:val="0"/>
          <w:docGrid w:type="lines" w:linePitch="317" w:charSpace="0"/>
        </w:sectPr>
      </w:pPr>
      <w:r>
        <w:rPr>
          <w:rFonts w:hint="eastAsia"/>
          <w:lang w:val="en-US" w:eastAsia="zh-CN"/>
        </w:rPr>
        <w:tab/>
      </w:r>
    </w:p>
    <w:p>
      <w:pPr>
        <w:widowControl/>
        <w:spacing w:before="240" w:after="240"/>
        <w:jc w:val="left"/>
        <w:rPr>
          <w:rFonts w:ascii="Times New Roman" w:hAnsi="Times New Roman" w:eastAsia="Times New Roman" w:cs="Times New Roman"/>
          <w:kern w:val="0"/>
          <w:sz w:val="24"/>
        </w:rPr>
      </w:pPr>
      <w:bookmarkStart w:id="0" w:name="a000"/>
    </w:p>
    <w:p>
      <w:pPr>
        <w:pStyle w:val="3"/>
        <w:keepNext w:val="0"/>
        <w:keepLines w:val="0"/>
        <w:spacing w:before="100" w:after="100" w:line="240" w:lineRule="auto"/>
        <w:ind w:left="0" w:right="0" w:firstLine="0" w:firstLineChars="0"/>
        <w:jc w:val="center"/>
        <w:rPr>
          <w:rFonts w:ascii="黑体" w:hAnsi="黑体" w:eastAsia="黑体" w:cs="黑体"/>
          <w:b/>
          <w:spacing w:val="0"/>
          <w:sz w:val="44"/>
          <w:szCs w:val="44"/>
        </w:rPr>
      </w:pPr>
      <w:bookmarkStart w:id="1" w:name="_Toc256000031"/>
      <w:bookmarkStart w:id="2" w:name="_Toc256000000"/>
      <w:bookmarkStart w:id="3" w:name="_Toc256000093"/>
      <w:bookmarkStart w:id="4" w:name="_Toc256000062"/>
      <w:r>
        <w:rPr>
          <w:rFonts w:ascii="黑体" w:hAnsi="黑体" w:eastAsia="黑体" w:cs="黑体"/>
          <w:b/>
          <w:spacing w:val="0"/>
          <w:sz w:val="44"/>
          <w:szCs w:val="44"/>
        </w:rPr>
        <w:t>第一部分</w:t>
      </w:r>
      <w:bookmarkEnd w:id="1"/>
      <w:bookmarkEnd w:id="2"/>
      <w:bookmarkEnd w:id="3"/>
      <w:bookmarkEnd w:id="4"/>
      <w:r>
        <w:rPr>
          <w:rFonts w:ascii="黑体" w:hAnsi="黑体" w:eastAsia="黑体" w:cs="黑体"/>
          <w:b/>
          <w:spacing w:val="0"/>
          <w:sz w:val="44"/>
          <w:szCs w:val="44"/>
        </w:rPr>
        <w:t> </w:t>
      </w:r>
      <w:bookmarkStart w:id="5" w:name="_Toc256000063"/>
      <w:bookmarkStart w:id="6" w:name="_Toc256000001"/>
      <w:bookmarkStart w:id="7" w:name="_Toc256000094"/>
      <w:bookmarkStart w:id="8" w:name="_Toc256000032"/>
      <w:r>
        <w:rPr>
          <w:rFonts w:hint="eastAsia" w:ascii="黑体" w:hAnsi="黑体" w:eastAsia="黑体" w:cs="黑体"/>
          <w:b/>
          <w:spacing w:val="0"/>
          <w:sz w:val="44"/>
          <w:szCs w:val="44"/>
          <w:lang w:val="en-US" w:eastAsia="zh-CN"/>
        </w:rPr>
        <w:t xml:space="preserve"> </w:t>
      </w:r>
      <w:r>
        <w:rPr>
          <w:rFonts w:ascii="黑体" w:hAnsi="黑体" w:eastAsia="黑体" w:cs="黑体"/>
          <w:b/>
          <w:spacing w:val="0"/>
          <w:sz w:val="44"/>
          <w:szCs w:val="44"/>
        </w:rPr>
        <w:t>单位概况</w:t>
      </w:r>
      <w:bookmarkEnd w:id="5"/>
      <w:bookmarkEnd w:id="6"/>
      <w:bookmarkEnd w:id="7"/>
      <w:bookmarkEnd w:id="8"/>
    </w:p>
    <w:p>
      <w:pPr>
        <w:pStyle w:val="29"/>
        <w:widowControl/>
        <w:spacing w:before="100" w:after="100"/>
        <w:ind w:left="0" w:right="0" w:firstLine="0"/>
        <w:jc w:val="center"/>
        <w:rPr>
          <w:rFonts w:ascii="Times New Roman" w:hAnsi="Times New Roman" w:eastAsia="Times New Roman" w:cs="Times New Roman"/>
          <w:kern w:val="0"/>
          <w:sz w:val="24"/>
        </w:rPr>
      </w:pPr>
    </w:p>
    <w:p>
      <w:pPr>
        <w:pStyle w:val="5"/>
        <w:keepNext w:val="0"/>
        <w:keepLines w:val="0"/>
        <w:spacing w:before="100" w:after="100" w:line="240" w:lineRule="auto"/>
        <w:ind w:left="0" w:right="0" w:firstLine="643" w:firstLineChars="200"/>
        <w:rPr>
          <w:rFonts w:ascii="Times New Roman" w:hAnsi="Times New Roman" w:eastAsia="Times New Roman" w:cs="Times New Roman"/>
          <w:b/>
          <w:bCs/>
          <w:kern w:val="0"/>
          <w:sz w:val="28"/>
          <w:szCs w:val="28"/>
        </w:rPr>
      </w:pPr>
      <w:bookmarkStart w:id="9" w:name="_Toc256000064"/>
      <w:bookmarkStart w:id="10" w:name="_Toc256000033"/>
      <w:bookmarkStart w:id="11" w:name="_Toc256000002"/>
      <w:bookmarkStart w:id="12" w:name="_Toc256000095"/>
      <w:r>
        <w:rPr>
          <w:rFonts w:ascii="黑体" w:hAnsi="黑体" w:eastAsia="黑体" w:cs="黑体"/>
          <w:b/>
          <w:spacing w:val="0"/>
        </w:rPr>
        <w:t>一、单位主要职责</w:t>
      </w:r>
      <w:bookmarkEnd w:id="9"/>
      <w:bookmarkEnd w:id="10"/>
      <w:bookmarkEnd w:id="11"/>
      <w:bookmarkEnd w:id="12"/>
    </w:p>
    <w:p>
      <w:pPr>
        <w:pStyle w:val="28"/>
        <w:widowControl/>
        <w:spacing w:before="100" w:after="100" w:line="600" w:lineRule="atLeast"/>
        <w:ind w:left="0" w:right="0" w:firstLine="640"/>
        <w:jc w:val="left"/>
        <w:rPr>
          <w:rFonts w:ascii="仿宋" w:hAnsi="仿宋" w:eastAsia="仿宋" w:cs="仿宋"/>
          <w:spacing w:val="0"/>
          <w:kern w:val="0"/>
          <w:sz w:val="32"/>
          <w:szCs w:val="32"/>
          <w:highlight w:val="none"/>
        </w:rPr>
      </w:pPr>
      <w:r>
        <w:rPr>
          <w:rFonts w:ascii="仿宋" w:hAnsi="仿宋" w:eastAsia="仿宋" w:cs="仿宋"/>
          <w:spacing w:val="0"/>
          <w:kern w:val="0"/>
          <w:sz w:val="32"/>
          <w:szCs w:val="32"/>
          <w:highlight w:val="none"/>
        </w:rPr>
        <w:t>福建省厦门双十中学湖里分校单位的主要职责是：</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highlight w:val="none"/>
        </w:rPr>
      </w:pPr>
      <w:r>
        <w:rPr>
          <w:rFonts w:hint="eastAsia" w:ascii="仿宋" w:hAnsi="仿宋" w:eastAsia="仿宋" w:cs="仿宋"/>
          <w:spacing w:val="0"/>
          <w:kern w:val="0"/>
          <w:sz w:val="32"/>
          <w:szCs w:val="32"/>
          <w:highlight w:val="none"/>
          <w:lang w:eastAsia="zh-CN"/>
        </w:rPr>
        <w:t>（</w:t>
      </w:r>
      <w:r>
        <w:rPr>
          <w:rFonts w:hint="eastAsia" w:ascii="仿宋" w:hAnsi="仿宋" w:eastAsia="仿宋" w:cs="仿宋"/>
          <w:spacing w:val="0"/>
          <w:kern w:val="0"/>
          <w:sz w:val="32"/>
          <w:szCs w:val="32"/>
          <w:highlight w:val="none"/>
        </w:rPr>
        <w:t>一)</w:t>
      </w:r>
      <w:r>
        <w:rPr>
          <w:rFonts w:hint="eastAsia" w:ascii="仿宋" w:hAnsi="仿宋" w:eastAsia="仿宋" w:cs="仿宋"/>
          <w:spacing w:val="0"/>
          <w:kern w:val="0"/>
          <w:sz w:val="32"/>
          <w:szCs w:val="32"/>
          <w:highlight w:val="none"/>
          <w:lang w:eastAsia="zh-CN"/>
        </w:rPr>
        <w:t>、</w:t>
      </w:r>
      <w:r>
        <w:rPr>
          <w:rFonts w:hint="eastAsia" w:ascii="仿宋" w:hAnsi="仿宋" w:eastAsia="仿宋" w:cs="仿宋"/>
          <w:spacing w:val="0"/>
          <w:kern w:val="0"/>
          <w:sz w:val="32"/>
          <w:szCs w:val="32"/>
          <w:highlight w:val="none"/>
        </w:rPr>
        <w:t>实施小学义务教育、初中义务教育，促进基础教育发展。</w:t>
      </w:r>
    </w:p>
    <w:p>
      <w:pPr>
        <w:pStyle w:val="28"/>
        <w:widowControl/>
        <w:spacing w:before="100" w:after="100" w:line="600" w:lineRule="atLeast"/>
        <w:ind w:right="0" w:firstLine="640" w:firstLineChars="200"/>
        <w:jc w:val="left"/>
        <w:rPr>
          <w:rFonts w:ascii="仿宋" w:hAnsi="仿宋" w:eastAsia="仿宋" w:cs="仿宋"/>
          <w:spacing w:val="0"/>
          <w:kern w:val="0"/>
          <w:sz w:val="32"/>
          <w:szCs w:val="32"/>
          <w:highlight w:val="none"/>
        </w:rPr>
      </w:pPr>
      <w:r>
        <w:rPr>
          <w:rFonts w:hint="eastAsia" w:ascii="仿宋" w:hAnsi="仿宋" w:eastAsia="仿宋" w:cs="仿宋"/>
          <w:spacing w:val="0"/>
          <w:kern w:val="0"/>
          <w:sz w:val="32"/>
          <w:szCs w:val="32"/>
          <w:highlight w:val="none"/>
          <w:lang w:eastAsia="zh-CN"/>
        </w:rPr>
        <w:t>（</w:t>
      </w:r>
      <w:r>
        <w:rPr>
          <w:rFonts w:hint="eastAsia" w:ascii="仿宋" w:hAnsi="仿宋" w:eastAsia="仿宋" w:cs="仿宋"/>
          <w:spacing w:val="0"/>
          <w:kern w:val="0"/>
          <w:sz w:val="32"/>
          <w:szCs w:val="32"/>
          <w:highlight w:val="none"/>
          <w:lang w:val="en-US" w:eastAsia="zh-CN"/>
        </w:rPr>
        <w:t>二</w:t>
      </w:r>
      <w:r>
        <w:rPr>
          <w:rFonts w:hint="eastAsia" w:ascii="仿宋" w:hAnsi="仿宋" w:eastAsia="仿宋" w:cs="仿宋"/>
          <w:spacing w:val="0"/>
          <w:kern w:val="0"/>
          <w:sz w:val="32"/>
          <w:szCs w:val="32"/>
          <w:highlight w:val="none"/>
        </w:rPr>
        <w:t>)</w:t>
      </w:r>
      <w:r>
        <w:rPr>
          <w:rFonts w:hint="eastAsia" w:ascii="仿宋" w:hAnsi="仿宋" w:eastAsia="仿宋" w:cs="仿宋"/>
          <w:spacing w:val="0"/>
          <w:kern w:val="0"/>
          <w:sz w:val="32"/>
          <w:szCs w:val="32"/>
          <w:highlight w:val="none"/>
          <w:lang w:eastAsia="zh-CN"/>
        </w:rPr>
        <w:t>、</w:t>
      </w:r>
      <w:r>
        <w:rPr>
          <w:rFonts w:hint="eastAsia" w:ascii="仿宋" w:hAnsi="仿宋" w:eastAsia="仿宋" w:cs="仿宋"/>
          <w:spacing w:val="0"/>
          <w:kern w:val="0"/>
          <w:sz w:val="32"/>
          <w:szCs w:val="32"/>
          <w:highlight w:val="none"/>
        </w:rPr>
        <w:t>小学学历教育，初中学历教育。</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highlight w:val="none"/>
        </w:rPr>
      </w:pPr>
      <w:bookmarkStart w:id="13" w:name="_Toc256000065"/>
      <w:bookmarkStart w:id="14" w:name="_Toc256000096"/>
      <w:bookmarkStart w:id="15" w:name="_Toc256000034"/>
      <w:bookmarkStart w:id="16" w:name="_Toc256000003"/>
      <w:r>
        <w:rPr>
          <w:rFonts w:ascii="黑体" w:hAnsi="黑体" w:eastAsia="黑体" w:cs="黑体"/>
          <w:b/>
          <w:spacing w:val="0"/>
          <w:highlight w:val="none"/>
        </w:rPr>
        <w:t>二、单位基本情况</w:t>
      </w:r>
      <w:bookmarkEnd w:id="13"/>
      <w:bookmarkEnd w:id="14"/>
      <w:bookmarkEnd w:id="15"/>
      <w:bookmarkEnd w:id="16"/>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highlight w:val="none"/>
        </w:rPr>
        <w:t>从决算单位构成看，本单位包括</w:t>
      </w:r>
      <w:r>
        <w:rPr>
          <w:rFonts w:hint="eastAsia" w:ascii="仿宋" w:hAnsi="仿宋" w:eastAsia="仿宋" w:cs="仿宋"/>
          <w:spacing w:val="0"/>
          <w:kern w:val="0"/>
          <w:sz w:val="32"/>
          <w:szCs w:val="32"/>
          <w:highlight w:val="none"/>
          <w:lang w:val="en-US" w:eastAsia="zh-CN"/>
        </w:rPr>
        <w:t>6</w:t>
      </w:r>
      <w:r>
        <w:rPr>
          <w:rFonts w:ascii="仿宋" w:hAnsi="仿宋" w:eastAsia="仿宋" w:cs="仿宋"/>
          <w:spacing w:val="0"/>
          <w:kern w:val="0"/>
          <w:sz w:val="32"/>
          <w:szCs w:val="32"/>
          <w:highlight w:val="none"/>
        </w:rPr>
        <w:t>个内设机构，</w:t>
      </w:r>
      <w:r>
        <w:rPr>
          <w:rFonts w:ascii="仿宋" w:hAnsi="仿宋" w:eastAsia="仿宋" w:cs="仿宋"/>
          <w:spacing w:val="0"/>
          <w:kern w:val="0"/>
          <w:sz w:val="32"/>
          <w:szCs w:val="32"/>
        </w:rPr>
        <w:t>其中：列入2024年决算编制范围的单位详细情况见下表:</w:t>
      </w:r>
    </w:p>
    <w:tbl>
      <w:tblPr>
        <w:tblStyle w:val="22"/>
        <w:tblW w:w="10510" w:type="dxa"/>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3665"/>
        <w:gridCol w:w="6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Header/>
        </w:trPr>
        <w:tc>
          <w:tcPr>
            <w:tcW w:w="3665" w:type="dxa"/>
            <w:noWrap w:val="0"/>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24"/>
              </w:rPr>
            </w:pPr>
            <w:r>
              <w:rPr>
                <w:rFonts w:ascii="仿宋" w:hAnsi="仿宋" w:eastAsia="仿宋" w:cs="仿宋"/>
                <w:b/>
                <w:bCs/>
                <w:i w:val="0"/>
                <w:iCs w:val="0"/>
                <w:smallCaps w:val="0"/>
                <w:color w:val="000000"/>
                <w:spacing w:val="0"/>
                <w:kern w:val="0"/>
                <w:sz w:val="24"/>
              </w:rPr>
              <w:t>序号</w:t>
            </w:r>
          </w:p>
        </w:tc>
        <w:tc>
          <w:tcPr>
            <w:tcW w:w="6845" w:type="dxa"/>
            <w:noWrap w:val="0"/>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24"/>
              </w:rPr>
            </w:pPr>
            <w:r>
              <w:rPr>
                <w:rFonts w:ascii="仿宋" w:hAnsi="仿宋" w:eastAsia="仿宋" w:cs="仿宋"/>
                <w:b/>
                <w:bCs/>
                <w:i w:val="0"/>
                <w:iCs w:val="0"/>
                <w:smallCaps w:val="0"/>
                <w:color w:val="000000"/>
                <w:spacing w:val="0"/>
                <w:kern w:val="0"/>
                <w:sz w:val="24"/>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blHeader/>
        </w:trPr>
        <w:tc>
          <w:tcPr>
            <w:tcW w:w="3665" w:type="dxa"/>
            <w:noWrap w:val="0"/>
            <w:tcMar>
              <w:top w:w="22" w:type="dxa"/>
              <w:left w:w="22" w:type="dxa"/>
              <w:bottom w:w="22" w:type="dxa"/>
              <w:right w:w="22" w:type="dxa"/>
            </w:tcMar>
            <w:vAlign w:val="center"/>
          </w:tcPr>
          <w:p>
            <w:pPr>
              <w:widowControl/>
              <w:ind w:firstLine="640"/>
              <w:jc w:val="center"/>
              <w:rPr>
                <w:rFonts w:hint="eastAsia" w:ascii="仿宋" w:hAnsi="仿宋" w:eastAsia="仿宋" w:cs="仿宋"/>
                <w:b/>
                <w:bCs/>
                <w:i w:val="0"/>
                <w:iCs w:val="0"/>
                <w:smallCaps w:val="0"/>
                <w:color w:val="000000"/>
                <w:spacing w:val="0"/>
                <w:kern w:val="0"/>
                <w:sz w:val="24"/>
                <w:lang w:val="en-US" w:eastAsia="zh-CN"/>
              </w:rPr>
            </w:pPr>
            <w:bookmarkStart w:id="17" w:name="_Toc256000035"/>
            <w:bookmarkStart w:id="18" w:name="_Toc256000097"/>
            <w:bookmarkStart w:id="19" w:name="_Toc256000066"/>
            <w:bookmarkStart w:id="20" w:name="_Toc256000004"/>
            <w:r>
              <w:rPr>
                <w:rFonts w:hint="eastAsia" w:ascii="仿宋" w:hAnsi="仿宋" w:eastAsia="仿宋" w:cs="仿宋"/>
                <w:b/>
                <w:bCs/>
                <w:i w:val="0"/>
                <w:iCs w:val="0"/>
                <w:smallCaps w:val="0"/>
                <w:color w:val="000000"/>
                <w:spacing w:val="0"/>
                <w:kern w:val="0"/>
                <w:sz w:val="24"/>
                <w:lang w:val="en-US" w:eastAsia="zh-CN"/>
              </w:rPr>
              <w:t>1</w:t>
            </w:r>
          </w:p>
        </w:tc>
        <w:tc>
          <w:tcPr>
            <w:tcW w:w="6845" w:type="dxa"/>
            <w:noWrap w:val="0"/>
            <w:tcMar>
              <w:top w:w="22" w:type="dxa"/>
              <w:left w:w="22" w:type="dxa"/>
              <w:bottom w:w="22" w:type="dxa"/>
              <w:right w:w="22" w:type="dxa"/>
            </w:tcMar>
            <w:vAlign w:val="center"/>
          </w:tcPr>
          <w:p>
            <w:pPr>
              <w:widowControl/>
              <w:ind w:firstLine="640"/>
              <w:jc w:val="center"/>
              <w:rPr>
                <w:rFonts w:hint="default" w:ascii="仿宋" w:hAnsi="仿宋" w:eastAsia="仿宋" w:cs="仿宋"/>
                <w:b/>
                <w:bCs/>
                <w:i w:val="0"/>
                <w:iCs w:val="0"/>
                <w:smallCaps w:val="0"/>
                <w:color w:val="000000"/>
                <w:spacing w:val="0"/>
                <w:kern w:val="0"/>
                <w:sz w:val="24"/>
                <w:lang w:val="en-US" w:eastAsia="zh-CN"/>
              </w:rPr>
            </w:pPr>
            <w:r>
              <w:rPr>
                <w:rFonts w:hint="eastAsia" w:ascii="仿宋_GB2312" w:hAnsi="??_GB2312" w:eastAsia="仿宋_GB2312"/>
                <w:color w:val="auto"/>
                <w:sz w:val="32"/>
                <w:szCs w:val="24"/>
                <w:lang w:val="en-US" w:eastAsia="zh-CN"/>
              </w:rPr>
              <w:t>福建省厦门双十中学湖里分校</w:t>
            </w:r>
          </w:p>
        </w:tc>
      </w:tr>
    </w:tbl>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三、单位主要工作总结</w:t>
      </w:r>
      <w:bookmarkEnd w:id="17"/>
      <w:bookmarkEnd w:id="18"/>
      <w:bookmarkEnd w:id="19"/>
      <w:bookmarkEnd w:id="20"/>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2024年，福建省厦门双十中学湖里分校单位主要任务是：围绕上述任务，重点完成了以下工作：</w:t>
      </w:r>
    </w:p>
    <w:p>
      <w:pPr>
        <w:pStyle w:val="28"/>
        <w:widowControl/>
        <w:spacing w:before="100" w:after="100" w:line="600" w:lineRule="atLeast"/>
        <w:ind w:right="0" w:firstLine="640" w:firstLineChars="20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202</w:t>
      </w:r>
      <w:r>
        <w:rPr>
          <w:rFonts w:hint="eastAsia" w:ascii="仿宋" w:hAnsi="仿宋" w:eastAsia="仿宋" w:cs="仿宋"/>
          <w:spacing w:val="0"/>
          <w:kern w:val="0"/>
          <w:sz w:val="32"/>
          <w:szCs w:val="32"/>
          <w:lang w:val="en-US" w:eastAsia="zh-CN"/>
        </w:rPr>
        <w:t>4</w:t>
      </w:r>
      <w:r>
        <w:rPr>
          <w:rFonts w:hint="eastAsia" w:ascii="仿宋" w:hAnsi="仿宋" w:eastAsia="仿宋" w:cs="仿宋"/>
          <w:spacing w:val="0"/>
          <w:kern w:val="0"/>
          <w:sz w:val="32"/>
          <w:szCs w:val="32"/>
        </w:rPr>
        <w:t>年</w:t>
      </w:r>
      <w:r>
        <w:rPr>
          <w:rFonts w:hint="eastAsia" w:ascii="仿宋" w:hAnsi="仿宋" w:eastAsia="仿宋" w:cs="仿宋"/>
          <w:spacing w:val="0"/>
          <w:kern w:val="0"/>
          <w:sz w:val="32"/>
          <w:szCs w:val="32"/>
          <w:lang w:val="en-US" w:eastAsia="zh-CN"/>
        </w:rPr>
        <w:t>9月</w:t>
      </w:r>
      <w:r>
        <w:rPr>
          <w:rFonts w:hint="eastAsia" w:ascii="仿宋" w:hAnsi="仿宋" w:eastAsia="仿宋" w:cs="仿宋"/>
          <w:spacing w:val="0"/>
          <w:kern w:val="0"/>
          <w:sz w:val="32"/>
          <w:szCs w:val="32"/>
        </w:rPr>
        <w:t>，福建省厦门双十中学湖里分校</w:t>
      </w:r>
      <w:r>
        <w:rPr>
          <w:rFonts w:hint="eastAsia" w:ascii="仿宋" w:hAnsi="仿宋" w:eastAsia="仿宋" w:cs="仿宋"/>
          <w:spacing w:val="0"/>
          <w:kern w:val="0"/>
          <w:sz w:val="32"/>
          <w:szCs w:val="32"/>
          <w:lang w:eastAsia="zh-CN"/>
        </w:rPr>
        <w:t>于五缘湾畔开启新的征程，</w:t>
      </w:r>
      <w:r>
        <w:rPr>
          <w:rFonts w:hint="eastAsia" w:ascii="仿宋" w:hAnsi="仿宋" w:eastAsia="仿宋" w:cs="仿宋"/>
          <w:spacing w:val="0"/>
          <w:kern w:val="0"/>
          <w:sz w:val="32"/>
          <w:szCs w:val="32"/>
          <w:lang w:val="en-US" w:eastAsia="zh-CN"/>
        </w:rPr>
        <w:t>学校的</w:t>
      </w:r>
      <w:r>
        <w:rPr>
          <w:rFonts w:hint="eastAsia" w:ascii="仿宋" w:hAnsi="仿宋" w:eastAsia="仿宋" w:cs="仿宋"/>
          <w:spacing w:val="0"/>
          <w:kern w:val="0"/>
          <w:sz w:val="32"/>
          <w:szCs w:val="32"/>
        </w:rPr>
        <w:t>主要任务是：</w:t>
      </w:r>
      <w:r>
        <w:rPr>
          <w:rFonts w:hint="eastAsia" w:ascii="仿宋" w:hAnsi="仿宋" w:eastAsia="仿宋" w:cs="仿宋"/>
          <w:spacing w:val="0"/>
          <w:kern w:val="0"/>
          <w:sz w:val="32"/>
          <w:szCs w:val="32"/>
          <w:lang w:eastAsia="zh-CN"/>
        </w:rPr>
        <w:t>坚持以习近平新时代中国特色社会主义思想为指引，全面贯彻党的教育方针，秉承“勤毅信诚”的校训精神，坚持“尊重生命、崇尚人文、热爱科学、追求卓越”的办学宗旨，在凤凰展翅的地方“</w:t>
      </w:r>
      <w:r>
        <w:rPr>
          <w:rFonts w:hint="eastAsia" w:ascii="仿宋" w:hAnsi="仿宋" w:eastAsia="仿宋" w:cs="仿宋"/>
          <w:spacing w:val="0"/>
          <w:kern w:val="0"/>
          <w:sz w:val="32"/>
          <w:szCs w:val="32"/>
          <w:lang w:val="en-US" w:eastAsia="zh-CN"/>
        </w:rPr>
        <w:t>以问启真，以美储善</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rPr>
        <w:t>锐意进取，开拓创新，在教育教学的广阔天地里，挥洒汗水，播种希望，收获成长</w:t>
      </w:r>
      <w:r>
        <w:rPr>
          <w:rFonts w:hint="eastAsia" w:ascii="仿宋" w:hAnsi="仿宋" w:eastAsia="仿宋" w:cs="仿宋"/>
          <w:spacing w:val="0"/>
          <w:kern w:val="0"/>
          <w:sz w:val="32"/>
          <w:szCs w:val="32"/>
          <w:lang w:eastAsia="zh-CN"/>
        </w:rPr>
        <w:t>，打造湖里区高品质“窗口学校”。</w:t>
      </w:r>
      <w:r>
        <w:rPr>
          <w:rFonts w:hint="eastAsia" w:ascii="仿宋" w:hAnsi="仿宋" w:eastAsia="仿宋" w:cs="仿宋"/>
          <w:spacing w:val="0"/>
          <w:kern w:val="0"/>
          <w:sz w:val="32"/>
          <w:szCs w:val="32"/>
        </w:rPr>
        <w:t>围绕上述任务，</w:t>
      </w:r>
      <w:r>
        <w:rPr>
          <w:rFonts w:hint="eastAsia" w:ascii="仿宋" w:hAnsi="仿宋" w:eastAsia="仿宋" w:cs="仿宋"/>
          <w:spacing w:val="0"/>
          <w:kern w:val="0"/>
          <w:sz w:val="32"/>
          <w:szCs w:val="32"/>
          <w:lang w:val="en-US" w:eastAsia="zh-CN"/>
        </w:rPr>
        <w:t>取得的主要事业成效如下</w:t>
      </w:r>
      <w:r>
        <w:rPr>
          <w:rFonts w:hint="eastAsia" w:ascii="仿宋" w:hAnsi="仿宋" w:eastAsia="仿宋" w:cs="仿宋"/>
          <w:spacing w:val="0"/>
          <w:kern w:val="0"/>
          <w:sz w:val="32"/>
          <w:szCs w:val="32"/>
        </w:rPr>
        <w:t>：</w:t>
      </w:r>
    </w:p>
    <w:p>
      <w:pPr>
        <w:autoSpaceDE/>
        <w:autoSpaceDN/>
        <w:spacing w:line="560" w:lineRule="exact"/>
        <w:rPr>
          <w:rFonts w:hint="eastAsia" w:ascii="黑体" w:hAnsi="黑体" w:eastAsia="黑体"/>
          <w:sz w:val="32"/>
          <w:szCs w:val="24"/>
          <w:highlight w:val="none"/>
          <w:lang w:eastAsia="zh-CN"/>
        </w:rPr>
      </w:pPr>
      <w:r>
        <w:rPr>
          <w:rFonts w:hint="eastAsia" w:ascii="黑体" w:hAnsi="黑体" w:eastAsia="黑体"/>
          <w:sz w:val="32"/>
          <w:szCs w:val="24"/>
          <w:highlight w:val="none"/>
          <w:lang w:eastAsia="zh-CN"/>
        </w:rPr>
        <w:t>（</w:t>
      </w:r>
      <w:r>
        <w:rPr>
          <w:rFonts w:hint="eastAsia" w:ascii="黑体" w:hAnsi="黑体" w:eastAsia="黑体"/>
          <w:sz w:val="32"/>
          <w:szCs w:val="24"/>
          <w:highlight w:val="none"/>
          <w:lang w:val="en-US" w:eastAsia="zh-CN"/>
        </w:rPr>
        <w:t>一</w:t>
      </w:r>
      <w:r>
        <w:rPr>
          <w:rFonts w:hint="eastAsia" w:ascii="黑体" w:hAnsi="黑体" w:eastAsia="黑体"/>
          <w:sz w:val="32"/>
          <w:szCs w:val="24"/>
          <w:highlight w:val="none"/>
          <w:lang w:eastAsia="zh-CN"/>
        </w:rPr>
        <w:t>）</w:t>
      </w:r>
      <w:r>
        <w:rPr>
          <w:rFonts w:hint="eastAsia" w:ascii="黑体" w:hAnsi="黑体" w:eastAsia="黑体"/>
          <w:sz w:val="32"/>
          <w:szCs w:val="24"/>
          <w:highlight w:val="none"/>
        </w:rPr>
        <w:t>党建引领，铸就红色</w:t>
      </w:r>
      <w:r>
        <w:rPr>
          <w:rFonts w:hint="eastAsia" w:ascii="黑体" w:hAnsi="黑体" w:eastAsia="黑体"/>
          <w:sz w:val="32"/>
          <w:szCs w:val="24"/>
          <w:highlight w:val="none"/>
          <w:lang w:val="en-US" w:eastAsia="zh-CN"/>
        </w:rPr>
        <w:t>坚定</w:t>
      </w:r>
      <w:r>
        <w:rPr>
          <w:rFonts w:hint="eastAsia" w:ascii="黑体" w:hAnsi="黑体" w:eastAsia="黑体"/>
          <w:sz w:val="32"/>
          <w:szCs w:val="24"/>
          <w:highlight w:val="none"/>
        </w:rPr>
        <w:t>基石</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组织7次线下集中理论学习、定期推送微信平台党建专栏学习资料30余篇</w:t>
      </w:r>
      <w:r>
        <w:rPr>
          <w:rFonts w:hint="eastAsia" w:ascii="仿宋" w:hAnsi="仿宋" w:eastAsia="仿宋" w:cs="仿宋"/>
          <w:spacing w:val="0"/>
          <w:kern w:val="0"/>
          <w:sz w:val="32"/>
          <w:szCs w:val="32"/>
          <w:lang w:eastAsia="zh-CN"/>
        </w:rPr>
        <w:t>。积极推进“中小学校党组织领导的校长负责制”，</w:t>
      </w:r>
      <w:r>
        <w:rPr>
          <w:rFonts w:hint="eastAsia" w:ascii="仿宋" w:hAnsi="仿宋" w:eastAsia="仿宋" w:cs="仿宋"/>
          <w:spacing w:val="0"/>
          <w:kern w:val="0"/>
          <w:sz w:val="32"/>
          <w:szCs w:val="32"/>
        </w:rPr>
        <w:t>召开党支部会议11次，支委会5次，考察并转正党员1名，按期开展党课1次、主题宣讲3次，组织2次党风廉政建设专题学习、主持2次廉政谈话，针对管理岗位党员干部进行廉政提醒，全年未发生党员违纪违法事件。组织干部培训云课堂10多场，参训</w:t>
      </w:r>
      <w:r>
        <w:rPr>
          <w:rFonts w:hint="eastAsia" w:ascii="仿宋" w:hAnsi="仿宋" w:eastAsia="仿宋" w:cs="仿宋"/>
          <w:spacing w:val="0"/>
          <w:kern w:val="0"/>
          <w:sz w:val="32"/>
          <w:szCs w:val="32"/>
          <w:lang w:val="en-US" w:eastAsia="zh-CN"/>
        </w:rPr>
        <w:t>150</w:t>
      </w:r>
      <w:r>
        <w:rPr>
          <w:rFonts w:hint="eastAsia" w:ascii="仿宋" w:hAnsi="仿宋" w:eastAsia="仿宋" w:cs="仿宋"/>
          <w:spacing w:val="0"/>
          <w:kern w:val="0"/>
          <w:sz w:val="32"/>
          <w:szCs w:val="32"/>
        </w:rPr>
        <w:t>多人次，持续增强学校发展动能。</w:t>
      </w:r>
    </w:p>
    <w:p>
      <w:pPr>
        <w:autoSpaceDE/>
        <w:autoSpaceDN/>
        <w:spacing w:line="560" w:lineRule="exact"/>
        <w:rPr>
          <w:rFonts w:hint="eastAsia" w:ascii="黑体" w:hAnsi="黑体" w:eastAsia="黑体"/>
          <w:sz w:val="32"/>
          <w:szCs w:val="24"/>
          <w:highlight w:val="none"/>
          <w:lang w:eastAsia="zh-CN"/>
        </w:rPr>
      </w:pPr>
      <w:r>
        <w:rPr>
          <w:rFonts w:hint="eastAsia" w:ascii="黑体" w:hAnsi="黑体" w:eastAsia="黑体"/>
          <w:sz w:val="32"/>
          <w:szCs w:val="24"/>
          <w:highlight w:val="none"/>
          <w:lang w:eastAsia="zh-CN"/>
        </w:rPr>
        <w:t>（</w:t>
      </w:r>
      <w:r>
        <w:rPr>
          <w:rFonts w:hint="eastAsia" w:ascii="黑体" w:hAnsi="黑体" w:eastAsia="黑体"/>
          <w:sz w:val="32"/>
          <w:szCs w:val="24"/>
          <w:highlight w:val="none"/>
          <w:lang w:val="en-US" w:eastAsia="zh-CN"/>
        </w:rPr>
        <w:t>二</w:t>
      </w:r>
      <w:r>
        <w:rPr>
          <w:rFonts w:hint="eastAsia" w:ascii="黑体" w:hAnsi="黑体" w:eastAsia="黑体"/>
          <w:sz w:val="32"/>
          <w:szCs w:val="24"/>
          <w:highlight w:val="none"/>
          <w:lang w:eastAsia="zh-CN"/>
        </w:rPr>
        <w:t>）合作办学，携手</w:t>
      </w:r>
      <w:r>
        <w:rPr>
          <w:rFonts w:hint="eastAsia" w:ascii="黑体" w:hAnsi="黑体" w:eastAsia="黑体"/>
          <w:sz w:val="32"/>
          <w:szCs w:val="24"/>
          <w:highlight w:val="none"/>
          <w:lang w:val="en-US" w:eastAsia="zh-CN"/>
        </w:rPr>
        <w:t>双十</w:t>
      </w:r>
      <w:r>
        <w:rPr>
          <w:rFonts w:hint="eastAsia" w:ascii="黑体" w:hAnsi="黑体" w:eastAsia="黑体"/>
          <w:sz w:val="32"/>
          <w:szCs w:val="24"/>
          <w:highlight w:val="none"/>
          <w:lang w:eastAsia="zh-CN"/>
        </w:rPr>
        <w:t>资源共享</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lang w:eastAsia="zh-CN"/>
        </w:rPr>
        <w:t>在教育理念与管理模式上，全面引入并践行了双十中学“勤毅信诚”的校训精神及“尊重生命、崇尚人文、热爱科学、追求卓越”的办学宗旨。共享双十中学先进的教育理念和管理经验，并结合本校九年一贯制实际，形成了具有双十湖里特色的管理模式。</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lang w:eastAsia="zh-CN"/>
        </w:rPr>
        <w:t>在教学资源方面，充分利用双十中学的优质资源，实现了教学资源的共享与互补。在师资队伍建设上</w:t>
      </w:r>
      <w:r>
        <w:rPr>
          <w:rFonts w:hint="eastAsia" w:ascii="仿宋" w:hAnsi="仿宋" w:eastAsia="仿宋" w:cs="仿宋"/>
          <w:spacing w:val="0"/>
          <w:kern w:val="0"/>
          <w:sz w:val="32"/>
          <w:szCs w:val="32"/>
          <w:lang w:val="en-US" w:eastAsia="zh-CN"/>
        </w:rPr>
        <w:t>即</w:t>
      </w:r>
      <w:r>
        <w:rPr>
          <w:rFonts w:hint="eastAsia" w:ascii="仿宋" w:hAnsi="仿宋" w:eastAsia="仿宋" w:cs="仿宋"/>
          <w:spacing w:val="0"/>
          <w:kern w:val="0"/>
          <w:sz w:val="32"/>
          <w:szCs w:val="32"/>
          <w:lang w:eastAsia="zh-CN"/>
        </w:rPr>
        <w:t>培训、集备教研等活动</w:t>
      </w:r>
      <w:r>
        <w:rPr>
          <w:rFonts w:hint="eastAsia" w:ascii="仿宋" w:hAnsi="仿宋" w:eastAsia="仿宋" w:cs="仿宋"/>
          <w:spacing w:val="0"/>
          <w:kern w:val="0"/>
          <w:sz w:val="32"/>
          <w:szCs w:val="32"/>
          <w:lang w:val="en-US" w:eastAsia="zh-CN"/>
        </w:rPr>
        <w:t>上</w:t>
      </w:r>
      <w:r>
        <w:rPr>
          <w:rFonts w:hint="eastAsia" w:ascii="仿宋" w:hAnsi="仿宋" w:eastAsia="仿宋" w:cs="仿宋"/>
          <w:spacing w:val="0"/>
          <w:kern w:val="0"/>
          <w:sz w:val="32"/>
          <w:szCs w:val="32"/>
          <w:lang w:eastAsia="zh-CN"/>
        </w:rPr>
        <w:t>，得到双十中学的大力支持。在学生培养方面，与双十中学开展了多次学生交流活动，拓宽了学生的视野，增强了学生的综合素质。</w:t>
      </w:r>
    </w:p>
    <w:p>
      <w:pPr>
        <w:autoSpaceDE/>
        <w:autoSpaceDN/>
        <w:spacing w:line="560" w:lineRule="exact"/>
        <w:rPr>
          <w:rFonts w:hint="eastAsia" w:ascii="黑体" w:hAnsi="黑体" w:eastAsia="黑体"/>
          <w:sz w:val="32"/>
          <w:szCs w:val="24"/>
          <w:highlight w:val="none"/>
          <w:lang w:eastAsia="zh-CN"/>
        </w:rPr>
      </w:pPr>
      <w:r>
        <w:rPr>
          <w:rFonts w:hint="eastAsia" w:ascii="黑体" w:hAnsi="黑体" w:eastAsia="黑体"/>
          <w:sz w:val="32"/>
          <w:szCs w:val="24"/>
          <w:highlight w:val="none"/>
          <w:lang w:eastAsia="zh-CN"/>
        </w:rPr>
        <w:t>（</w:t>
      </w:r>
      <w:r>
        <w:rPr>
          <w:rFonts w:hint="eastAsia" w:ascii="黑体" w:hAnsi="黑体" w:eastAsia="黑体"/>
          <w:sz w:val="32"/>
          <w:szCs w:val="24"/>
          <w:highlight w:val="none"/>
          <w:lang w:val="en-US" w:eastAsia="zh-CN"/>
        </w:rPr>
        <w:t>三</w:t>
      </w:r>
      <w:r>
        <w:rPr>
          <w:rFonts w:hint="eastAsia" w:ascii="黑体" w:hAnsi="黑体" w:eastAsia="黑体"/>
          <w:sz w:val="32"/>
          <w:szCs w:val="24"/>
          <w:highlight w:val="none"/>
          <w:lang w:eastAsia="zh-CN"/>
        </w:rPr>
        <w:t>）价值驱动，教育教学</w:t>
      </w:r>
      <w:r>
        <w:rPr>
          <w:rFonts w:hint="eastAsia" w:ascii="黑体" w:hAnsi="黑体" w:eastAsia="黑体"/>
          <w:sz w:val="32"/>
          <w:szCs w:val="24"/>
          <w:highlight w:val="none"/>
          <w:lang w:val="en-US" w:eastAsia="zh-CN"/>
        </w:rPr>
        <w:t>初</w:t>
      </w:r>
      <w:r>
        <w:rPr>
          <w:rFonts w:hint="eastAsia" w:ascii="黑体" w:hAnsi="黑体" w:eastAsia="黑体"/>
          <w:sz w:val="32"/>
          <w:szCs w:val="24"/>
          <w:highlight w:val="none"/>
          <w:lang w:eastAsia="zh-CN"/>
        </w:rPr>
        <w:t>创新高</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七年级成绩稳创新。 2024-2025上学期期末数学、语文成绩位居湖里区前茅。</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学</w:t>
      </w:r>
      <w:r>
        <w:rPr>
          <w:rFonts w:hint="eastAsia" w:ascii="仿宋" w:hAnsi="仿宋" w:eastAsia="仿宋" w:cs="仿宋"/>
          <w:spacing w:val="0"/>
          <w:kern w:val="0"/>
          <w:sz w:val="32"/>
          <w:szCs w:val="32"/>
          <w:lang w:eastAsia="zh-CN"/>
        </w:rPr>
        <w:t>科竞赛创</w:t>
      </w:r>
      <w:r>
        <w:rPr>
          <w:rFonts w:hint="eastAsia" w:ascii="仿宋" w:hAnsi="仿宋" w:eastAsia="仿宋" w:cs="仿宋"/>
          <w:spacing w:val="0"/>
          <w:kern w:val="0"/>
          <w:sz w:val="32"/>
          <w:szCs w:val="32"/>
          <w:lang w:val="en-US" w:eastAsia="zh-CN"/>
        </w:rPr>
        <w:t>辉煌</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lang w:val="en-US" w:eastAsia="zh-CN"/>
        </w:rPr>
        <w:t>数学</w:t>
      </w:r>
      <w:r>
        <w:rPr>
          <w:rFonts w:hint="eastAsia" w:ascii="仿宋" w:hAnsi="仿宋" w:eastAsia="仿宋" w:cs="仿宋"/>
          <w:spacing w:val="0"/>
          <w:kern w:val="0"/>
          <w:sz w:val="32"/>
          <w:szCs w:val="32"/>
          <w:lang w:eastAsia="zh-CN"/>
        </w:rPr>
        <w:t>学科竞赛共获</w:t>
      </w:r>
      <w:r>
        <w:rPr>
          <w:rFonts w:hint="eastAsia" w:ascii="仿宋" w:hAnsi="仿宋" w:eastAsia="仿宋" w:cs="仿宋"/>
          <w:spacing w:val="0"/>
          <w:kern w:val="0"/>
          <w:sz w:val="32"/>
          <w:szCs w:val="32"/>
          <w:lang w:val="en-US" w:eastAsia="zh-CN"/>
        </w:rPr>
        <w:t>3</w:t>
      </w:r>
      <w:r>
        <w:rPr>
          <w:rFonts w:hint="eastAsia" w:ascii="仿宋" w:hAnsi="仿宋" w:eastAsia="仿宋" w:cs="仿宋"/>
          <w:spacing w:val="0"/>
          <w:kern w:val="0"/>
          <w:sz w:val="32"/>
          <w:szCs w:val="32"/>
          <w:lang w:eastAsia="zh-CN"/>
        </w:rPr>
        <w:t>金</w:t>
      </w:r>
      <w:r>
        <w:rPr>
          <w:rFonts w:hint="eastAsia" w:ascii="仿宋" w:hAnsi="仿宋" w:eastAsia="仿宋" w:cs="仿宋"/>
          <w:spacing w:val="0"/>
          <w:kern w:val="0"/>
          <w:sz w:val="32"/>
          <w:szCs w:val="32"/>
          <w:lang w:val="en-US" w:eastAsia="zh-CN"/>
        </w:rPr>
        <w:t>9</w:t>
      </w:r>
      <w:r>
        <w:rPr>
          <w:rFonts w:hint="eastAsia" w:ascii="仿宋" w:hAnsi="仿宋" w:eastAsia="仿宋" w:cs="仿宋"/>
          <w:spacing w:val="0"/>
          <w:kern w:val="0"/>
          <w:sz w:val="32"/>
          <w:szCs w:val="32"/>
          <w:lang w:eastAsia="zh-CN"/>
        </w:rPr>
        <w:t>银，</w:t>
      </w:r>
      <w:r>
        <w:rPr>
          <w:rFonts w:hint="eastAsia" w:ascii="仿宋" w:hAnsi="仿宋" w:eastAsia="仿宋" w:cs="仿宋"/>
          <w:spacing w:val="0"/>
          <w:kern w:val="0"/>
          <w:sz w:val="32"/>
          <w:szCs w:val="32"/>
          <w:lang w:val="en-US" w:eastAsia="zh-CN"/>
        </w:rPr>
        <w:t>3铜。小学一年级同学在</w:t>
      </w:r>
      <w:r>
        <w:rPr>
          <w:rFonts w:hint="eastAsia" w:ascii="仿宋" w:hAnsi="仿宋" w:eastAsia="仿宋" w:cs="仿宋"/>
          <w:spacing w:val="0"/>
          <w:kern w:val="0"/>
          <w:sz w:val="32"/>
          <w:szCs w:val="32"/>
          <w:lang w:eastAsia="zh-CN"/>
        </w:rPr>
        <w:t>第</w:t>
      </w:r>
      <w:r>
        <w:rPr>
          <w:rFonts w:hint="eastAsia" w:ascii="仿宋" w:hAnsi="仿宋" w:eastAsia="仿宋" w:cs="仿宋"/>
          <w:spacing w:val="0"/>
          <w:kern w:val="0"/>
          <w:sz w:val="32"/>
          <w:szCs w:val="32"/>
          <w:lang w:val="en-US" w:eastAsia="zh-CN"/>
        </w:rPr>
        <w:t>7届</w:t>
      </w:r>
      <w:r>
        <w:rPr>
          <w:rFonts w:hint="eastAsia" w:ascii="仿宋" w:hAnsi="仿宋" w:eastAsia="仿宋" w:cs="仿宋"/>
          <w:spacing w:val="0"/>
          <w:kern w:val="0"/>
          <w:sz w:val="32"/>
          <w:szCs w:val="32"/>
          <w:lang w:eastAsia="zh-CN"/>
        </w:rPr>
        <w:t>厦门市</w:t>
      </w:r>
      <w:r>
        <w:rPr>
          <w:rFonts w:hint="eastAsia" w:ascii="仿宋" w:hAnsi="仿宋" w:eastAsia="仿宋" w:cs="仿宋"/>
          <w:spacing w:val="0"/>
          <w:kern w:val="0"/>
          <w:sz w:val="32"/>
          <w:szCs w:val="32"/>
          <w:lang w:val="en-US" w:eastAsia="zh-CN"/>
        </w:rPr>
        <w:t>中小学生</w:t>
      </w:r>
      <w:r>
        <w:rPr>
          <w:rFonts w:hint="eastAsia" w:ascii="仿宋" w:hAnsi="仿宋" w:eastAsia="仿宋" w:cs="仿宋"/>
          <w:spacing w:val="0"/>
          <w:kern w:val="0"/>
          <w:sz w:val="32"/>
          <w:szCs w:val="32"/>
          <w:lang w:eastAsia="zh-CN"/>
        </w:rPr>
        <w:t>创</w:t>
      </w:r>
      <w:r>
        <w:rPr>
          <w:rFonts w:hint="eastAsia" w:ascii="仿宋" w:hAnsi="仿宋" w:eastAsia="仿宋" w:cs="仿宋"/>
          <w:spacing w:val="0"/>
          <w:kern w:val="0"/>
          <w:sz w:val="32"/>
          <w:szCs w:val="32"/>
          <w:lang w:val="en-US" w:eastAsia="zh-CN"/>
        </w:rPr>
        <w:t>客</w:t>
      </w:r>
      <w:r>
        <w:rPr>
          <w:rFonts w:hint="eastAsia" w:ascii="仿宋" w:hAnsi="仿宋" w:eastAsia="仿宋" w:cs="仿宋"/>
          <w:spacing w:val="0"/>
          <w:kern w:val="0"/>
          <w:sz w:val="32"/>
          <w:szCs w:val="32"/>
          <w:lang w:eastAsia="zh-CN"/>
        </w:rPr>
        <w:t>大赛</w:t>
      </w:r>
      <w:r>
        <w:rPr>
          <w:rFonts w:hint="eastAsia" w:ascii="仿宋" w:hAnsi="仿宋" w:eastAsia="仿宋" w:cs="仿宋"/>
          <w:spacing w:val="0"/>
          <w:kern w:val="0"/>
          <w:sz w:val="32"/>
          <w:szCs w:val="32"/>
          <w:lang w:val="en-US" w:eastAsia="zh-CN"/>
        </w:rPr>
        <w:t>智力挑战赛中3人喜获市赛三等奖；3人喜获区创客</w:t>
      </w:r>
      <w:r>
        <w:rPr>
          <w:rFonts w:hint="eastAsia" w:ascii="仿宋" w:hAnsi="仿宋" w:eastAsia="仿宋" w:cs="仿宋"/>
          <w:spacing w:val="0"/>
          <w:kern w:val="0"/>
          <w:sz w:val="32"/>
          <w:szCs w:val="32"/>
          <w:lang w:eastAsia="zh-CN"/>
        </w:rPr>
        <w:t>大赛</w:t>
      </w:r>
      <w:r>
        <w:rPr>
          <w:rFonts w:hint="eastAsia" w:ascii="仿宋" w:hAnsi="仿宋" w:eastAsia="仿宋" w:cs="仿宋"/>
          <w:spacing w:val="0"/>
          <w:kern w:val="0"/>
          <w:sz w:val="32"/>
          <w:szCs w:val="32"/>
          <w:lang w:val="en-US" w:eastAsia="zh-CN"/>
        </w:rPr>
        <w:t>智力挑战赛一等奖</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lang w:val="en-US" w:eastAsia="zh-CN"/>
        </w:rPr>
        <w:t>9人喜获区创客</w:t>
      </w:r>
      <w:r>
        <w:rPr>
          <w:rFonts w:hint="eastAsia" w:ascii="仿宋" w:hAnsi="仿宋" w:eastAsia="仿宋" w:cs="仿宋"/>
          <w:spacing w:val="0"/>
          <w:kern w:val="0"/>
          <w:sz w:val="32"/>
          <w:szCs w:val="32"/>
          <w:lang w:eastAsia="zh-CN"/>
        </w:rPr>
        <w:t>大赛</w:t>
      </w:r>
      <w:r>
        <w:rPr>
          <w:rFonts w:hint="eastAsia" w:ascii="仿宋" w:hAnsi="仿宋" w:eastAsia="仿宋" w:cs="仿宋"/>
          <w:spacing w:val="0"/>
          <w:kern w:val="0"/>
          <w:sz w:val="32"/>
          <w:szCs w:val="32"/>
          <w:lang w:val="en-US" w:eastAsia="zh-CN"/>
        </w:rPr>
        <w:t>智力挑战赛二等奖。</w:t>
      </w:r>
    </w:p>
    <w:p>
      <w:pPr>
        <w:autoSpaceDE/>
        <w:autoSpaceDN/>
        <w:spacing w:line="560" w:lineRule="exact"/>
        <w:rPr>
          <w:rFonts w:hint="eastAsia" w:ascii="黑体" w:hAnsi="黑体" w:eastAsia="黑体"/>
          <w:sz w:val="32"/>
          <w:szCs w:val="24"/>
          <w:highlight w:val="none"/>
          <w:lang w:val="en-US" w:eastAsia="zh-CN"/>
        </w:rPr>
      </w:pPr>
      <w:r>
        <w:rPr>
          <w:rFonts w:hint="eastAsia" w:ascii="黑体" w:hAnsi="黑体" w:eastAsia="黑体"/>
          <w:sz w:val="32"/>
          <w:szCs w:val="24"/>
          <w:highlight w:val="none"/>
          <w:lang w:val="en-US" w:eastAsia="zh-CN"/>
        </w:rPr>
        <w:t>（四）</w:t>
      </w:r>
      <w:r>
        <w:rPr>
          <w:rFonts w:hint="eastAsia" w:ascii="黑体" w:hAnsi="黑体" w:eastAsia="黑体"/>
          <w:sz w:val="32"/>
          <w:szCs w:val="24"/>
          <w:highlight w:val="none"/>
          <w:lang w:eastAsia="zh-CN"/>
        </w:rPr>
        <w:t>五育并举，全面发展启智润心</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组建德育团队、三级家委会、膳食委员会，开展德育研讨，助力年段德育常规有序进行；高质量开展首届校庆、校运会、“我与祖国共成长”文艺汇演、红色研学等“五育”系列活动，学生身心健康发展；体系化推进家长读书会31期、家长系列讲座3场，赋能家庭教育。</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   文体比赛活动摘金夺铜。一1张沛宸参加湖里区校园小主持人比赛中，荣获区一等奖；一3张钟莛薇在湖里区校园小舞者比赛中，获得区三等奖；廖妙莹荣获区运会跳高第八名；林乙心、曾茗炫、卢妤萱、薛玥莹荣获区运会女子4×100米接力赛第八名。</w:t>
      </w:r>
    </w:p>
    <w:p>
      <w:pPr>
        <w:wordWrap w:val="0"/>
        <w:topLinePunct/>
        <w:autoSpaceDE/>
        <w:autoSpaceDN/>
        <w:spacing w:line="560" w:lineRule="exact"/>
        <w:rPr>
          <w:rFonts w:hint="eastAsia" w:ascii="黑体" w:hAnsi="黑体" w:eastAsia="黑体"/>
          <w:sz w:val="32"/>
          <w:szCs w:val="24"/>
          <w:highlight w:val="none"/>
          <w:lang w:eastAsia="zh-CN"/>
        </w:rPr>
      </w:pPr>
      <w:r>
        <w:rPr>
          <w:rFonts w:hint="eastAsia" w:ascii="黑体" w:hAnsi="黑体" w:eastAsia="黑体"/>
          <w:sz w:val="32"/>
          <w:szCs w:val="24"/>
          <w:highlight w:val="none"/>
          <w:lang w:eastAsia="zh-CN"/>
        </w:rPr>
        <w:t>（</w:t>
      </w:r>
      <w:r>
        <w:rPr>
          <w:rFonts w:hint="eastAsia" w:ascii="黑体" w:hAnsi="黑体" w:eastAsia="黑体"/>
          <w:sz w:val="32"/>
          <w:szCs w:val="24"/>
          <w:highlight w:val="none"/>
          <w:lang w:val="en-US" w:eastAsia="zh-CN"/>
        </w:rPr>
        <w:t>五</w:t>
      </w:r>
      <w:r>
        <w:rPr>
          <w:rFonts w:hint="eastAsia" w:ascii="黑体" w:hAnsi="黑体" w:eastAsia="黑体"/>
          <w:sz w:val="32"/>
          <w:szCs w:val="24"/>
          <w:highlight w:val="none"/>
          <w:lang w:eastAsia="zh-CN"/>
        </w:rPr>
        <w:t>）教师培养，盛德在木育苗成林</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依托双十中学开展新教师培训，开设各类讲座18场；青蓝工程为青年教师搭建成长舞台，系列课程培养高素质、专业化的教师队伍，九年一体化建设通盘考量，全面落实“一年合格、三年优秀、五年成骨干、十年成学带”的发展路径。</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教育科研全面提升。4项课题立项为省规划课题，3项课题立项为市规划课题，3项课题立项为区规划课题，2篇论文发表在CN级刊物。3篇在各级比赛中获奖。此心同愿，共育英才。</w:t>
      </w:r>
    </w:p>
    <w:p>
      <w:pPr>
        <w:wordWrap w:val="0"/>
        <w:topLinePunct/>
        <w:autoSpaceDE/>
        <w:autoSpaceDN/>
        <w:spacing w:line="560" w:lineRule="exact"/>
        <w:rPr>
          <w:rFonts w:hint="eastAsia" w:ascii="黑体" w:hAnsi="黑体" w:eastAsia="黑体"/>
          <w:sz w:val="32"/>
          <w:szCs w:val="24"/>
          <w:highlight w:val="none"/>
          <w:lang w:eastAsia="zh-CN"/>
        </w:rPr>
      </w:pPr>
      <w:r>
        <w:rPr>
          <w:rFonts w:hint="eastAsia" w:ascii="黑体" w:hAnsi="黑体" w:eastAsia="黑体"/>
          <w:sz w:val="32"/>
          <w:szCs w:val="24"/>
          <w:highlight w:val="none"/>
          <w:lang w:eastAsia="zh-CN"/>
        </w:rPr>
        <w:t>（</w:t>
      </w:r>
      <w:r>
        <w:rPr>
          <w:rFonts w:hint="eastAsia" w:ascii="黑体" w:hAnsi="黑体" w:eastAsia="黑体"/>
          <w:sz w:val="32"/>
          <w:szCs w:val="24"/>
          <w:highlight w:val="none"/>
          <w:lang w:val="en-US" w:eastAsia="zh-CN"/>
        </w:rPr>
        <w:t>六</w:t>
      </w:r>
      <w:r>
        <w:rPr>
          <w:rFonts w:hint="eastAsia" w:ascii="黑体" w:hAnsi="黑体" w:eastAsia="黑体"/>
          <w:sz w:val="32"/>
          <w:szCs w:val="24"/>
          <w:highlight w:val="none"/>
          <w:lang w:eastAsia="zh-CN"/>
        </w:rPr>
        <w:t>）精细管理，后勤安保卓有成效</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推进综治安全。本年度，各校区共召开后勤安全联席会议10余次，完成监控探头安装855处、消控点位1500个、防入侵系统48处，各类演练5次，更新建设人脸识别系统135处、车位建设等多个项目。</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完善校园建设。美化工程有序进行，校园内绿树成荫，花香四溢。</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hint="eastAsia" w:ascii="仿宋" w:hAnsi="仿宋" w:eastAsia="仿宋" w:cs="仿宋"/>
          <w:spacing w:val="0"/>
          <w:kern w:val="0"/>
          <w:sz w:val="32"/>
          <w:szCs w:val="32"/>
          <w:lang w:val="en-US" w:eastAsia="zh-CN"/>
        </w:rPr>
        <w:t>暖心服务师生。在病困慰问等方面持续发力，不断提升师生的幸福感和获得感。</w:t>
      </w:r>
    </w:p>
    <w:p>
      <w:pPr>
        <w:pStyle w:val="29"/>
        <w:widowControl/>
        <w:spacing w:before="100" w:after="100"/>
        <w:ind w:left="0" w:right="0" w:firstLine="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黑体" w:hAnsi="黑体" w:eastAsia="黑体" w:cs="黑体"/>
          <w:b/>
          <w:spacing w:val="0"/>
          <w:sz w:val="44"/>
          <w:szCs w:val="44"/>
        </w:rPr>
      </w:pPr>
      <w:bookmarkStart w:id="21" w:name="_Toc256000067"/>
      <w:bookmarkStart w:id="22" w:name="_Toc256000005"/>
      <w:bookmarkStart w:id="23" w:name="_Toc256000036"/>
      <w:bookmarkStart w:id="24" w:name="_Toc256000098"/>
      <w:r>
        <w:rPr>
          <w:rFonts w:ascii="黑体" w:hAnsi="黑体" w:eastAsia="黑体" w:cs="黑体"/>
          <w:b/>
          <w:spacing w:val="0"/>
          <w:sz w:val="44"/>
          <w:szCs w:val="44"/>
        </w:rPr>
        <w:t>第二部分</w:t>
      </w:r>
      <w:bookmarkEnd w:id="21"/>
      <w:bookmarkEnd w:id="22"/>
      <w:bookmarkEnd w:id="23"/>
      <w:bookmarkEnd w:id="24"/>
      <w:bookmarkStart w:id="25" w:name="_Toc256000006"/>
      <w:bookmarkStart w:id="26" w:name="_Toc256000068"/>
      <w:bookmarkStart w:id="27" w:name="_Toc256000099"/>
      <w:bookmarkStart w:id="28" w:name="_Toc256000037"/>
      <w:r>
        <w:rPr>
          <w:rFonts w:hint="eastAsia" w:ascii="黑体" w:hAnsi="黑体" w:eastAsia="黑体" w:cs="黑体"/>
          <w:b/>
          <w:spacing w:val="0"/>
          <w:sz w:val="44"/>
          <w:szCs w:val="44"/>
          <w:lang w:val="en-US" w:eastAsia="zh-CN"/>
        </w:rPr>
        <w:t xml:space="preserve">  </w:t>
      </w:r>
      <w:r>
        <w:rPr>
          <w:rFonts w:ascii="黑体" w:hAnsi="黑体" w:eastAsia="黑体" w:cs="黑体"/>
          <w:b/>
          <w:spacing w:val="0"/>
          <w:sz w:val="44"/>
          <w:szCs w:val="44"/>
        </w:rPr>
        <w:t>2024年度决算表</w:t>
      </w:r>
      <w:bookmarkEnd w:id="25"/>
      <w:bookmarkEnd w:id="26"/>
      <w:bookmarkEnd w:id="27"/>
      <w:bookmarkEnd w:id="28"/>
      <w:bookmarkStart w:id="29" w:name="_Toc256000069"/>
      <w:bookmarkStart w:id="30" w:name="_Toc256000038"/>
      <w:bookmarkStart w:id="31" w:name="_Toc256000100"/>
      <w:bookmarkStart w:id="32" w:name="_Toc256000007"/>
    </w:p>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一、收入支出决算总表</w:t>
      </w:r>
      <w:bookmarkEnd w:id="29"/>
      <w:bookmarkEnd w:id="30"/>
      <w:bookmarkEnd w:id="31"/>
      <w:bookmarkEnd w:id="32"/>
    </w:p>
    <w:p/>
    <w:tbl>
      <w:tblPr>
        <w:tblStyle w:val="22"/>
        <w:tblpPr w:leftFromText="180" w:rightFromText="180" w:vertAnchor="text" w:horzAnchor="page" w:tblpX="1423" w:tblpY="-2"/>
        <w:tblOverlap w:val="never"/>
        <w:tblW w:w="9052" w:type="dxa"/>
        <w:tblInd w:w="0" w:type="dxa"/>
        <w:tblLayout w:type="fixed"/>
        <w:tblCellMar>
          <w:top w:w="15" w:type="dxa"/>
          <w:left w:w="15" w:type="dxa"/>
          <w:bottom w:w="15" w:type="dxa"/>
          <w:right w:w="15" w:type="dxa"/>
        </w:tblCellMar>
      </w:tblPr>
      <w:tblGrid>
        <w:gridCol w:w="2761"/>
        <w:gridCol w:w="45"/>
        <w:gridCol w:w="444"/>
        <w:gridCol w:w="31"/>
        <w:gridCol w:w="443"/>
        <w:gridCol w:w="316"/>
        <w:gridCol w:w="2947"/>
        <w:gridCol w:w="1"/>
        <w:gridCol w:w="458"/>
        <w:gridCol w:w="16"/>
        <w:gridCol w:w="1584"/>
        <w:gridCol w:w="6"/>
      </w:tblGrid>
      <w:tr>
        <w:tblPrEx>
          <w:tblLayout w:type="fixed"/>
          <w:tblCellMar>
            <w:top w:w="15" w:type="dxa"/>
            <w:left w:w="15" w:type="dxa"/>
            <w:bottom w:w="15" w:type="dxa"/>
            <w:right w:w="15" w:type="dxa"/>
          </w:tblCellMar>
        </w:tblPrEx>
        <w:trPr>
          <w:gridAfter w:val="1"/>
          <w:wAfter w:w="6" w:type="dxa"/>
          <w:trHeight w:val="565" w:hRule="atLeast"/>
          <w:tblHeader/>
        </w:trPr>
        <w:tc>
          <w:tcPr>
            <w:tcW w:w="9046" w:type="dxa"/>
            <w:gridSpan w:val="11"/>
            <w:tcBorders>
              <w:bottom w:val="single" w:color="auto" w:sz="4" w:space="0"/>
            </w:tcBorders>
            <w:shd w:val="clear" w:color="auto" w:fill="auto"/>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20"/>
                <w:szCs w:val="20"/>
              </w:rPr>
              <w:t>收入支出决算总表</w:t>
            </w:r>
          </w:p>
        </w:tc>
      </w:tr>
      <w:tr>
        <w:tblPrEx>
          <w:tblLayout w:type="fixed"/>
          <w:tblCellMar>
            <w:top w:w="15" w:type="dxa"/>
            <w:left w:w="15" w:type="dxa"/>
            <w:bottom w:w="15" w:type="dxa"/>
            <w:right w:w="15" w:type="dxa"/>
          </w:tblCellMar>
        </w:tblPrEx>
        <w:trPr>
          <w:gridAfter w:val="1"/>
          <w:wAfter w:w="6" w:type="dxa"/>
        </w:trPr>
        <w:tc>
          <w:tcPr>
            <w:tcW w:w="3724" w:type="dxa"/>
            <w:gridSpan w:val="5"/>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部门</w:t>
            </w:r>
            <w:r>
              <w:rPr>
                <w:rFonts w:ascii="Times New Roman" w:hAnsi="Times New Roman" w:eastAsia="Times New Roman" w:cs="Times New Roman"/>
                <w:b w:val="0"/>
                <w:bCs w:val="0"/>
                <w:i w:val="0"/>
                <w:iCs w:val="0"/>
                <w:smallCaps w:val="0"/>
                <w:color w:val="000000"/>
                <w:kern w:val="0"/>
                <w:sz w:val="20"/>
                <w:szCs w:val="20"/>
              </w:rPr>
              <w:t>/</w:t>
            </w:r>
            <w:r>
              <w:rPr>
                <w:rFonts w:ascii="宋体" w:hAnsi="宋体" w:eastAsia="宋体" w:cs="宋体"/>
                <w:b w:val="0"/>
                <w:bCs w:val="0"/>
                <w:i w:val="0"/>
                <w:iCs w:val="0"/>
                <w:smallCaps w:val="0"/>
                <w:color w:val="000000"/>
                <w:kern w:val="0"/>
                <w:sz w:val="20"/>
                <w:szCs w:val="20"/>
              </w:rPr>
              <w:t>单位：福建省厦门双十中学湖里分校</w:t>
            </w:r>
          </w:p>
        </w:tc>
        <w:tc>
          <w:tcPr>
            <w:tcW w:w="3264" w:type="dxa"/>
            <w:gridSpan w:val="3"/>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2024</w:t>
            </w:r>
            <w:r>
              <w:rPr>
                <w:rFonts w:ascii="宋体" w:hAnsi="宋体" w:eastAsia="宋体" w:cs="宋体"/>
                <w:b w:val="0"/>
                <w:bCs w:val="0"/>
                <w:i w:val="0"/>
                <w:iCs w:val="0"/>
                <w:smallCaps w:val="0"/>
                <w:color w:val="000000"/>
                <w:kern w:val="0"/>
                <w:sz w:val="20"/>
                <w:szCs w:val="20"/>
              </w:rPr>
              <w:t>年度</w:t>
            </w:r>
          </w:p>
        </w:tc>
        <w:tc>
          <w:tcPr>
            <w:tcW w:w="458" w:type="dxa"/>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1600"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金额单位：万元</w:t>
            </w:r>
          </w:p>
        </w:tc>
      </w:tr>
      <w:tr>
        <w:tblPrEx>
          <w:tblLayout w:type="fixed"/>
          <w:tblCellMar>
            <w:top w:w="15" w:type="dxa"/>
            <w:left w:w="15" w:type="dxa"/>
            <w:bottom w:w="15" w:type="dxa"/>
            <w:right w:w="15" w:type="dxa"/>
          </w:tblCellMar>
        </w:tblPrEx>
        <w:trPr>
          <w:gridAfter w:val="1"/>
          <w:wAfter w:w="6" w:type="dxa"/>
        </w:trPr>
        <w:tc>
          <w:tcPr>
            <w:tcW w:w="3724" w:type="dxa"/>
            <w:gridSpan w:val="5"/>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收入</w:t>
            </w:r>
          </w:p>
        </w:tc>
        <w:tc>
          <w:tcPr>
            <w:tcW w:w="5322" w:type="dxa"/>
            <w:gridSpan w:val="6"/>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支出</w:t>
            </w:r>
          </w:p>
        </w:tc>
      </w:tr>
      <w:tr>
        <w:tblPrEx>
          <w:tblLayout w:type="fixed"/>
        </w:tblPrEx>
        <w:trPr>
          <w:gridAfter w:val="1"/>
          <w:wAfter w:w="6" w:type="dxa"/>
        </w:trPr>
        <w:tc>
          <w:tcPr>
            <w:tcW w:w="2761" w:type="dxa"/>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项目</w:t>
            </w:r>
          </w:p>
        </w:tc>
        <w:tc>
          <w:tcPr>
            <w:tcW w:w="489"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行次</w:t>
            </w:r>
          </w:p>
        </w:tc>
        <w:tc>
          <w:tcPr>
            <w:tcW w:w="474"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金额</w:t>
            </w:r>
          </w:p>
        </w:tc>
        <w:tc>
          <w:tcPr>
            <w:tcW w:w="3264" w:type="dxa"/>
            <w:gridSpan w:val="3"/>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项目</w:t>
            </w:r>
          </w:p>
        </w:tc>
        <w:tc>
          <w:tcPr>
            <w:tcW w:w="458" w:type="dxa"/>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行次</w:t>
            </w:r>
          </w:p>
        </w:tc>
        <w:tc>
          <w:tcPr>
            <w:tcW w:w="1600"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栏次</w:t>
            </w:r>
          </w:p>
        </w:tc>
        <w:tc>
          <w:tcPr>
            <w:tcW w:w="489"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474"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1</w:t>
            </w:r>
          </w:p>
        </w:tc>
        <w:tc>
          <w:tcPr>
            <w:tcW w:w="3264" w:type="dxa"/>
            <w:gridSpan w:val="3"/>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栏次</w:t>
            </w:r>
          </w:p>
        </w:tc>
        <w:tc>
          <w:tcPr>
            <w:tcW w:w="458" w:type="dxa"/>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1600"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PrEx>
        <w:trPr>
          <w:gridAfter w:val="1"/>
          <w:wAfter w:w="6" w:type="dxa"/>
        </w:trPr>
        <w:tc>
          <w:tcPr>
            <w:tcW w:w="2761" w:type="dxa"/>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一、一般公共预算财政拨款收入</w:t>
            </w:r>
          </w:p>
        </w:tc>
        <w:tc>
          <w:tcPr>
            <w:tcW w:w="489"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1</w:t>
            </w:r>
          </w:p>
        </w:tc>
        <w:tc>
          <w:tcPr>
            <w:tcW w:w="474"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361.45</w:t>
            </w:r>
          </w:p>
        </w:tc>
        <w:tc>
          <w:tcPr>
            <w:tcW w:w="3264" w:type="dxa"/>
            <w:gridSpan w:val="3"/>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一、一般公共服务支出</w:t>
            </w:r>
          </w:p>
        </w:tc>
        <w:tc>
          <w:tcPr>
            <w:tcW w:w="458" w:type="dxa"/>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32</w:t>
            </w:r>
          </w:p>
        </w:tc>
        <w:tc>
          <w:tcPr>
            <w:tcW w:w="1600" w:type="dxa"/>
            <w:gridSpan w:val="2"/>
            <w:tcBorders>
              <w:top w:val="single" w:color="auto" w:sz="4" w:space="0"/>
              <w:left w:val="single" w:color="auto" w:sz="4" w:space="0"/>
              <w:bottom w:val="single" w:color="auto" w:sz="4" w:space="0"/>
              <w:right w:val="single" w:color="auto" w:sz="4"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auto" w:sz="4"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二、政府性基金预算财政拨款收入</w:t>
            </w:r>
          </w:p>
        </w:tc>
        <w:tc>
          <w:tcPr>
            <w:tcW w:w="489" w:type="dxa"/>
            <w:gridSpan w:val="2"/>
            <w:tcBorders>
              <w:top w:val="single" w:color="auto" w:sz="4"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2</w:t>
            </w:r>
          </w:p>
        </w:tc>
        <w:tc>
          <w:tcPr>
            <w:tcW w:w="474" w:type="dxa"/>
            <w:gridSpan w:val="2"/>
            <w:tcBorders>
              <w:top w:val="single" w:color="auto" w:sz="4"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3264" w:type="dxa"/>
            <w:gridSpan w:val="3"/>
            <w:tcBorders>
              <w:top w:val="single" w:color="auto" w:sz="4"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458" w:type="dxa"/>
            <w:tcBorders>
              <w:top w:val="single" w:color="auto" w:sz="4"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33</w:t>
            </w:r>
          </w:p>
        </w:tc>
        <w:tc>
          <w:tcPr>
            <w:tcW w:w="1600" w:type="dxa"/>
            <w:gridSpan w:val="2"/>
            <w:tcBorders>
              <w:top w:val="single" w:color="auto" w:sz="4"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三、国有资本经营预算财政拨款收入</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三、国防支出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34</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四、上级补助收入</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4</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四、公共安全支出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35</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五、事业收入</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5</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五、教育支出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36</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324.3</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六、经营收入</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6</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六、科学技术支出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37</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七、附属单位上缴收入</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7</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七、文化旅游体育与传媒支出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38</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八、其他收入</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8</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八、社会保障和就业支出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39</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25.96</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9</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宋体" w:hAnsi="宋体" w:eastAsia="宋体" w:cs="宋体"/>
                <w:b w:val="0"/>
                <w:bCs w:val="0"/>
                <w:i w:val="0"/>
                <w:iCs w:val="0"/>
                <w:smallCaps w:val="0"/>
                <w:color w:val="000000"/>
                <w:kern w:val="0"/>
                <w:sz w:val="18"/>
                <w:szCs w:val="18"/>
              </w:rPr>
              <w:t>九、卫生健康支出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40</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lang w:val="en-US" w:eastAsia="zh-CN" w:bidi="ar-SA"/>
              </w:rPr>
            </w:pPr>
            <w:r>
              <w:rPr>
                <w:rFonts w:ascii="Times New Roman" w:hAnsi="Times New Roman" w:eastAsia="Times New Roman" w:cs="Times New Roman"/>
                <w:b w:val="0"/>
                <w:bCs w:val="0"/>
                <w:i w:val="0"/>
                <w:iCs w:val="0"/>
                <w:smallCaps w:val="0"/>
                <w:color w:val="000000"/>
                <w:kern w:val="0"/>
                <w:sz w:val="18"/>
                <w:szCs w:val="18"/>
              </w:rPr>
              <w:t>11.19</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10</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十、节能环保支出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41</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11</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十一、城乡社区支出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42</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12</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十二、农林水支出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43</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13</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十三、交通运输支出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44</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14</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十四、资源勘探工业信息等支出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45</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15</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十五、商业服务业等支出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46</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16</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十六、金融支出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47</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gridAfter w:val="1"/>
          <w:wAfter w:w="6" w:type="dxa"/>
        </w:trPr>
        <w:tc>
          <w:tcPr>
            <w:tcW w:w="2761"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489"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17</w:t>
            </w:r>
          </w:p>
        </w:tc>
        <w:tc>
          <w:tcPr>
            <w:tcW w:w="474"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c>
          <w:tcPr>
            <w:tcW w:w="3264" w:type="dxa"/>
            <w:gridSpan w:val="3"/>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宋体" w:hAnsi="宋体" w:eastAsia="宋体" w:cs="宋体"/>
                <w:b w:val="0"/>
                <w:bCs w:val="0"/>
                <w:i w:val="0"/>
                <w:iCs w:val="0"/>
                <w:smallCaps w:val="0"/>
                <w:color w:val="000000"/>
                <w:kern w:val="0"/>
                <w:sz w:val="20"/>
                <w:szCs w:val="20"/>
              </w:rPr>
              <w:t>十七、援助其他地区支出</w:t>
            </w:r>
          </w:p>
        </w:tc>
        <w:tc>
          <w:tcPr>
            <w:tcW w:w="458" w:type="dxa"/>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48</w:t>
            </w:r>
          </w:p>
        </w:tc>
        <w:tc>
          <w:tcPr>
            <w:tcW w:w="1600" w:type="dxa"/>
            <w:gridSpan w:val="2"/>
            <w:tcBorders>
              <w:top w:val="single" w:color="000000" w:sz="6" w:space="0"/>
              <w:left w:val="single" w:color="000000" w:sz="6" w:space="0"/>
              <w:bottom w:val="single" w:color="000000" w:sz="6" w:space="0"/>
              <w:right w:val="single" w:color="000000" w:sz="6" w:space="0"/>
            </w:tcBorders>
            <w:shd w:val="clear" w:color="auto" w:fill="auto"/>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lang w:val="en-US" w:eastAsia="zh-CN" w:bidi="ar-SA"/>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28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4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18</w:t>
            </w:r>
          </w:p>
        </w:tc>
        <w:tc>
          <w:tcPr>
            <w:tcW w:w="75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十八、自然资源海洋气象等支出</w:t>
            </w:r>
          </w:p>
        </w:tc>
        <w:tc>
          <w:tcPr>
            <w:tcW w:w="4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49</w:t>
            </w:r>
          </w:p>
        </w:tc>
        <w:tc>
          <w:tcPr>
            <w:tcW w:w="159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28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4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19</w:t>
            </w:r>
          </w:p>
        </w:tc>
        <w:tc>
          <w:tcPr>
            <w:tcW w:w="75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十九、住房保障支出</w:t>
            </w:r>
          </w:p>
        </w:tc>
        <w:tc>
          <w:tcPr>
            <w:tcW w:w="4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50</w:t>
            </w:r>
          </w:p>
        </w:tc>
        <w:tc>
          <w:tcPr>
            <w:tcW w:w="159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28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4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w:t>
            </w:r>
          </w:p>
        </w:tc>
        <w:tc>
          <w:tcPr>
            <w:tcW w:w="75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二十、粮油物资储备支出</w:t>
            </w:r>
          </w:p>
        </w:tc>
        <w:tc>
          <w:tcPr>
            <w:tcW w:w="4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51</w:t>
            </w:r>
          </w:p>
        </w:tc>
        <w:tc>
          <w:tcPr>
            <w:tcW w:w="159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28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4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w:t>
            </w:r>
          </w:p>
        </w:tc>
        <w:tc>
          <w:tcPr>
            <w:tcW w:w="75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二十一、国有资本经营预算支出</w:t>
            </w:r>
          </w:p>
        </w:tc>
        <w:tc>
          <w:tcPr>
            <w:tcW w:w="4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52</w:t>
            </w:r>
          </w:p>
        </w:tc>
        <w:tc>
          <w:tcPr>
            <w:tcW w:w="159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28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4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22</w:t>
            </w:r>
          </w:p>
        </w:tc>
        <w:tc>
          <w:tcPr>
            <w:tcW w:w="75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二十二、灾害防治及应急管理支出</w:t>
            </w:r>
          </w:p>
        </w:tc>
        <w:tc>
          <w:tcPr>
            <w:tcW w:w="4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53</w:t>
            </w:r>
          </w:p>
        </w:tc>
        <w:tc>
          <w:tcPr>
            <w:tcW w:w="159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28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4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23</w:t>
            </w:r>
          </w:p>
        </w:tc>
        <w:tc>
          <w:tcPr>
            <w:tcW w:w="75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二十三、其他支出</w:t>
            </w:r>
          </w:p>
        </w:tc>
        <w:tc>
          <w:tcPr>
            <w:tcW w:w="4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54</w:t>
            </w:r>
          </w:p>
        </w:tc>
        <w:tc>
          <w:tcPr>
            <w:tcW w:w="159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28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4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24</w:t>
            </w:r>
          </w:p>
        </w:tc>
        <w:tc>
          <w:tcPr>
            <w:tcW w:w="75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二十四、债务还本支出</w:t>
            </w:r>
          </w:p>
        </w:tc>
        <w:tc>
          <w:tcPr>
            <w:tcW w:w="4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55</w:t>
            </w:r>
          </w:p>
        </w:tc>
        <w:tc>
          <w:tcPr>
            <w:tcW w:w="159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28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4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25</w:t>
            </w:r>
          </w:p>
        </w:tc>
        <w:tc>
          <w:tcPr>
            <w:tcW w:w="75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二十五、债务付息支出</w:t>
            </w:r>
          </w:p>
        </w:tc>
        <w:tc>
          <w:tcPr>
            <w:tcW w:w="4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56</w:t>
            </w:r>
          </w:p>
        </w:tc>
        <w:tc>
          <w:tcPr>
            <w:tcW w:w="159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280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4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26</w:t>
            </w:r>
          </w:p>
        </w:tc>
        <w:tc>
          <w:tcPr>
            <w:tcW w:w="75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29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二十六、抗疫特别国债安排的支出</w:t>
            </w:r>
          </w:p>
        </w:tc>
        <w:tc>
          <w:tcPr>
            <w:tcW w:w="4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57</w:t>
            </w:r>
          </w:p>
        </w:tc>
        <w:tc>
          <w:tcPr>
            <w:tcW w:w="159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bl>
    <w:p>
      <w:pPr>
        <w:sectPr>
          <w:footerReference r:id="rId5" w:type="default"/>
          <w:pgSz w:w="11906" w:h="16838"/>
          <w:pgMar w:top="1134" w:right="720" w:bottom="1134" w:left="720" w:header="720" w:footer="720" w:gutter="0"/>
          <w:cols w:space="0" w:num="1"/>
          <w:rtlGutter w:val="0"/>
          <w:docGrid w:linePitch="0" w:charSpace="0"/>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2"/>
        <w:tblpPr w:leftFromText="180" w:rightFromText="180" w:vertAnchor="text" w:horzAnchor="page" w:tblpX="1423" w:tblpY="-2"/>
        <w:tblOverlap w:val="never"/>
        <w:tblW w:w="9059" w:type="dxa"/>
        <w:tblInd w:w="0" w:type="dxa"/>
        <w:tblLayout w:type="fixed"/>
        <w:tblCellMar>
          <w:top w:w="15" w:type="dxa"/>
          <w:left w:w="15" w:type="dxa"/>
          <w:bottom w:w="15" w:type="dxa"/>
          <w:right w:w="15" w:type="dxa"/>
        </w:tblCellMar>
      </w:tblPr>
      <w:tblGrid>
        <w:gridCol w:w="2806"/>
        <w:gridCol w:w="475"/>
        <w:gridCol w:w="759"/>
        <w:gridCol w:w="2950"/>
        <w:gridCol w:w="475"/>
        <w:gridCol w:w="1594"/>
      </w:tblGrid>
      <w:tr>
        <w:tblPrEx>
          <w:tblLayout w:type="fixed"/>
          <w:tblCellMar>
            <w:top w:w="15" w:type="dxa"/>
            <w:left w:w="15" w:type="dxa"/>
            <w:bottom w:w="15" w:type="dxa"/>
            <w:right w:w="15" w:type="dxa"/>
          </w:tblCellMar>
        </w:tblPrEx>
        <w:trPr>
          <w:trHeight w:val="565" w:hRule="atLeast"/>
          <w:tblHeader/>
        </w:trPr>
        <w:tc>
          <w:tcPr>
            <w:tcW w:w="9059" w:type="dxa"/>
            <w:gridSpan w:val="6"/>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收入支出决算总表</w:t>
            </w:r>
          </w:p>
        </w:tc>
      </w:tr>
      <w:tr>
        <w:tblPrEx>
          <w:tblLayout w:type="fixed"/>
          <w:tblCellMar>
            <w:top w:w="15" w:type="dxa"/>
            <w:left w:w="15" w:type="dxa"/>
            <w:bottom w:w="15" w:type="dxa"/>
            <w:right w:w="15" w:type="dxa"/>
          </w:tblCellMar>
        </w:tblPrEx>
        <w:tc>
          <w:tcPr>
            <w:tcW w:w="4040"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部门</w:t>
            </w:r>
            <w:r>
              <w:rPr>
                <w:rFonts w:ascii="Times New Roman" w:hAnsi="Times New Roman" w:eastAsia="Times New Roman" w:cs="Times New Roman"/>
                <w:b w:val="0"/>
                <w:bCs w:val="0"/>
                <w:i w:val="0"/>
                <w:iCs w:val="0"/>
                <w:smallCaps w:val="0"/>
                <w:color w:val="000000"/>
                <w:kern w:val="0"/>
                <w:sz w:val="20"/>
                <w:szCs w:val="20"/>
              </w:rPr>
              <w:t>/</w:t>
            </w:r>
            <w:r>
              <w:rPr>
                <w:rFonts w:ascii="宋体" w:hAnsi="宋体" w:eastAsia="宋体" w:cs="宋体"/>
                <w:b w:val="0"/>
                <w:bCs w:val="0"/>
                <w:i w:val="0"/>
                <w:iCs w:val="0"/>
                <w:smallCaps w:val="0"/>
                <w:color w:val="000000"/>
                <w:kern w:val="0"/>
                <w:sz w:val="20"/>
                <w:szCs w:val="20"/>
              </w:rPr>
              <w:t>单位：福建省厦门双十中学湖里分校</w:t>
            </w:r>
          </w:p>
        </w:tc>
        <w:tc>
          <w:tcPr>
            <w:tcW w:w="295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2024</w:t>
            </w:r>
            <w:r>
              <w:rPr>
                <w:rFonts w:ascii="宋体" w:hAnsi="宋体" w:eastAsia="宋体" w:cs="宋体"/>
                <w:b w:val="0"/>
                <w:bCs w:val="0"/>
                <w:i w:val="0"/>
                <w:iCs w:val="0"/>
                <w:smallCaps w:val="0"/>
                <w:color w:val="000000"/>
                <w:kern w:val="0"/>
                <w:sz w:val="20"/>
                <w:szCs w:val="20"/>
              </w:rPr>
              <w:t>年度</w:t>
            </w:r>
          </w:p>
        </w:tc>
        <w:tc>
          <w:tcPr>
            <w:tcW w:w="47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94"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金额单位：万元</w:t>
            </w:r>
          </w:p>
        </w:tc>
      </w:tr>
      <w:tr>
        <w:tblPrEx>
          <w:tblLayout w:type="fixed"/>
          <w:tblCellMar>
            <w:top w:w="15" w:type="dxa"/>
            <w:left w:w="15" w:type="dxa"/>
            <w:bottom w:w="15" w:type="dxa"/>
            <w:right w:w="15" w:type="dxa"/>
          </w:tblCellMar>
        </w:tblPrEx>
        <w:tc>
          <w:tcPr>
            <w:tcW w:w="2806"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47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759"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361.45</w:t>
            </w:r>
          </w:p>
        </w:tc>
        <w:tc>
          <w:tcPr>
            <w:tcW w:w="295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47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94"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361.45</w:t>
            </w:r>
          </w:p>
        </w:tc>
      </w:tr>
      <w:tr>
        <w:tblPrEx>
          <w:tblLayout w:type="fixed"/>
          <w:tblCellMar>
            <w:top w:w="15" w:type="dxa"/>
            <w:left w:w="15" w:type="dxa"/>
            <w:bottom w:w="15" w:type="dxa"/>
            <w:right w:w="15" w:type="dxa"/>
          </w:tblCellMar>
        </w:tblPrEx>
        <w:tc>
          <w:tcPr>
            <w:tcW w:w="2806"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475"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759"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950"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475"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94"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8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8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8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361.45</w:t>
            </w:r>
          </w:p>
        </w:tc>
        <w:tc>
          <w:tcPr>
            <w:tcW w:w="2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361.45</w:t>
            </w:r>
          </w:p>
        </w:tc>
      </w:tr>
      <w:tr>
        <w:tblPrEx>
          <w:tblLayout w:type="fixed"/>
          <w:tblCellMar>
            <w:top w:w="15" w:type="dxa"/>
            <w:left w:w="15" w:type="dxa"/>
            <w:bottom w:w="15" w:type="dxa"/>
            <w:right w:w="15" w:type="dxa"/>
          </w:tblCellMar>
        </w:tblPrEx>
        <w:tc>
          <w:tcPr>
            <w:tcW w:w="9059"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本表反映部门本年度的总收支和年末结转结余情况。</w:t>
            </w:r>
          </w:p>
        </w:tc>
      </w:tr>
      <w:tr>
        <w:tblPrEx>
          <w:tblLayout w:type="fixed"/>
          <w:tblCellMar>
            <w:top w:w="15" w:type="dxa"/>
            <w:left w:w="15" w:type="dxa"/>
            <w:bottom w:w="15" w:type="dxa"/>
            <w:right w:w="15" w:type="dxa"/>
          </w:tblCellMar>
        </w:tblPrEx>
        <w:tc>
          <w:tcPr>
            <w:tcW w:w="9059"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720" w:right="0" w:firstLine="0"/>
        <w:jc w:val="left"/>
        <w:rPr>
          <w:rFonts w:ascii="Times New Roman" w:hAnsi="Times New Roman" w:eastAsia="Times New Roman" w:cs="Times New Roman"/>
          <w:kern w:val="0"/>
          <w:sz w:val="24"/>
        </w:rPr>
      </w:pPr>
      <w:r>
        <w:rPr>
          <w:rFonts w:ascii="宋体" w:hAnsi="宋体" w:cs="宋体"/>
          <w:spacing w:val="0"/>
          <w:kern w:val="0"/>
          <w:sz w:val="32"/>
          <w:szCs w:val="32"/>
        </w:rPr>
        <w:t> </w:t>
      </w:r>
    </w:p>
    <w:tbl>
      <w:tblPr>
        <w:tblStyle w:val="22"/>
        <w:tblpPr w:leftFromText="180" w:rightFromText="180" w:vertAnchor="text" w:horzAnchor="page" w:tblpX="1546" w:tblpY="1154"/>
        <w:tblOverlap w:val="never"/>
        <w:tblW w:w="9066" w:type="dxa"/>
        <w:tblInd w:w="0" w:type="dxa"/>
        <w:tblLayout w:type="fixed"/>
        <w:tblCellMar>
          <w:top w:w="15" w:type="dxa"/>
          <w:left w:w="15" w:type="dxa"/>
          <w:bottom w:w="15" w:type="dxa"/>
          <w:right w:w="15" w:type="dxa"/>
        </w:tblCellMar>
      </w:tblPr>
      <w:tblGrid>
        <w:gridCol w:w="674"/>
        <w:gridCol w:w="2235"/>
        <w:gridCol w:w="889"/>
        <w:gridCol w:w="906"/>
        <w:gridCol w:w="887"/>
        <w:gridCol w:w="586"/>
        <w:gridCol w:w="586"/>
        <w:gridCol w:w="1139"/>
        <w:gridCol w:w="1164"/>
      </w:tblGrid>
      <w:tr>
        <w:tblPrEx>
          <w:tblLayout w:type="fixed"/>
          <w:tblCellMar>
            <w:top w:w="15" w:type="dxa"/>
            <w:left w:w="15" w:type="dxa"/>
            <w:bottom w:w="15" w:type="dxa"/>
            <w:right w:w="15" w:type="dxa"/>
          </w:tblCellMar>
        </w:tblPrEx>
        <w:trPr>
          <w:tblHeader/>
        </w:trPr>
        <w:tc>
          <w:tcPr>
            <w:tcW w:w="9066" w:type="dxa"/>
            <w:gridSpan w:val="9"/>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bookmarkStart w:id="33" w:name="_Toc256000101"/>
            <w:bookmarkStart w:id="34" w:name="_Toc256000070"/>
            <w:bookmarkStart w:id="35" w:name="_Toc256000039"/>
            <w:bookmarkStart w:id="36" w:name="_Toc256000008"/>
            <w:r>
              <w:rPr>
                <w:rFonts w:ascii="宋体" w:hAnsi="宋体" w:eastAsia="宋体" w:cs="宋体"/>
                <w:b w:val="0"/>
                <w:bCs w:val="0"/>
                <w:i w:val="0"/>
                <w:iCs w:val="0"/>
                <w:smallCaps w:val="0"/>
                <w:color w:val="000000"/>
                <w:kern w:val="0"/>
                <w:sz w:val="20"/>
                <w:szCs w:val="20"/>
              </w:rPr>
              <w:t>收入决算表</w:t>
            </w:r>
          </w:p>
        </w:tc>
      </w:tr>
      <w:tr>
        <w:tblPrEx>
          <w:tblLayout w:type="fixed"/>
          <w:tblCellMar>
            <w:top w:w="15" w:type="dxa"/>
            <w:left w:w="15" w:type="dxa"/>
            <w:bottom w:w="15" w:type="dxa"/>
            <w:right w:w="15" w:type="dxa"/>
          </w:tblCellMar>
        </w:tblPrEx>
        <w:tc>
          <w:tcPr>
            <w:tcW w:w="4704" w:type="dxa"/>
            <w:gridSpan w:val="4"/>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部门</w:t>
            </w:r>
            <w:r>
              <w:rPr>
                <w:rFonts w:ascii="Times New Roman" w:hAnsi="Times New Roman" w:eastAsia="Times New Roman" w:cs="Times New Roman"/>
                <w:b w:val="0"/>
                <w:bCs w:val="0"/>
                <w:i w:val="0"/>
                <w:iCs w:val="0"/>
                <w:smallCaps w:val="0"/>
                <w:color w:val="000000"/>
                <w:kern w:val="0"/>
                <w:sz w:val="20"/>
                <w:szCs w:val="20"/>
              </w:rPr>
              <w:t>/</w:t>
            </w:r>
            <w:r>
              <w:rPr>
                <w:rFonts w:ascii="宋体" w:hAnsi="宋体" w:eastAsia="宋体" w:cs="宋体"/>
                <w:b w:val="0"/>
                <w:bCs w:val="0"/>
                <w:i w:val="0"/>
                <w:iCs w:val="0"/>
                <w:smallCaps w:val="0"/>
                <w:color w:val="000000"/>
                <w:kern w:val="0"/>
                <w:sz w:val="20"/>
                <w:szCs w:val="20"/>
              </w:rPr>
              <w:t>单位：福建省厦门双十中学湖里分校</w:t>
            </w:r>
          </w:p>
        </w:tc>
        <w:tc>
          <w:tcPr>
            <w:tcW w:w="2059"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2024</w:t>
            </w:r>
            <w:r>
              <w:rPr>
                <w:rFonts w:ascii="宋体" w:hAnsi="宋体" w:eastAsia="宋体" w:cs="宋体"/>
                <w:b w:val="0"/>
                <w:bCs w:val="0"/>
                <w:i w:val="0"/>
                <w:iCs w:val="0"/>
                <w:smallCaps w:val="0"/>
                <w:color w:val="000000"/>
                <w:kern w:val="0"/>
                <w:sz w:val="20"/>
                <w:szCs w:val="20"/>
              </w:rPr>
              <w:t>年度</w:t>
            </w:r>
          </w:p>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303" w:type="dxa"/>
            <w:gridSpan w:val="2"/>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金额单位：万元</w:t>
            </w:r>
          </w:p>
        </w:tc>
      </w:tr>
      <w:tr>
        <w:tblPrEx>
          <w:tblLayout w:type="fixed"/>
          <w:tblCellMar>
            <w:top w:w="15" w:type="dxa"/>
            <w:left w:w="15" w:type="dxa"/>
            <w:bottom w:w="15" w:type="dxa"/>
            <w:right w:w="15" w:type="dxa"/>
          </w:tblCellMar>
        </w:tblPrEx>
        <w:trPr>
          <w:tblHeader/>
        </w:trPr>
        <w:tc>
          <w:tcPr>
            <w:tcW w:w="2909" w:type="dxa"/>
            <w:gridSpan w:val="2"/>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889"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906"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887"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586"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586"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139"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164"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blHeader/>
        </w:trPr>
        <w:tc>
          <w:tcPr>
            <w:tcW w:w="67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2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88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67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2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8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90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c>
          <w:tcPr>
            <w:tcW w:w="290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361.45</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361.45</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324.3</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324.3</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315.25</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315.25</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88.86</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88.86</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2050203</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初中教育</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146.4</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146.4</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79.99</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79.99</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9.06</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9.06</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9.06</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9.06</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25.96</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25.96</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25.96</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25.96</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8.65</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8.65</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11.19</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11.19</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11.19</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11.19</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7.41</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7.41</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8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3.79</w:t>
            </w:r>
          </w:p>
        </w:tc>
        <w:tc>
          <w:tcPr>
            <w:tcW w:w="9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3.79</w:t>
            </w:r>
          </w:p>
        </w:tc>
        <w:tc>
          <w:tcPr>
            <w:tcW w:w="8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注：本表反映部门本年度取得的各项收入情况。</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二、收入决算表</w:t>
      </w:r>
      <w:bookmarkEnd w:id="33"/>
      <w:bookmarkEnd w:id="34"/>
      <w:bookmarkEnd w:id="35"/>
      <w:bookmarkEnd w:id="36"/>
    </w:p>
    <w:p>
      <w:pPr>
        <w:widowControl/>
        <w:jc w:val="left"/>
        <w:rPr>
          <w:rFonts w:ascii="Times New Roman" w:hAnsi="Times New Roman" w:eastAsia="Times New Roman" w:cs="Times New Roman"/>
          <w:kern w:val="0"/>
          <w:sz w:val="24"/>
        </w:rPr>
      </w:pPr>
      <w:r>
        <w:rPr>
          <w:rFonts w:ascii="宋体" w:hAnsi="宋体" w:cs="宋体"/>
          <w:spacing w:val="0"/>
          <w:kern w:val="0"/>
          <w:sz w:val="32"/>
          <w:szCs w:val="32"/>
        </w:rPr>
        <w:t> </w:t>
      </w:r>
    </w:p>
    <w:p>
      <w:pPr>
        <w:pStyle w:val="5"/>
        <w:keepNext w:val="0"/>
        <w:keepLines w:val="0"/>
        <w:spacing w:before="100" w:after="100" w:line="240" w:lineRule="auto"/>
        <w:ind w:left="0" w:leftChars="0" w:right="0" w:firstLine="0" w:firstLineChars="0"/>
        <w:rPr>
          <w:rFonts w:ascii="黑体" w:hAnsi="黑体" w:eastAsia="黑体" w:cs="黑体"/>
          <w:b/>
          <w:spacing w:val="0"/>
        </w:rPr>
      </w:pPr>
      <w:bookmarkStart w:id="37" w:name="_Toc256000009"/>
      <w:bookmarkStart w:id="38" w:name="_Toc256000040"/>
      <w:bookmarkStart w:id="39" w:name="_Toc256000071"/>
      <w:bookmarkStart w:id="40" w:name="_Toc256000102"/>
    </w:p>
    <w:tbl>
      <w:tblPr>
        <w:tblStyle w:val="22"/>
        <w:tblpPr w:leftFromText="180" w:rightFromText="180" w:vertAnchor="text" w:horzAnchor="page" w:tblpX="1292" w:tblpY="1726"/>
        <w:tblOverlap w:val="never"/>
        <w:tblW w:w="9066" w:type="dxa"/>
        <w:tblInd w:w="0" w:type="dxa"/>
        <w:tblLayout w:type="fixed"/>
        <w:tblCellMar>
          <w:top w:w="15" w:type="dxa"/>
          <w:left w:w="15" w:type="dxa"/>
          <w:bottom w:w="15" w:type="dxa"/>
          <w:right w:w="15" w:type="dxa"/>
        </w:tblCellMar>
      </w:tblPr>
      <w:tblGrid>
        <w:gridCol w:w="1650"/>
        <w:gridCol w:w="1884"/>
        <w:gridCol w:w="922"/>
        <w:gridCol w:w="1019"/>
        <w:gridCol w:w="750"/>
        <w:gridCol w:w="919"/>
        <w:gridCol w:w="834"/>
        <w:gridCol w:w="1088"/>
      </w:tblGrid>
      <w:tr>
        <w:tblPrEx>
          <w:tblLayout w:type="fixed"/>
          <w:tblCellMar>
            <w:top w:w="15" w:type="dxa"/>
            <w:left w:w="15" w:type="dxa"/>
            <w:bottom w:w="15" w:type="dxa"/>
            <w:right w:w="15" w:type="dxa"/>
          </w:tblCellMar>
        </w:tblPrEx>
        <w:trPr>
          <w:tblHeader/>
        </w:trPr>
        <w:tc>
          <w:tcPr>
            <w:tcW w:w="9066" w:type="dxa"/>
            <w:gridSpan w:val="8"/>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1"/>
                <w:szCs w:val="21"/>
              </w:rPr>
              <w:t>支出决算表</w:t>
            </w:r>
          </w:p>
        </w:tc>
      </w:tr>
      <w:tr>
        <w:tblPrEx>
          <w:tblLayout w:type="fixed"/>
          <w:tblCellMar>
            <w:top w:w="15" w:type="dxa"/>
            <w:left w:w="15" w:type="dxa"/>
            <w:bottom w:w="15" w:type="dxa"/>
            <w:right w:w="15" w:type="dxa"/>
          </w:tblCellMar>
        </w:tblPrEx>
        <w:tc>
          <w:tcPr>
            <w:tcW w:w="4456"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单位：福建省厦门双十中学湖里分校</w:t>
            </w:r>
          </w:p>
        </w:tc>
        <w:tc>
          <w:tcPr>
            <w:tcW w:w="2688"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922" w:type="dxa"/>
            <w:gridSpan w:val="2"/>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rHeight w:val="447" w:hRule="atLeast"/>
          <w:tblHeader/>
        </w:trPr>
        <w:tc>
          <w:tcPr>
            <w:tcW w:w="3534" w:type="dxa"/>
            <w:gridSpan w:val="2"/>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项目</w:t>
            </w:r>
          </w:p>
        </w:tc>
        <w:tc>
          <w:tcPr>
            <w:tcW w:w="922"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本年支出合计</w:t>
            </w:r>
          </w:p>
        </w:tc>
        <w:tc>
          <w:tcPr>
            <w:tcW w:w="1019"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基本支出</w:t>
            </w:r>
          </w:p>
        </w:tc>
        <w:tc>
          <w:tcPr>
            <w:tcW w:w="750"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项目支出</w:t>
            </w:r>
          </w:p>
        </w:tc>
        <w:tc>
          <w:tcPr>
            <w:tcW w:w="919"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上缴上级支出</w:t>
            </w:r>
          </w:p>
        </w:tc>
        <w:tc>
          <w:tcPr>
            <w:tcW w:w="834"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经营支出</w:t>
            </w:r>
          </w:p>
        </w:tc>
        <w:tc>
          <w:tcPr>
            <w:tcW w:w="1088"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对附属单位补助支出</w:t>
            </w:r>
          </w:p>
        </w:tc>
      </w:tr>
      <w:tr>
        <w:tblPrEx>
          <w:tblLayout w:type="fixed"/>
          <w:tblCellMar>
            <w:top w:w="15" w:type="dxa"/>
            <w:left w:w="15" w:type="dxa"/>
            <w:bottom w:w="15" w:type="dxa"/>
            <w:right w:w="15" w:type="dxa"/>
          </w:tblCellMar>
        </w:tblPrEx>
        <w:trPr>
          <w:tblHeader/>
        </w:trPr>
        <w:tc>
          <w:tcPr>
            <w:tcW w:w="16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科目代码</w:t>
            </w:r>
          </w:p>
        </w:tc>
        <w:tc>
          <w:tcPr>
            <w:tcW w:w="18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科目名称</w:t>
            </w: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0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75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9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8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0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r>
      <w:tr>
        <w:tblPrEx>
          <w:tblLayout w:type="fixed"/>
          <w:tblCellMar>
            <w:top w:w="15" w:type="dxa"/>
            <w:left w:w="15" w:type="dxa"/>
            <w:bottom w:w="15" w:type="dxa"/>
            <w:right w:w="15" w:type="dxa"/>
          </w:tblCellMar>
        </w:tblPrEx>
        <w:trPr>
          <w:trHeight w:val="376" w:hRule="atLeast"/>
          <w:tblHeader/>
        </w:trPr>
        <w:tc>
          <w:tcPr>
            <w:tcW w:w="165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88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0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75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9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8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0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r>
      <w:tr>
        <w:tblPrEx>
          <w:tblLayout w:type="fixed"/>
          <w:tblCellMar>
            <w:top w:w="15" w:type="dxa"/>
            <w:left w:w="15" w:type="dxa"/>
            <w:bottom w:w="15" w:type="dxa"/>
            <w:right w:w="15" w:type="dxa"/>
          </w:tblCellMar>
        </w:tblPrEx>
        <w:trPr>
          <w:trHeight w:val="432" w:hRule="atLeast"/>
        </w:trPr>
        <w:tc>
          <w:tcPr>
            <w:tcW w:w="353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栏次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w:t>
            </w:r>
          </w:p>
        </w:tc>
      </w:tr>
      <w:tr>
        <w:tblPrEx>
          <w:tblLayout w:type="fixed"/>
          <w:tblCellMar>
            <w:top w:w="15" w:type="dxa"/>
            <w:left w:w="15" w:type="dxa"/>
            <w:bottom w:w="15" w:type="dxa"/>
            <w:right w:w="15" w:type="dxa"/>
          </w:tblCellMar>
        </w:tblPrEx>
        <w:trPr>
          <w:trHeight w:val="410" w:hRule="atLeast"/>
        </w:trPr>
        <w:tc>
          <w:tcPr>
            <w:tcW w:w="353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合计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361.45</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272.41</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89.05</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438" w:hRule="atLeast"/>
        </w:trPr>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324.3</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235.26</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89.05</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391" w:hRule="atLeast"/>
        </w:trPr>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20502</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普通教育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315.25</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235.26</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79.99</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400" w:hRule="atLeast"/>
        </w:trPr>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2050202</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小学教育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88.86</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88.86</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457" w:hRule="atLeast"/>
        </w:trPr>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2050203</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初中教育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146.4</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146.4</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429" w:hRule="atLeast"/>
        </w:trPr>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2050299</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其他普通教育支出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79.99</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79.99</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20509</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9.06</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9.06</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2050999</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其他教育费附加安排的支出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9.06</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9.06</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410" w:hRule="atLeast"/>
        </w:trPr>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社会保障和就业支出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25.96</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25.96</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20805</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行政事业单位养老支出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25.96</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25.96</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2080505</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机关事业单位基本养老保险缴费支出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17.3</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17.3</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2080506</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机关事业单位职业年金缴费支出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8.65</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8.65</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410" w:hRule="atLeast"/>
        </w:trPr>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210</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卫生健康支出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11.19</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11.19</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438" w:hRule="atLeast"/>
        </w:trPr>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21011</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行政事业单位医疗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11.19</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11.19</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trHeight w:val="447" w:hRule="atLeast"/>
        </w:trPr>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2101102</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7.41</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7.41</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2101199</w:t>
            </w:r>
          </w:p>
        </w:tc>
        <w:tc>
          <w:tcPr>
            <w:tcW w:w="18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其他行政事业单位医疗支出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3.79</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3.79</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9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906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注：本表反映部门本年度各项支出情况。</w:t>
            </w:r>
          </w:p>
        </w:tc>
      </w:tr>
    </w:tbl>
    <w:p>
      <w:pPr>
        <w:pStyle w:val="5"/>
        <w:keepNext w:val="0"/>
        <w:keepLines w:val="0"/>
        <w:spacing w:before="100" w:after="100" w:line="240" w:lineRule="auto"/>
        <w:ind w:left="0" w:leftChars="0" w:right="0" w:firstLine="0" w:firstLineChars="0"/>
        <w:rPr>
          <w:rFonts w:ascii="Times New Roman" w:hAnsi="Times New Roman" w:eastAsia="Times New Roman" w:cs="Times New Roman"/>
          <w:b/>
          <w:bCs/>
          <w:kern w:val="0"/>
          <w:sz w:val="28"/>
          <w:szCs w:val="28"/>
        </w:rPr>
      </w:pPr>
      <w:r>
        <w:rPr>
          <w:rFonts w:ascii="黑体" w:hAnsi="黑体" w:eastAsia="黑体" w:cs="黑体"/>
          <w:b/>
          <w:spacing w:val="0"/>
        </w:rPr>
        <w:t>三、支出决算表</w:t>
      </w:r>
      <w:bookmarkEnd w:id="37"/>
      <w:bookmarkEnd w:id="38"/>
      <w:bookmarkEnd w:id="39"/>
      <w:bookmarkEnd w:id="40"/>
    </w:p>
    <w:p>
      <w:pPr>
        <w:sectPr>
          <w:footerReference r:id="rId6"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spacing w:val="0"/>
          <w:kern w:val="0"/>
          <w:sz w:val="27"/>
          <w:szCs w:val="27"/>
        </w:rPr>
      </w:pPr>
      <w:r>
        <w:rPr>
          <w:rFonts w:ascii="Times New Roman" w:hAnsi="Times New Roman" w:eastAsia="Times New Roman" w:cs="Times New Roman"/>
          <w:kern w:val="0"/>
          <w:sz w:val="24"/>
        </w:rPr>
        <w:t> </w:t>
      </w:r>
    </w:p>
    <w:p>
      <w:pPr>
        <w:pStyle w:val="29"/>
        <w:keepNext w:val="0"/>
        <w:keepLines w:val="0"/>
        <w:pageBreakBefore w:val="0"/>
        <w:widowControl/>
        <w:numPr>
          <w:ilvl w:val="0"/>
          <w:numId w:val="1"/>
        </w:numPr>
        <w:kinsoku/>
        <w:wordWrap/>
        <w:overflowPunct/>
        <w:topLinePunct w:val="0"/>
        <w:autoSpaceDE w:val="0"/>
        <w:autoSpaceDN w:val="0"/>
        <w:bidi w:val="0"/>
        <w:adjustRightInd/>
        <w:snapToGrid/>
        <w:spacing w:before="100" w:after="100"/>
        <w:ind w:left="0" w:right="0" w:firstLine="0"/>
        <w:jc w:val="left"/>
        <w:textAlignment w:val="auto"/>
        <w:rPr>
          <w:rFonts w:ascii="黑体" w:hAnsi="黑体" w:eastAsia="黑体" w:cs="黑体"/>
          <w:b/>
          <w:spacing w:val="0"/>
          <w:sz w:val="32"/>
          <w:szCs w:val="32"/>
        </w:rPr>
      </w:pPr>
      <w:r>
        <w:rPr>
          <w:rFonts w:ascii="黑体" w:hAnsi="黑体" w:eastAsia="黑体" w:cs="黑体"/>
          <w:b/>
          <w:spacing w:val="0"/>
          <w:sz w:val="32"/>
          <w:szCs w:val="32"/>
        </w:rPr>
        <w:t>财政拨款收入支出决算总表</w:t>
      </w:r>
    </w:p>
    <w:p>
      <w:pPr>
        <w:pStyle w:val="29"/>
        <w:keepNext w:val="0"/>
        <w:keepLines w:val="0"/>
        <w:pageBreakBefore w:val="0"/>
        <w:widowControl/>
        <w:numPr>
          <w:ilvl w:val="0"/>
          <w:numId w:val="0"/>
        </w:numPr>
        <w:kinsoku/>
        <w:wordWrap/>
        <w:overflowPunct/>
        <w:topLinePunct w:val="0"/>
        <w:autoSpaceDE w:val="0"/>
        <w:autoSpaceDN w:val="0"/>
        <w:bidi w:val="0"/>
        <w:adjustRightInd/>
        <w:snapToGrid/>
        <w:spacing w:before="100" w:after="100"/>
        <w:ind w:right="0" w:rightChars="0"/>
        <w:jc w:val="left"/>
        <w:textAlignment w:val="auto"/>
        <w:rPr>
          <w:rFonts w:ascii="黑体" w:hAnsi="黑体" w:eastAsia="黑体" w:cs="黑体"/>
          <w:b/>
          <w:spacing w:val="0"/>
          <w:sz w:val="32"/>
          <w:szCs w:val="32"/>
        </w:rPr>
      </w:pPr>
    </w:p>
    <w:tbl>
      <w:tblPr>
        <w:tblStyle w:val="22"/>
        <w:tblpPr w:leftFromText="180" w:rightFromText="180" w:vertAnchor="text" w:horzAnchor="page" w:tblpX="1526" w:tblpY="112"/>
        <w:tblOverlap w:val="never"/>
        <w:tblW w:w="8887" w:type="dxa"/>
        <w:tblInd w:w="0" w:type="dxa"/>
        <w:tblLayout w:type="fixed"/>
        <w:tblCellMar>
          <w:top w:w="15" w:type="dxa"/>
          <w:left w:w="15" w:type="dxa"/>
          <w:bottom w:w="15" w:type="dxa"/>
          <w:right w:w="15" w:type="dxa"/>
        </w:tblCellMar>
      </w:tblPr>
      <w:tblGrid>
        <w:gridCol w:w="1008"/>
        <w:gridCol w:w="1008"/>
        <w:gridCol w:w="664"/>
        <w:gridCol w:w="1960"/>
        <w:gridCol w:w="609"/>
        <w:gridCol w:w="799"/>
        <w:gridCol w:w="1008"/>
        <w:gridCol w:w="1008"/>
        <w:gridCol w:w="823"/>
      </w:tblGrid>
      <w:tr>
        <w:tblPrEx>
          <w:tblLayout w:type="fixed"/>
          <w:tblCellMar>
            <w:top w:w="15" w:type="dxa"/>
            <w:left w:w="15" w:type="dxa"/>
            <w:bottom w:w="15" w:type="dxa"/>
            <w:right w:w="15" w:type="dxa"/>
          </w:tblCellMar>
        </w:tblPrEx>
        <w:trPr>
          <w:tblHeader/>
        </w:trPr>
        <w:tc>
          <w:tcPr>
            <w:tcW w:w="8887" w:type="dxa"/>
            <w:gridSpan w:val="9"/>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20"/>
                <w:szCs w:val="20"/>
              </w:rPr>
              <w:t>财政拨款收入支出决算总表</w:t>
            </w:r>
          </w:p>
        </w:tc>
      </w:tr>
      <w:tr>
        <w:tblPrEx>
          <w:tblLayout w:type="fixed"/>
          <w:tblCellMar>
            <w:top w:w="15" w:type="dxa"/>
            <w:left w:w="15" w:type="dxa"/>
            <w:bottom w:w="15" w:type="dxa"/>
            <w:right w:w="15" w:type="dxa"/>
          </w:tblCellMar>
        </w:tblPrEx>
        <w:tc>
          <w:tcPr>
            <w:tcW w:w="4640" w:type="dxa"/>
            <w:gridSpan w:val="4"/>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部门/单位：福建省厦门双十中学湖里分校</w:t>
            </w:r>
          </w:p>
        </w:tc>
        <w:tc>
          <w:tcPr>
            <w:tcW w:w="2416"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831" w:type="dxa"/>
            <w:gridSpan w:val="2"/>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2680"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收入</w:t>
            </w:r>
          </w:p>
        </w:tc>
        <w:tc>
          <w:tcPr>
            <w:tcW w:w="6207" w:type="dxa"/>
            <w:gridSpan w:val="6"/>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1008"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项目 </w:t>
            </w:r>
          </w:p>
        </w:tc>
        <w:tc>
          <w:tcPr>
            <w:tcW w:w="1008"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行次</w:t>
            </w:r>
          </w:p>
        </w:tc>
        <w:tc>
          <w:tcPr>
            <w:tcW w:w="664"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w:t>
            </w:r>
          </w:p>
        </w:tc>
        <w:tc>
          <w:tcPr>
            <w:tcW w:w="1960"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w:t>
            </w:r>
          </w:p>
        </w:tc>
        <w:tc>
          <w:tcPr>
            <w:tcW w:w="609"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行次</w:t>
            </w:r>
          </w:p>
        </w:tc>
        <w:tc>
          <w:tcPr>
            <w:tcW w:w="799"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1008"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一般公共预算财政拨款</w:t>
            </w:r>
          </w:p>
        </w:tc>
        <w:tc>
          <w:tcPr>
            <w:tcW w:w="1008"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政府性基金预算财政拨款</w:t>
            </w:r>
          </w:p>
        </w:tc>
        <w:tc>
          <w:tcPr>
            <w:tcW w:w="823"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国有资本经营预算财政拨款</w:t>
            </w:r>
          </w:p>
        </w:tc>
      </w:tr>
      <w:tr>
        <w:tblPrEx>
          <w:tblLayout w:type="fixed"/>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栏次</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栏次</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一、一般公共预算财政拨款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361.45</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一、一般公共服务支出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二、政府性基金预算财政拨款</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二、外交支出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34</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三、国有资本经营预算财政拨款</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三、国防支出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35</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40"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四、公共安全支出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12"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五、教育支出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37</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324.3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324.3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515"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六、科学技术支出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38</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七、文化旅游体育与传媒支出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八、社会保障和就业支出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40</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25.96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25.96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505"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九、卫生健康支出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41</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21"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10</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十、节能环保支出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42</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02"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十一、城乡社区支出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43</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31"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12</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十二、农林水支出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44</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543"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13</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十三、交通运输支出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45</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十四、资源勘探工业信息等支出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46</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15</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十五、商业服务业等支出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47</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bl>
    <w:p>
      <w:pPr>
        <w:pStyle w:val="29"/>
        <w:keepNext w:val="0"/>
        <w:keepLines w:val="0"/>
        <w:pageBreakBefore w:val="0"/>
        <w:widowControl/>
        <w:numPr>
          <w:ilvl w:val="0"/>
          <w:numId w:val="0"/>
        </w:numPr>
        <w:kinsoku/>
        <w:wordWrap/>
        <w:overflowPunct/>
        <w:topLinePunct w:val="0"/>
        <w:autoSpaceDE w:val="0"/>
        <w:autoSpaceDN w:val="0"/>
        <w:bidi w:val="0"/>
        <w:adjustRightInd/>
        <w:snapToGrid/>
        <w:spacing w:before="100" w:after="100"/>
        <w:ind w:right="0" w:rightChars="0"/>
        <w:jc w:val="left"/>
        <w:textAlignment w:val="auto"/>
        <w:rPr>
          <w:rFonts w:ascii="黑体" w:hAnsi="黑体" w:eastAsia="黑体" w:cs="黑体"/>
          <w:b/>
          <w:spacing w:val="0"/>
          <w:sz w:val="32"/>
          <w:szCs w:val="32"/>
        </w:rPr>
      </w:pPr>
    </w:p>
    <w:p>
      <w:pPr>
        <w:pStyle w:val="29"/>
        <w:keepNext w:val="0"/>
        <w:keepLines w:val="0"/>
        <w:pageBreakBefore w:val="0"/>
        <w:widowControl/>
        <w:numPr>
          <w:ilvl w:val="0"/>
          <w:numId w:val="0"/>
        </w:numPr>
        <w:kinsoku/>
        <w:wordWrap/>
        <w:overflowPunct/>
        <w:topLinePunct w:val="0"/>
        <w:autoSpaceDE w:val="0"/>
        <w:autoSpaceDN w:val="0"/>
        <w:bidi w:val="0"/>
        <w:adjustRightInd/>
        <w:snapToGrid/>
        <w:spacing w:before="100" w:after="100"/>
        <w:ind w:right="0" w:rightChars="0"/>
        <w:jc w:val="left"/>
        <w:textAlignment w:val="auto"/>
        <w:rPr>
          <w:rFonts w:ascii="黑体" w:hAnsi="黑体" w:eastAsia="黑体" w:cs="黑体"/>
          <w:b/>
          <w:spacing w:val="0"/>
          <w:sz w:val="32"/>
          <w:szCs w:val="32"/>
        </w:rPr>
      </w:pPr>
    </w:p>
    <w:p>
      <w:pPr>
        <w:pStyle w:val="29"/>
        <w:keepNext w:val="0"/>
        <w:keepLines w:val="0"/>
        <w:pageBreakBefore w:val="0"/>
        <w:widowControl/>
        <w:numPr>
          <w:ilvl w:val="0"/>
          <w:numId w:val="0"/>
        </w:numPr>
        <w:kinsoku/>
        <w:wordWrap/>
        <w:overflowPunct/>
        <w:topLinePunct w:val="0"/>
        <w:autoSpaceDE w:val="0"/>
        <w:autoSpaceDN w:val="0"/>
        <w:bidi w:val="0"/>
        <w:adjustRightInd/>
        <w:snapToGrid/>
        <w:spacing w:before="100" w:after="100"/>
        <w:ind w:right="0" w:rightChars="0"/>
        <w:jc w:val="left"/>
        <w:textAlignment w:val="auto"/>
        <w:rPr>
          <w:rFonts w:ascii="黑体" w:hAnsi="黑体" w:eastAsia="黑体" w:cs="黑体"/>
          <w:b/>
          <w:spacing w:val="0"/>
          <w:sz w:val="32"/>
          <w:szCs w:val="32"/>
        </w:rPr>
      </w:pPr>
    </w:p>
    <w:p>
      <w:pPr>
        <w:pStyle w:val="29"/>
        <w:keepNext w:val="0"/>
        <w:keepLines w:val="0"/>
        <w:pageBreakBefore w:val="0"/>
        <w:widowControl/>
        <w:numPr>
          <w:ilvl w:val="0"/>
          <w:numId w:val="0"/>
        </w:numPr>
        <w:kinsoku/>
        <w:wordWrap/>
        <w:overflowPunct/>
        <w:topLinePunct w:val="0"/>
        <w:autoSpaceDE w:val="0"/>
        <w:autoSpaceDN w:val="0"/>
        <w:bidi w:val="0"/>
        <w:adjustRightInd/>
        <w:snapToGrid/>
        <w:spacing w:before="100" w:after="100"/>
        <w:ind w:right="0" w:rightChars="0"/>
        <w:jc w:val="left"/>
        <w:textAlignment w:val="auto"/>
        <w:rPr>
          <w:rFonts w:ascii="黑体" w:hAnsi="黑体" w:eastAsia="黑体" w:cs="黑体"/>
          <w:b/>
          <w:spacing w:val="0"/>
          <w:sz w:val="32"/>
          <w:szCs w:val="32"/>
        </w:rPr>
      </w:pPr>
    </w:p>
    <w:tbl>
      <w:tblPr>
        <w:tblStyle w:val="22"/>
        <w:tblpPr w:leftFromText="180" w:rightFromText="180" w:vertAnchor="text" w:horzAnchor="page" w:tblpX="1442" w:tblpY="168"/>
        <w:tblOverlap w:val="never"/>
        <w:tblW w:w="9076" w:type="dxa"/>
        <w:tblInd w:w="0" w:type="dxa"/>
        <w:tblLayout w:type="fixed"/>
        <w:tblCellMar>
          <w:top w:w="15" w:type="dxa"/>
          <w:left w:w="15" w:type="dxa"/>
          <w:bottom w:w="15" w:type="dxa"/>
          <w:right w:w="15" w:type="dxa"/>
        </w:tblCellMar>
      </w:tblPr>
      <w:tblGrid>
        <w:gridCol w:w="1008"/>
        <w:gridCol w:w="1008"/>
        <w:gridCol w:w="664"/>
        <w:gridCol w:w="1960"/>
        <w:gridCol w:w="609"/>
        <w:gridCol w:w="799"/>
        <w:gridCol w:w="1008"/>
        <w:gridCol w:w="1008"/>
        <w:gridCol w:w="1012"/>
      </w:tblGrid>
      <w:tr>
        <w:tblPrEx>
          <w:tblLayout w:type="fixed"/>
          <w:tblCellMar>
            <w:top w:w="15" w:type="dxa"/>
            <w:left w:w="15" w:type="dxa"/>
            <w:bottom w:w="15" w:type="dxa"/>
            <w:right w:w="15" w:type="dxa"/>
          </w:tblCellMar>
        </w:tblPrEx>
        <w:trPr>
          <w:tblHeader/>
        </w:trPr>
        <w:tc>
          <w:tcPr>
            <w:tcW w:w="9076" w:type="dxa"/>
            <w:gridSpan w:val="9"/>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bookmarkStart w:id="41" w:name="_Toc256000041"/>
            <w:bookmarkStart w:id="42" w:name="_Toc256000103"/>
            <w:bookmarkStart w:id="43" w:name="_Toc256000010"/>
            <w:bookmarkStart w:id="44" w:name="_Toc256000072"/>
            <w:r>
              <w:rPr>
                <w:rFonts w:hint="eastAsia" w:ascii="宋体" w:hAnsi="宋体" w:eastAsia="宋体" w:cs="宋体"/>
                <w:b w:val="0"/>
                <w:bCs w:val="0"/>
                <w:i w:val="0"/>
                <w:iCs w:val="0"/>
                <w:smallCaps w:val="0"/>
                <w:color w:val="000000"/>
                <w:kern w:val="0"/>
                <w:sz w:val="18"/>
                <w:szCs w:val="18"/>
              </w:rPr>
              <w:t>财政拨款收入支出决算总表</w:t>
            </w:r>
          </w:p>
        </w:tc>
      </w:tr>
      <w:tr>
        <w:tblPrEx>
          <w:tblLayout w:type="fixed"/>
          <w:tblCellMar>
            <w:top w:w="15" w:type="dxa"/>
            <w:left w:w="15" w:type="dxa"/>
            <w:bottom w:w="15" w:type="dxa"/>
            <w:right w:w="15" w:type="dxa"/>
          </w:tblCellMar>
        </w:tblPrEx>
        <w:tc>
          <w:tcPr>
            <w:tcW w:w="4640" w:type="dxa"/>
            <w:gridSpan w:val="4"/>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部门/单位：福建省厦门双十中学湖里分校</w:t>
            </w:r>
          </w:p>
        </w:tc>
        <w:tc>
          <w:tcPr>
            <w:tcW w:w="2416"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020" w:type="dxa"/>
            <w:gridSpan w:val="2"/>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441" w:hRule="atLeast"/>
        </w:trPr>
        <w:tc>
          <w:tcPr>
            <w:tcW w:w="1008"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w:t>
            </w:r>
          </w:p>
        </w:tc>
        <w:tc>
          <w:tcPr>
            <w:tcW w:w="664"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十六、金融支出</w:t>
            </w:r>
          </w:p>
        </w:tc>
        <w:tc>
          <w:tcPr>
            <w:tcW w:w="609"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48</w:t>
            </w:r>
          </w:p>
        </w:tc>
        <w:tc>
          <w:tcPr>
            <w:tcW w:w="799"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720" w:hRule="atLeast"/>
        </w:trPr>
        <w:tc>
          <w:tcPr>
            <w:tcW w:w="1008"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17</w:t>
            </w:r>
          </w:p>
        </w:tc>
        <w:tc>
          <w:tcPr>
            <w:tcW w:w="664"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十七、援助其他地区支出</w:t>
            </w:r>
          </w:p>
        </w:tc>
        <w:tc>
          <w:tcPr>
            <w:tcW w:w="609"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w:t>
            </w:r>
          </w:p>
        </w:tc>
        <w:tc>
          <w:tcPr>
            <w:tcW w:w="799"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18</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十八、自然资源海洋气象等支出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十九、住房保障支出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51</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二十、粮油物资储备支出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52</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二十一、国有资本经营预算支出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53</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二十二、灾害防治及应急管理支出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54</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553"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23</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二十三、其他支出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55</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77"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24</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二十四、债务还本支出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56</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77"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25</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二十五、债务付息支出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57</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26</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二十六、抗疫特别国债安排的支出</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58</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本年收入合计</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27</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361.45</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本年支出合计</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59</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361.45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361.45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年初财政拨款结转和结余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28</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年末财政拨款结转和结余 </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60</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一、一般公共预算财政拨款</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29</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61</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二、政府性基金预算财政拨款</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62</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三、国有资本经营预算财政拨款</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63</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30" w:hRule="atLeast"/>
        </w:trPr>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总计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32</w:t>
            </w:r>
          </w:p>
        </w:tc>
        <w:tc>
          <w:tcPr>
            <w:tcW w:w="6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361.45</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总计 </w:t>
            </w:r>
          </w:p>
        </w:tc>
        <w:tc>
          <w:tcPr>
            <w:tcW w:w="60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64</w:t>
            </w:r>
          </w:p>
        </w:tc>
        <w:tc>
          <w:tcPr>
            <w:tcW w:w="7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361.45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361.45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76" w:type="dxa"/>
            <w:gridSpan w:val="9"/>
            <w:noWrap w:val="0"/>
            <w:tcMar>
              <w:top w:w="20" w:type="dxa"/>
              <w:left w:w="20" w:type="dxa"/>
              <w:bottom w:w="20" w:type="dxa"/>
              <w:right w:w="20" w:type="dxa"/>
            </w:tcMar>
            <w:vAlign w:val="center"/>
          </w:tcPr>
          <w:p>
            <w:pPr>
              <w:widowControl/>
              <w:spacing w:line="375" w:lineRule="atLeast"/>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bookmarkEnd w:id="41"/>
      <w:bookmarkEnd w:id="42"/>
      <w:bookmarkEnd w:id="43"/>
      <w:bookmarkEnd w:id="44"/>
    </w:tbl>
    <w:p>
      <w:pPr>
        <w:pStyle w:val="29"/>
        <w:keepNext w:val="0"/>
        <w:keepLines w:val="0"/>
        <w:pageBreakBefore w:val="0"/>
        <w:widowControl/>
        <w:numPr>
          <w:ilvl w:val="0"/>
          <w:numId w:val="0"/>
        </w:numPr>
        <w:kinsoku/>
        <w:wordWrap/>
        <w:overflowPunct/>
        <w:topLinePunct w:val="0"/>
        <w:autoSpaceDE w:val="0"/>
        <w:autoSpaceDN w:val="0"/>
        <w:bidi w:val="0"/>
        <w:adjustRightInd/>
        <w:snapToGrid/>
        <w:spacing w:before="100" w:after="100"/>
        <w:ind w:right="0" w:rightChars="0"/>
        <w:jc w:val="left"/>
        <w:textAlignment w:val="auto"/>
        <w:rPr>
          <w:rFonts w:ascii="黑体" w:hAnsi="黑体" w:eastAsia="黑体" w:cs="黑体"/>
          <w:b/>
          <w:spacing w:val="0"/>
          <w:sz w:val="32"/>
          <w:szCs w:val="32"/>
        </w:rPr>
      </w:pPr>
    </w:p>
    <w:p>
      <w:pPr>
        <w:pStyle w:val="29"/>
        <w:keepNext w:val="0"/>
        <w:keepLines w:val="0"/>
        <w:pageBreakBefore w:val="0"/>
        <w:widowControl/>
        <w:numPr>
          <w:ilvl w:val="0"/>
          <w:numId w:val="0"/>
        </w:numPr>
        <w:kinsoku/>
        <w:wordWrap/>
        <w:overflowPunct/>
        <w:topLinePunct w:val="0"/>
        <w:autoSpaceDE w:val="0"/>
        <w:autoSpaceDN w:val="0"/>
        <w:bidi w:val="0"/>
        <w:adjustRightInd/>
        <w:snapToGrid/>
        <w:spacing w:before="100" w:after="100"/>
        <w:ind w:right="0" w:rightChars="0"/>
        <w:jc w:val="left"/>
        <w:textAlignment w:val="auto"/>
        <w:rPr>
          <w:rFonts w:ascii="黑体" w:hAnsi="黑体" w:eastAsia="黑体" w:cs="黑体"/>
          <w:b/>
          <w:spacing w:val="0"/>
          <w:sz w:val="32"/>
          <w:szCs w:val="32"/>
        </w:rPr>
      </w:pPr>
    </w:p>
    <w:p>
      <w:pPr>
        <w:pStyle w:val="5"/>
        <w:keepNext w:val="0"/>
        <w:keepLines w:val="0"/>
        <w:spacing w:before="100" w:after="100" w:line="240" w:lineRule="auto"/>
        <w:ind w:left="0" w:leftChars="0" w:right="0" w:firstLine="0" w:firstLineChars="0"/>
        <w:rPr>
          <w:rFonts w:ascii="黑体" w:hAnsi="黑体" w:eastAsia="黑体" w:cs="黑体"/>
          <w:b/>
          <w:spacing w:val="0"/>
        </w:rPr>
      </w:pPr>
      <w:bookmarkStart w:id="45" w:name="_Toc256000011"/>
      <w:bookmarkStart w:id="46" w:name="_Toc256000104"/>
      <w:bookmarkStart w:id="47" w:name="_Toc256000073"/>
      <w:bookmarkStart w:id="48" w:name="_Toc256000042"/>
    </w:p>
    <w:tbl>
      <w:tblPr>
        <w:tblStyle w:val="22"/>
        <w:tblpPr w:leftFromText="180" w:rightFromText="180" w:vertAnchor="text" w:horzAnchor="page" w:tblpX="1554" w:tblpY="699"/>
        <w:tblOverlap w:val="never"/>
        <w:tblW w:w="8916" w:type="dxa"/>
        <w:tblInd w:w="0" w:type="dxa"/>
        <w:tblLayout w:type="fixed"/>
        <w:tblCellMar>
          <w:top w:w="15" w:type="dxa"/>
          <w:left w:w="15" w:type="dxa"/>
          <w:bottom w:w="15" w:type="dxa"/>
          <w:right w:w="15" w:type="dxa"/>
        </w:tblCellMar>
      </w:tblPr>
      <w:tblGrid>
        <w:gridCol w:w="2494"/>
        <w:gridCol w:w="2602"/>
        <w:gridCol w:w="1195"/>
        <w:gridCol w:w="1097"/>
        <w:gridCol w:w="1528"/>
      </w:tblGrid>
      <w:tr>
        <w:tblPrEx>
          <w:tblLayout w:type="fixed"/>
          <w:tblCellMar>
            <w:top w:w="15" w:type="dxa"/>
            <w:left w:w="15" w:type="dxa"/>
            <w:bottom w:w="15" w:type="dxa"/>
            <w:right w:w="15" w:type="dxa"/>
          </w:tblCellMar>
        </w:tblPrEx>
        <w:trPr>
          <w:trHeight w:val="938" w:hRule="atLeast"/>
          <w:tblHeader/>
        </w:trPr>
        <w:tc>
          <w:tcPr>
            <w:tcW w:w="8916" w:type="dxa"/>
            <w:gridSpan w:val="5"/>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一般公共预算财政拨款支出决算表</w:t>
            </w:r>
          </w:p>
        </w:tc>
      </w:tr>
      <w:tr>
        <w:tblPrEx>
          <w:tblLayout w:type="fixed"/>
          <w:tblCellMar>
            <w:top w:w="15" w:type="dxa"/>
            <w:left w:w="15" w:type="dxa"/>
            <w:bottom w:w="15" w:type="dxa"/>
            <w:right w:w="15" w:type="dxa"/>
          </w:tblCellMar>
        </w:tblPrEx>
        <w:trPr>
          <w:trHeight w:val="809" w:hRule="atLeast"/>
        </w:trPr>
        <w:tc>
          <w:tcPr>
            <w:tcW w:w="6291"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部门/单位：福建省厦门双十中学湖里分校</w:t>
            </w:r>
          </w:p>
        </w:tc>
        <w:tc>
          <w:tcPr>
            <w:tcW w:w="1097"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tc>
        <w:tc>
          <w:tcPr>
            <w:tcW w:w="1528"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395" w:hRule="atLeast"/>
        </w:trPr>
        <w:tc>
          <w:tcPr>
            <w:tcW w:w="5096" w:type="dxa"/>
            <w:gridSpan w:val="2"/>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w:t>
            </w:r>
          </w:p>
        </w:tc>
        <w:tc>
          <w:tcPr>
            <w:tcW w:w="3820"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trPr>
        <w:tc>
          <w:tcPr>
            <w:tcW w:w="2494" w:type="dxa"/>
            <w:vMerge w:val="restart"/>
            <w:tcBorders>
              <w:top w:val="single" w:color="auto" w:sz="4" w:space="0"/>
              <w:left w:val="single" w:color="000000" w:sz="6" w:space="0"/>
              <w:bottom w:val="single" w:color="auto" w:sz="4"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科目代码</w:t>
            </w:r>
          </w:p>
        </w:tc>
        <w:tc>
          <w:tcPr>
            <w:tcW w:w="2602" w:type="dxa"/>
            <w:vMerge w:val="restart"/>
            <w:tcBorders>
              <w:top w:val="single" w:color="auto" w:sz="4" w:space="0"/>
              <w:left w:val="single" w:color="000000" w:sz="6" w:space="0"/>
              <w:bottom w:val="single" w:color="auto" w:sz="4"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1195" w:type="dxa"/>
            <w:vMerge w:val="restart"/>
            <w:tcBorders>
              <w:top w:val="single" w:color="auto" w:sz="4" w:space="0"/>
              <w:left w:val="single" w:color="000000" w:sz="6" w:space="0"/>
              <w:bottom w:val="single" w:color="auto" w:sz="4"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小计</w:t>
            </w:r>
          </w:p>
        </w:tc>
        <w:tc>
          <w:tcPr>
            <w:tcW w:w="1097" w:type="dxa"/>
            <w:vMerge w:val="restart"/>
            <w:tcBorders>
              <w:top w:val="single" w:color="auto" w:sz="4" w:space="0"/>
              <w:left w:val="single" w:color="000000" w:sz="6" w:space="0"/>
              <w:bottom w:val="single" w:color="auto" w:sz="4"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基本支出</w:t>
            </w:r>
          </w:p>
        </w:tc>
        <w:tc>
          <w:tcPr>
            <w:tcW w:w="1528" w:type="dxa"/>
            <w:vMerge w:val="restart"/>
            <w:tcBorders>
              <w:top w:val="single" w:color="auto" w:sz="4" w:space="0"/>
              <w:left w:val="single" w:color="000000" w:sz="6" w:space="0"/>
              <w:bottom w:val="single" w:color="auto" w:sz="4"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12" w:hRule="atLeast"/>
          <w:tblHeader/>
        </w:trPr>
        <w:tc>
          <w:tcPr>
            <w:tcW w:w="2494"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2602"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1195"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1097"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1528"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56" w:hRule="atLeast"/>
          <w:tblHeader/>
        </w:trPr>
        <w:tc>
          <w:tcPr>
            <w:tcW w:w="2494" w:type="dxa"/>
            <w:vMerge w:val="continue"/>
            <w:tcBorders>
              <w:top w:val="single" w:color="auto" w:sz="4"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2602" w:type="dxa"/>
            <w:vMerge w:val="continue"/>
            <w:tcBorders>
              <w:top w:val="single" w:color="auto" w:sz="4"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1195"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1097"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1528"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395" w:hRule="atLeast"/>
        </w:trPr>
        <w:tc>
          <w:tcPr>
            <w:tcW w:w="509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361.45</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272.41</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89.05</w:t>
            </w:r>
          </w:p>
        </w:tc>
      </w:tr>
      <w:tr>
        <w:tblPrEx>
          <w:tblLayout w:type="fixed"/>
          <w:tblCellMar>
            <w:top w:w="15" w:type="dxa"/>
            <w:left w:w="15" w:type="dxa"/>
            <w:bottom w:w="15" w:type="dxa"/>
            <w:right w:w="15" w:type="dxa"/>
          </w:tblCellMar>
        </w:tblPrEx>
        <w:trPr>
          <w:trHeight w:val="395"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教育支出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324.3</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235.26</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89.05</w:t>
            </w:r>
          </w:p>
        </w:tc>
      </w:tr>
      <w:tr>
        <w:tblPrEx>
          <w:tblLayout w:type="fixed"/>
          <w:tblCellMar>
            <w:top w:w="15" w:type="dxa"/>
            <w:left w:w="15" w:type="dxa"/>
            <w:bottom w:w="15" w:type="dxa"/>
            <w:right w:w="15" w:type="dxa"/>
          </w:tblCellMar>
        </w:tblPrEx>
        <w:trPr>
          <w:trHeight w:val="395"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普通教育</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315.25</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235.26</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79.99</w:t>
            </w:r>
          </w:p>
        </w:tc>
      </w:tr>
      <w:tr>
        <w:tblPrEx>
          <w:tblLayout w:type="fixed"/>
          <w:tblCellMar>
            <w:top w:w="15" w:type="dxa"/>
            <w:left w:w="15" w:type="dxa"/>
            <w:bottom w:w="15" w:type="dxa"/>
            <w:right w:w="15" w:type="dxa"/>
          </w:tblCellMar>
        </w:tblPrEx>
        <w:trPr>
          <w:trHeight w:val="395"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2050202</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小学教育</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88.86</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88.86</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95"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2050203</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初中教育</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146.4</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146.4</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94"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2050299</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其他普通教育支出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79.99</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79.99</w:t>
            </w:r>
          </w:p>
        </w:tc>
      </w:tr>
      <w:tr>
        <w:tblPrEx>
          <w:tblLayout w:type="fixed"/>
          <w:tblCellMar>
            <w:top w:w="15" w:type="dxa"/>
            <w:left w:w="15" w:type="dxa"/>
            <w:bottom w:w="15" w:type="dxa"/>
            <w:right w:w="15" w:type="dxa"/>
          </w:tblCellMar>
        </w:tblPrEx>
        <w:trPr>
          <w:trHeight w:val="421"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20509</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教育费附加安排的支出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9.06</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9.06</w:t>
            </w:r>
          </w:p>
        </w:tc>
      </w:tr>
      <w:tr>
        <w:tblPrEx>
          <w:tblLayout w:type="fixed"/>
          <w:tblCellMar>
            <w:top w:w="15" w:type="dxa"/>
            <w:left w:w="15" w:type="dxa"/>
            <w:bottom w:w="15" w:type="dxa"/>
            <w:right w:w="15" w:type="dxa"/>
          </w:tblCellMar>
        </w:tblPrEx>
        <w:trPr>
          <w:trHeight w:val="421"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2050999</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其他教育费附加安排的支出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9.06</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9.06</w:t>
            </w:r>
          </w:p>
        </w:tc>
      </w:tr>
      <w:tr>
        <w:tblPrEx>
          <w:tblLayout w:type="fixed"/>
          <w:tblCellMar>
            <w:top w:w="15" w:type="dxa"/>
            <w:left w:w="15" w:type="dxa"/>
            <w:bottom w:w="15" w:type="dxa"/>
            <w:right w:w="15" w:type="dxa"/>
          </w:tblCellMar>
        </w:tblPrEx>
        <w:trPr>
          <w:trHeight w:val="449"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社会保障和就业支出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25.96</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25.96</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440"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行政事业单位养老支出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25.96</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25.96</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33"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2080505</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机关事业单位基本养老保险缴费支出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17.3</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17.3</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495"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2080506</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机关事业单位职业年金缴费支出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8.65</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8.65</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480"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卫生健康支出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11.19</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11.19</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469"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21011</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行政事业单位医疗</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11.19</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11.19</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18"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2101102</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事业单位医疗</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7.41</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7.41</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43" w:hRule="atLeast"/>
        </w:trPr>
        <w:tc>
          <w:tcPr>
            <w:tcW w:w="2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2101199</w:t>
            </w:r>
          </w:p>
        </w:tc>
        <w:tc>
          <w:tcPr>
            <w:tcW w:w="2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其他行政事业单位医疗支出</w:t>
            </w:r>
          </w:p>
        </w:tc>
        <w:tc>
          <w:tcPr>
            <w:tcW w:w="11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3.79</w:t>
            </w:r>
          </w:p>
        </w:tc>
        <w:tc>
          <w:tcPr>
            <w:tcW w:w="1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3.79</w:t>
            </w:r>
          </w:p>
        </w:tc>
        <w:tc>
          <w:tcPr>
            <w:tcW w:w="15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414" w:hRule="atLeast"/>
        </w:trPr>
        <w:tc>
          <w:tcPr>
            <w:tcW w:w="8916" w:type="dxa"/>
            <w:gridSpan w:val="5"/>
            <w:noWrap w:val="0"/>
            <w:tcMar>
              <w:top w:w="20" w:type="dxa"/>
              <w:left w:w="20" w:type="dxa"/>
              <w:bottom w:w="20" w:type="dxa"/>
              <w:right w:w="20" w:type="dxa"/>
            </w:tcMar>
            <w:vAlign w:val="center"/>
          </w:tcPr>
          <w:p>
            <w:pPr>
              <w:widowControl/>
              <w:spacing w:line="375"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注：本表反映部门本年度一般公共预算财政拨款支出情况。</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五、一般公共预算财政拨款支出决算表</w:t>
      </w:r>
      <w:bookmarkEnd w:id="45"/>
      <w:bookmarkEnd w:id="46"/>
      <w:bookmarkEnd w:id="47"/>
      <w:bookmarkEnd w:id="48"/>
    </w:p>
    <w:p>
      <w:pPr>
        <w:pStyle w:val="5"/>
        <w:keepNext w:val="0"/>
        <w:keepLines w:val="0"/>
        <w:spacing w:before="100" w:after="100" w:line="240" w:lineRule="auto"/>
        <w:ind w:left="0" w:leftChars="0" w:right="0" w:firstLine="0" w:firstLineChars="0"/>
        <w:rPr>
          <w:rFonts w:ascii="黑体" w:hAnsi="黑体" w:eastAsia="黑体" w:cs="黑体"/>
          <w:b/>
          <w:spacing w:val="0"/>
        </w:rPr>
      </w:pPr>
      <w:bookmarkStart w:id="49" w:name="_Toc256000043"/>
      <w:bookmarkStart w:id="50" w:name="_Toc256000074"/>
      <w:bookmarkStart w:id="51" w:name="_Toc256000105"/>
      <w:bookmarkStart w:id="52" w:name="_Toc256000012"/>
    </w:p>
    <w:p>
      <w:pPr>
        <w:pStyle w:val="4"/>
        <w:rPr>
          <w:rFonts w:ascii="黑体" w:hAnsi="黑体" w:eastAsia="黑体" w:cs="黑体"/>
          <w:b/>
          <w:spacing w:val="0"/>
        </w:rPr>
      </w:pPr>
    </w:p>
    <w:p>
      <w:pPr>
        <w:pStyle w:val="4"/>
        <w:rPr>
          <w:rFonts w:ascii="黑体" w:hAnsi="黑体" w:eastAsia="黑体" w:cs="黑体"/>
          <w:b/>
          <w:spacing w:val="0"/>
        </w:rPr>
      </w:pPr>
    </w:p>
    <w:p>
      <w:pPr>
        <w:pStyle w:val="5"/>
        <w:keepNext w:val="0"/>
        <w:keepLines w:val="0"/>
        <w:spacing w:before="100" w:after="100" w:line="240" w:lineRule="auto"/>
        <w:ind w:left="720" w:right="0" w:hanging="720" w:firstLineChars="0"/>
        <w:rPr>
          <w:rFonts w:ascii="黑体" w:hAnsi="黑体" w:eastAsia="黑体" w:cs="黑体"/>
          <w:b/>
          <w:spacing w:val="0"/>
        </w:rPr>
      </w:pPr>
    </w:p>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六、一般公共预算财政拨款基本支出决算表</w:t>
      </w:r>
      <w:bookmarkEnd w:id="49"/>
      <w:bookmarkEnd w:id="50"/>
      <w:bookmarkEnd w:id="51"/>
      <w:bookmarkEnd w:id="52"/>
    </w:p>
    <w:p/>
    <w:tbl>
      <w:tblPr>
        <w:tblStyle w:val="22"/>
        <w:tblW w:w="9118" w:type="dxa"/>
        <w:tblInd w:w="0" w:type="dxa"/>
        <w:tblLayout w:type="fixed"/>
        <w:tblCellMar>
          <w:top w:w="15" w:type="dxa"/>
          <w:left w:w="15" w:type="dxa"/>
          <w:bottom w:w="15" w:type="dxa"/>
          <w:right w:w="15" w:type="dxa"/>
        </w:tblCellMar>
      </w:tblPr>
      <w:tblGrid>
        <w:gridCol w:w="980"/>
        <w:gridCol w:w="1557"/>
        <w:gridCol w:w="584"/>
        <w:gridCol w:w="980"/>
        <w:gridCol w:w="1115"/>
        <w:gridCol w:w="494"/>
        <w:gridCol w:w="980"/>
        <w:gridCol w:w="1933"/>
        <w:gridCol w:w="495"/>
      </w:tblGrid>
      <w:tr>
        <w:tblPrEx>
          <w:tblLayout w:type="fixed"/>
          <w:tblCellMar>
            <w:top w:w="15" w:type="dxa"/>
            <w:left w:w="15" w:type="dxa"/>
            <w:bottom w:w="15" w:type="dxa"/>
            <w:right w:w="15" w:type="dxa"/>
          </w:tblCellMar>
        </w:tblPrEx>
        <w:trPr>
          <w:trHeight w:val="940" w:hRule="atLeast"/>
          <w:tblHeader/>
        </w:trPr>
        <w:tc>
          <w:tcPr>
            <w:tcW w:w="9118" w:type="dxa"/>
            <w:gridSpan w:val="9"/>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一般公共预算财政拨款基本支出决算表</w:t>
            </w:r>
          </w:p>
        </w:tc>
      </w:tr>
      <w:tr>
        <w:tblPrEx>
          <w:tblLayout w:type="fixed"/>
          <w:tblCellMar>
            <w:top w:w="15" w:type="dxa"/>
            <w:left w:w="15" w:type="dxa"/>
            <w:bottom w:w="15" w:type="dxa"/>
            <w:right w:w="15" w:type="dxa"/>
          </w:tblCellMar>
        </w:tblPrEx>
        <w:trPr>
          <w:trHeight w:val="617" w:hRule="atLeast"/>
        </w:trPr>
        <w:tc>
          <w:tcPr>
            <w:tcW w:w="4101" w:type="dxa"/>
            <w:gridSpan w:val="4"/>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部门/单位：福建省厦门双十中学湖里分校</w:t>
            </w:r>
          </w:p>
        </w:tc>
        <w:tc>
          <w:tcPr>
            <w:tcW w:w="2589"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tc>
        <w:tc>
          <w:tcPr>
            <w:tcW w:w="2428" w:type="dxa"/>
            <w:gridSpan w:val="2"/>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bottom"/>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312" w:hRule="atLeast"/>
          <w:tblHeader/>
        </w:trPr>
        <w:tc>
          <w:tcPr>
            <w:tcW w:w="980" w:type="dxa"/>
            <w:vMerge w:val="restart"/>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经济分类科目编码</w:t>
            </w:r>
          </w:p>
        </w:tc>
        <w:tc>
          <w:tcPr>
            <w:tcW w:w="1557" w:type="dxa"/>
            <w:vMerge w:val="restart"/>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584" w:type="dxa"/>
            <w:vMerge w:val="restart"/>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w:t>
            </w:r>
          </w:p>
        </w:tc>
        <w:tc>
          <w:tcPr>
            <w:tcW w:w="980" w:type="dxa"/>
            <w:vMerge w:val="restart"/>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经济分类科目编码</w:t>
            </w:r>
          </w:p>
        </w:tc>
        <w:tc>
          <w:tcPr>
            <w:tcW w:w="1115" w:type="dxa"/>
            <w:vMerge w:val="restart"/>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494" w:type="dxa"/>
            <w:vMerge w:val="restart"/>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w:t>
            </w:r>
          </w:p>
        </w:tc>
        <w:tc>
          <w:tcPr>
            <w:tcW w:w="980" w:type="dxa"/>
            <w:vMerge w:val="restart"/>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经济分类科目编码</w:t>
            </w:r>
          </w:p>
        </w:tc>
        <w:tc>
          <w:tcPr>
            <w:tcW w:w="1933" w:type="dxa"/>
            <w:vMerge w:val="restart"/>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495" w:type="dxa"/>
            <w:vMerge w:val="restart"/>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531" w:hRule="atLeast"/>
          <w:tblHeader/>
        </w:trPr>
        <w:tc>
          <w:tcPr>
            <w:tcW w:w="980" w:type="dxa"/>
            <w:vMerge w:val="continue"/>
            <w:tcBorders>
              <w:top w:val="single" w:color="auto" w:sz="4" w:space="0"/>
              <w:left w:val="single" w:color="auto" w:sz="4"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1557"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584"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980"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1115"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494"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980"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1933" w:type="dxa"/>
            <w:vMerge w:val="continue"/>
            <w:tcBorders>
              <w:top w:val="single" w:color="auto" w:sz="4" w:space="0"/>
              <w:left w:val="single" w:color="000000" w:sz="6" w:space="0"/>
              <w:bottom w:val="single" w:color="auto" w:sz="4" w:space="0"/>
              <w:right w:val="single" w:color="000000" w:sz="6" w:space="0"/>
            </w:tcBorders>
            <w:vAlign w:val="center"/>
          </w:tcPr>
          <w:p>
            <w:pPr>
              <w:jc w:val="center"/>
              <w:rPr>
                <w:rFonts w:hint="eastAsia" w:ascii="宋体" w:hAnsi="宋体" w:eastAsia="宋体" w:cs="宋体"/>
                <w:b w:val="0"/>
                <w:bCs w:val="0"/>
                <w:i w:val="0"/>
                <w:iCs w:val="0"/>
                <w:smallCaps w:val="0"/>
                <w:color w:val="000000"/>
                <w:kern w:val="0"/>
                <w:sz w:val="18"/>
                <w:szCs w:val="18"/>
              </w:rPr>
            </w:pPr>
          </w:p>
        </w:tc>
        <w:tc>
          <w:tcPr>
            <w:tcW w:w="495" w:type="dxa"/>
            <w:vMerge w:val="continue"/>
            <w:tcBorders>
              <w:top w:val="single" w:color="auto" w:sz="4" w:space="0"/>
              <w:left w:val="single" w:color="000000" w:sz="6" w:space="0"/>
              <w:bottom w:val="single" w:color="auto" w:sz="4" w:space="0"/>
              <w:right w:val="single" w:color="auto" w:sz="4" w:space="0"/>
            </w:tcBorders>
            <w:vAlign w:val="center"/>
          </w:tcPr>
          <w:p>
            <w:pPr>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12" w:hRule="atLeast"/>
        </w:trPr>
        <w:tc>
          <w:tcPr>
            <w:tcW w:w="980"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w:t>
            </w:r>
          </w:p>
        </w:tc>
        <w:tc>
          <w:tcPr>
            <w:tcW w:w="1557"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工资福利支出</w:t>
            </w:r>
          </w:p>
        </w:tc>
        <w:tc>
          <w:tcPr>
            <w:tcW w:w="584"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238.87</w:t>
            </w:r>
          </w:p>
        </w:tc>
        <w:tc>
          <w:tcPr>
            <w:tcW w:w="980"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w:t>
            </w:r>
          </w:p>
        </w:tc>
        <w:tc>
          <w:tcPr>
            <w:tcW w:w="1115"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商品和服务支出</w:t>
            </w:r>
          </w:p>
        </w:tc>
        <w:tc>
          <w:tcPr>
            <w:tcW w:w="494"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31.87</w:t>
            </w:r>
          </w:p>
        </w:tc>
        <w:tc>
          <w:tcPr>
            <w:tcW w:w="980"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30703</w:t>
            </w:r>
          </w:p>
        </w:tc>
        <w:tc>
          <w:tcPr>
            <w:tcW w:w="1933"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国内债务发行费用</w:t>
            </w:r>
          </w:p>
        </w:tc>
        <w:tc>
          <w:tcPr>
            <w:tcW w:w="495"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30"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30101</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基本工资</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24.9</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30201</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办公费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11.43</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30704</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国外债务发行费用</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499"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30102</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津贴补贴</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40.01</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30202</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印刷费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1.26</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资本性支出</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92"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30103</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奖金</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48.73</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30203</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咨询费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31001</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房屋建筑物购建</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41"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30106</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伙食补助费</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30204</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手续费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31002</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办公设备购置</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37"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30107</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绩效工资</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13.54</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30205</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水费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31003</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专用设备购置</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28"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30108</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机关事业单位基本养老保险缴费</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17.3</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30206</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电费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31005</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基础设施建设</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12"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30109</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职业年金缴费</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8.65</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30207</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邮电费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0.17</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31006</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大型修缮</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57"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30110</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职工基本医疗保险缴费</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7.41</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30208</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取暖费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31007</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信息网络及软件购置更新</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84"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30111</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公务员医疗补助缴费</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30209</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物业管理费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31008</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物资储备</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96"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30112</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其他社会保障缴费</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4.54</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30211</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差旅费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0.33</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31009</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土地补偿</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751"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30113</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住房公积金</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15.47</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30212</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因公出国（境）费用</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31010</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安置补助</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48"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30114</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医疗费</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30213</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维修（护）费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31011</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地上附着物和青苗补偿</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60"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30199</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其他工资福利支出</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58.31</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30214</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租赁费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31012</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拆迁补偿</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809"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对个人和家庭的补助</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1.66</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30215</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会议费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31013</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公务用车购置</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bl>
    <w:p>
      <w:pPr>
        <w:sectPr>
          <w:footerReference r:id="rId7"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2"/>
        <w:tblW w:w="9118" w:type="dxa"/>
        <w:tblInd w:w="0" w:type="dxa"/>
        <w:tblLayout w:type="fixed"/>
        <w:tblCellMar>
          <w:top w:w="15" w:type="dxa"/>
          <w:left w:w="15" w:type="dxa"/>
          <w:bottom w:w="15" w:type="dxa"/>
          <w:right w:w="15" w:type="dxa"/>
        </w:tblCellMar>
      </w:tblPr>
      <w:tblGrid>
        <w:gridCol w:w="980"/>
        <w:gridCol w:w="1557"/>
        <w:gridCol w:w="584"/>
        <w:gridCol w:w="980"/>
        <w:gridCol w:w="1115"/>
        <w:gridCol w:w="494"/>
        <w:gridCol w:w="980"/>
        <w:gridCol w:w="1933"/>
        <w:gridCol w:w="495"/>
      </w:tblGrid>
      <w:tr>
        <w:tblPrEx>
          <w:tblLayout w:type="fixed"/>
          <w:tblCellMar>
            <w:top w:w="15" w:type="dxa"/>
            <w:left w:w="15" w:type="dxa"/>
            <w:bottom w:w="15" w:type="dxa"/>
            <w:right w:w="15" w:type="dxa"/>
          </w:tblCellMar>
        </w:tblPrEx>
        <w:trPr>
          <w:trHeight w:val="940" w:hRule="atLeast"/>
          <w:tblHeader/>
        </w:trPr>
        <w:tc>
          <w:tcPr>
            <w:tcW w:w="9118" w:type="dxa"/>
            <w:gridSpan w:val="9"/>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一般公共预算财政拨款基本支出决算表</w:t>
            </w:r>
          </w:p>
        </w:tc>
      </w:tr>
      <w:tr>
        <w:tblPrEx>
          <w:tblLayout w:type="fixed"/>
          <w:tblCellMar>
            <w:top w:w="15" w:type="dxa"/>
            <w:left w:w="15" w:type="dxa"/>
            <w:bottom w:w="15" w:type="dxa"/>
            <w:right w:w="15" w:type="dxa"/>
          </w:tblCellMar>
        </w:tblPrEx>
        <w:trPr>
          <w:trHeight w:val="617" w:hRule="atLeast"/>
        </w:trPr>
        <w:tc>
          <w:tcPr>
            <w:tcW w:w="4101" w:type="dxa"/>
            <w:gridSpan w:val="4"/>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部门/单位：福建省厦门双十中学湖里分校</w:t>
            </w:r>
          </w:p>
        </w:tc>
        <w:tc>
          <w:tcPr>
            <w:tcW w:w="2589"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tc>
        <w:tc>
          <w:tcPr>
            <w:tcW w:w="2428" w:type="dxa"/>
            <w:gridSpan w:val="2"/>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bottom"/>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547" w:hRule="atLeast"/>
        </w:trPr>
        <w:tc>
          <w:tcPr>
            <w:tcW w:w="98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30301</w:t>
            </w:r>
          </w:p>
        </w:tc>
        <w:tc>
          <w:tcPr>
            <w:tcW w:w="1557"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离休费</w:t>
            </w:r>
          </w:p>
        </w:tc>
        <w:tc>
          <w:tcPr>
            <w:tcW w:w="584"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30216</w:t>
            </w:r>
          </w:p>
        </w:tc>
        <w:tc>
          <w:tcPr>
            <w:tcW w:w="111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培训费</w:t>
            </w:r>
          </w:p>
        </w:tc>
        <w:tc>
          <w:tcPr>
            <w:tcW w:w="494"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2.93</w:t>
            </w:r>
          </w:p>
        </w:tc>
        <w:tc>
          <w:tcPr>
            <w:tcW w:w="98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31019</w:t>
            </w:r>
          </w:p>
        </w:tc>
        <w:tc>
          <w:tcPr>
            <w:tcW w:w="1933"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其他交通工具购置</w:t>
            </w:r>
          </w:p>
        </w:tc>
        <w:tc>
          <w:tcPr>
            <w:tcW w:w="49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715" w:hRule="atLeast"/>
        </w:trPr>
        <w:tc>
          <w:tcPr>
            <w:tcW w:w="98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30302</w:t>
            </w:r>
          </w:p>
        </w:tc>
        <w:tc>
          <w:tcPr>
            <w:tcW w:w="1557"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退休费</w:t>
            </w:r>
          </w:p>
        </w:tc>
        <w:tc>
          <w:tcPr>
            <w:tcW w:w="584"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30217</w:t>
            </w:r>
          </w:p>
        </w:tc>
        <w:tc>
          <w:tcPr>
            <w:tcW w:w="111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公务接待费</w:t>
            </w:r>
          </w:p>
        </w:tc>
        <w:tc>
          <w:tcPr>
            <w:tcW w:w="494"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31021</w:t>
            </w:r>
          </w:p>
        </w:tc>
        <w:tc>
          <w:tcPr>
            <w:tcW w:w="1933"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文物和陈列品购置</w:t>
            </w:r>
          </w:p>
        </w:tc>
        <w:tc>
          <w:tcPr>
            <w:tcW w:w="49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38" w:hRule="atLeast"/>
        </w:trPr>
        <w:tc>
          <w:tcPr>
            <w:tcW w:w="98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30303</w:t>
            </w:r>
          </w:p>
        </w:tc>
        <w:tc>
          <w:tcPr>
            <w:tcW w:w="1557"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退职（役）费</w:t>
            </w:r>
          </w:p>
        </w:tc>
        <w:tc>
          <w:tcPr>
            <w:tcW w:w="584"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30218</w:t>
            </w:r>
          </w:p>
        </w:tc>
        <w:tc>
          <w:tcPr>
            <w:tcW w:w="111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专用材料费</w:t>
            </w:r>
          </w:p>
        </w:tc>
        <w:tc>
          <w:tcPr>
            <w:tcW w:w="494"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0.76</w:t>
            </w:r>
          </w:p>
        </w:tc>
        <w:tc>
          <w:tcPr>
            <w:tcW w:w="98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31022</w:t>
            </w:r>
          </w:p>
        </w:tc>
        <w:tc>
          <w:tcPr>
            <w:tcW w:w="1933"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无形资产购置</w:t>
            </w:r>
          </w:p>
        </w:tc>
        <w:tc>
          <w:tcPr>
            <w:tcW w:w="49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10" w:hRule="atLeast"/>
        </w:trPr>
        <w:tc>
          <w:tcPr>
            <w:tcW w:w="980"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30304</w:t>
            </w:r>
          </w:p>
        </w:tc>
        <w:tc>
          <w:tcPr>
            <w:tcW w:w="1557"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抚恤金</w:t>
            </w:r>
          </w:p>
        </w:tc>
        <w:tc>
          <w:tcPr>
            <w:tcW w:w="584"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30224</w:t>
            </w:r>
          </w:p>
        </w:tc>
        <w:tc>
          <w:tcPr>
            <w:tcW w:w="1115"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被装购置费</w:t>
            </w:r>
          </w:p>
        </w:tc>
        <w:tc>
          <w:tcPr>
            <w:tcW w:w="494"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31099</w:t>
            </w:r>
          </w:p>
        </w:tc>
        <w:tc>
          <w:tcPr>
            <w:tcW w:w="1933"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其他资本性支出</w:t>
            </w:r>
          </w:p>
        </w:tc>
        <w:tc>
          <w:tcPr>
            <w:tcW w:w="495" w:type="dxa"/>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19"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30305</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生活补助</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30225</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专用燃料费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对企业补助</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444"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30306</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救济费</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30226</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劳务费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0.45</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31201</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资本金注入</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10"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30307</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医疗费补助</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30227</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委托业务费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31203</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政府投资基金股权投资</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96"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30308</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助学金</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30228</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工会经费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2.75</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31204</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费用补贴</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31"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30309</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奖励金</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1.66</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30229</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福利费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31205</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利息补贴</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02"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30310</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个人农业生产补贴</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30231</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公务用车运行维护费</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31206</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其他资本性补助</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499"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30311</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代缴社会保险费</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30239</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其他交通费用</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31299</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其他对企业补助</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572"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30399</w:t>
            </w: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其他对个人和家庭的补助</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30240</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税金及附加费用</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其他支出</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742"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30299</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其他商品和服务支出</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4.79</w:t>
            </w: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39907</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国家赔偿费用支出</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685"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债务利息及费用支出</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39908</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对民间非营利组织和群众性自治组织补贴</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733"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30701</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国内债务付息</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39909</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经常性赠与</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733"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30702</w:t>
            </w: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国外债务付息</w:t>
            </w: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39910</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资本性赠与</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733" w:hRule="atLeast"/>
        </w:trPr>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5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49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39999</w:t>
            </w:r>
          </w:p>
        </w:tc>
        <w:tc>
          <w:tcPr>
            <w:tcW w:w="19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其他支出</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96" w:hRule="atLeast"/>
        </w:trPr>
        <w:tc>
          <w:tcPr>
            <w:tcW w:w="25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人员经费合计</w:t>
            </w:r>
          </w:p>
        </w:tc>
        <w:tc>
          <w:tcPr>
            <w:tcW w:w="5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240.53</w:t>
            </w:r>
          </w:p>
        </w:tc>
        <w:tc>
          <w:tcPr>
            <w:tcW w:w="5502"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公用经费合计</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31.87</w:t>
            </w:r>
          </w:p>
        </w:tc>
      </w:tr>
      <w:tr>
        <w:tblPrEx>
          <w:tblLayout w:type="fixed"/>
          <w:tblCellMar>
            <w:top w:w="15" w:type="dxa"/>
            <w:left w:w="15" w:type="dxa"/>
            <w:bottom w:w="15" w:type="dxa"/>
            <w:right w:w="15" w:type="dxa"/>
          </w:tblCellMar>
        </w:tblPrEx>
        <w:trPr>
          <w:trHeight w:val="415" w:hRule="atLeast"/>
        </w:trPr>
        <w:tc>
          <w:tcPr>
            <w:tcW w:w="9118" w:type="dxa"/>
            <w:gridSpan w:val="9"/>
            <w:noWrap w:val="0"/>
            <w:tcMar>
              <w:top w:w="20" w:type="dxa"/>
              <w:left w:w="20" w:type="dxa"/>
              <w:bottom w:w="20" w:type="dxa"/>
              <w:right w:w="20" w:type="dxa"/>
            </w:tcMar>
            <w:vAlign w:val="center"/>
          </w:tcPr>
          <w:p>
            <w:pPr>
              <w:widowControl/>
              <w:spacing w:line="375" w:lineRule="atLeast"/>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注：本表反映部门本年度一般公共预算财政拨款基本支出明细情况。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tbl>
      <w:tblPr>
        <w:tblStyle w:val="22"/>
        <w:tblpPr w:leftFromText="180" w:rightFromText="180" w:vertAnchor="text" w:horzAnchor="page" w:tblpX="1452" w:tblpY="832"/>
        <w:tblOverlap w:val="never"/>
        <w:tblW w:w="9135" w:type="dxa"/>
        <w:tblInd w:w="0" w:type="dxa"/>
        <w:tblLayout w:type="fixed"/>
        <w:tblCellMar>
          <w:top w:w="15" w:type="dxa"/>
          <w:left w:w="15" w:type="dxa"/>
          <w:bottom w:w="15" w:type="dxa"/>
          <w:right w:w="15" w:type="dxa"/>
        </w:tblCellMar>
      </w:tblPr>
      <w:tblGrid>
        <w:gridCol w:w="264"/>
        <w:gridCol w:w="1135"/>
        <w:gridCol w:w="327"/>
        <w:gridCol w:w="731"/>
        <w:gridCol w:w="917"/>
        <w:gridCol w:w="135"/>
        <w:gridCol w:w="248"/>
        <w:gridCol w:w="221"/>
        <w:gridCol w:w="720"/>
        <w:gridCol w:w="1135"/>
        <w:gridCol w:w="497"/>
        <w:gridCol w:w="296"/>
        <w:gridCol w:w="466"/>
        <w:gridCol w:w="782"/>
        <w:gridCol w:w="1261"/>
      </w:tblGrid>
      <w:tr>
        <w:tblPrEx>
          <w:tblLayout w:type="fixed"/>
          <w:tblCellMar>
            <w:top w:w="15" w:type="dxa"/>
            <w:left w:w="15" w:type="dxa"/>
            <w:bottom w:w="15" w:type="dxa"/>
            <w:right w:w="15" w:type="dxa"/>
          </w:tblCellMar>
        </w:tblPrEx>
        <w:trPr>
          <w:tblHeader/>
        </w:trPr>
        <w:tc>
          <w:tcPr>
            <w:tcW w:w="9135" w:type="dxa"/>
            <w:gridSpan w:val="15"/>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2"/>
                <w:szCs w:val="22"/>
              </w:rPr>
            </w:pPr>
            <w:bookmarkStart w:id="53" w:name="_Toc256000075"/>
            <w:bookmarkStart w:id="54" w:name="_Toc256000044"/>
            <w:bookmarkStart w:id="55" w:name="_Toc256000013"/>
            <w:bookmarkStart w:id="56" w:name="_Toc256000106"/>
            <w:r>
              <w:rPr>
                <w:rFonts w:ascii="宋体" w:hAnsi="宋体" w:eastAsia="宋体" w:cs="宋体"/>
                <w:b w:val="0"/>
                <w:bCs w:val="0"/>
                <w:i w:val="0"/>
                <w:iCs w:val="0"/>
                <w:smallCaps w:val="0"/>
                <w:color w:val="000000"/>
                <w:kern w:val="0"/>
                <w:sz w:val="22"/>
                <w:szCs w:val="22"/>
              </w:rPr>
              <w:t>一般公共预算财政拨款</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三公</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经费支出决算</w:t>
            </w:r>
          </w:p>
        </w:tc>
      </w:tr>
      <w:tr>
        <w:tblPrEx>
          <w:tblLayout w:type="fixed"/>
          <w:tblCellMar>
            <w:top w:w="15" w:type="dxa"/>
            <w:left w:w="15" w:type="dxa"/>
            <w:bottom w:w="15" w:type="dxa"/>
            <w:right w:w="15" w:type="dxa"/>
          </w:tblCellMar>
        </w:tblPrEx>
        <w:trPr>
          <w:trHeight w:val="863" w:hRule="atLeast"/>
        </w:trPr>
        <w:tc>
          <w:tcPr>
            <w:tcW w:w="3757" w:type="dxa"/>
            <w:gridSpan w:val="7"/>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部门</w:t>
            </w:r>
            <w:r>
              <w:rPr>
                <w:rFonts w:ascii="Times New Roman" w:hAnsi="Times New Roman" w:eastAsia="Times New Roman" w:cs="Times New Roman"/>
                <w:b w:val="0"/>
                <w:bCs w:val="0"/>
                <w:i w:val="0"/>
                <w:iCs w:val="0"/>
                <w:smallCaps w:val="0"/>
                <w:color w:val="000000"/>
                <w:kern w:val="0"/>
                <w:sz w:val="20"/>
                <w:szCs w:val="20"/>
              </w:rPr>
              <w:t>/</w:t>
            </w:r>
            <w:r>
              <w:rPr>
                <w:rFonts w:ascii="宋体" w:hAnsi="宋体" w:eastAsia="宋体" w:cs="宋体"/>
                <w:b w:val="0"/>
                <w:bCs w:val="0"/>
                <w:i w:val="0"/>
                <w:iCs w:val="0"/>
                <w:smallCaps w:val="0"/>
                <w:color w:val="000000"/>
                <w:kern w:val="0"/>
                <w:sz w:val="20"/>
                <w:szCs w:val="20"/>
              </w:rPr>
              <w:t>单位：福建省厦门双十中学湖里分校</w:t>
            </w:r>
          </w:p>
        </w:tc>
        <w:tc>
          <w:tcPr>
            <w:tcW w:w="2869" w:type="dxa"/>
            <w:gridSpan w:val="5"/>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p>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2024</w:t>
            </w:r>
            <w:r>
              <w:rPr>
                <w:rFonts w:ascii="宋体" w:hAnsi="宋体" w:eastAsia="宋体" w:cs="宋体"/>
                <w:b w:val="0"/>
                <w:bCs w:val="0"/>
                <w:i w:val="0"/>
                <w:iCs w:val="0"/>
                <w:smallCaps w:val="0"/>
                <w:color w:val="000000"/>
                <w:kern w:val="0"/>
                <w:sz w:val="20"/>
                <w:szCs w:val="20"/>
              </w:rPr>
              <w:t>年度</w:t>
            </w:r>
          </w:p>
          <w:p>
            <w:pPr>
              <w:widowControl/>
              <w:jc w:val="center"/>
              <w:rPr>
                <w:rFonts w:ascii="Times New Roman" w:hAnsi="Times New Roman" w:eastAsia="Times New Roman" w:cs="Times New Roman"/>
                <w:b w:val="0"/>
                <w:bCs w:val="0"/>
                <w:i w:val="0"/>
                <w:iCs w:val="0"/>
                <w:smallCaps w:val="0"/>
                <w:color w:val="000000"/>
                <w:kern w:val="0"/>
                <w:sz w:val="18"/>
                <w:szCs w:val="18"/>
              </w:rPr>
            </w:pPr>
          </w:p>
          <w:p>
            <w:pPr>
              <w:widowControl/>
              <w:jc w:val="center"/>
              <w:rPr>
                <w:rFonts w:ascii="Times New Roman" w:hAnsi="Times New Roman" w:eastAsia="Times New Roman" w:cs="Times New Roman"/>
                <w:b w:val="0"/>
                <w:bCs w:val="0"/>
                <w:i w:val="0"/>
                <w:iCs w:val="0"/>
                <w:smallCaps w:val="0"/>
                <w:color w:val="000000"/>
                <w:kern w:val="0"/>
                <w:sz w:val="18"/>
                <w:szCs w:val="18"/>
              </w:rPr>
            </w:pPr>
          </w:p>
          <w:p>
            <w:pPr>
              <w:widowControl/>
              <w:jc w:val="center"/>
              <w:rPr>
                <w:rFonts w:ascii="Times New Roman" w:hAnsi="Times New Roman" w:eastAsia="Times New Roman" w:cs="Times New Roman"/>
                <w:b w:val="0"/>
                <w:bCs w:val="0"/>
                <w:i w:val="0"/>
                <w:iCs w:val="0"/>
                <w:smallCaps w:val="0"/>
                <w:color w:val="000000"/>
                <w:kern w:val="0"/>
                <w:sz w:val="18"/>
                <w:szCs w:val="18"/>
              </w:rPr>
            </w:pPr>
          </w:p>
        </w:tc>
        <w:tc>
          <w:tcPr>
            <w:tcW w:w="2509"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bottom"/>
          </w:tcPr>
          <w:p>
            <w:pPr>
              <w:widowControl/>
              <w:jc w:val="center"/>
              <w:rPr>
                <w:rFonts w:ascii="Times New Roman" w:hAnsi="Times New Roman" w:eastAsia="Times New Roman" w:cs="Times New Roman"/>
                <w:b w:val="0"/>
                <w:bCs w:val="0"/>
                <w:i w:val="0"/>
                <w:iCs w:val="0"/>
                <w:smallCaps w:val="0"/>
                <w:color w:val="000000"/>
                <w:kern w:val="0"/>
                <w:sz w:val="18"/>
                <w:szCs w:val="18"/>
              </w:rPr>
            </w:pPr>
          </w:p>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金额单位：万元</w:t>
            </w:r>
          </w:p>
        </w:tc>
      </w:tr>
      <w:tr>
        <w:tblPrEx>
          <w:tblLayout w:type="fixed"/>
          <w:tblCellMar>
            <w:top w:w="15" w:type="dxa"/>
            <w:left w:w="15" w:type="dxa"/>
            <w:bottom w:w="15" w:type="dxa"/>
            <w:right w:w="15" w:type="dxa"/>
          </w:tblCellMar>
        </w:tblPrEx>
        <w:tc>
          <w:tcPr>
            <w:tcW w:w="3509" w:type="dxa"/>
            <w:gridSpan w:val="6"/>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预算数</w:t>
            </w:r>
          </w:p>
        </w:tc>
        <w:tc>
          <w:tcPr>
            <w:tcW w:w="5626" w:type="dxa"/>
            <w:gridSpan w:val="9"/>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决算数</w:t>
            </w:r>
          </w:p>
        </w:tc>
      </w:tr>
      <w:tr>
        <w:tblPrEx>
          <w:tblLayout w:type="fixed"/>
          <w:tblCellMar>
            <w:top w:w="15" w:type="dxa"/>
            <w:left w:w="15" w:type="dxa"/>
            <w:bottom w:w="15" w:type="dxa"/>
            <w:right w:w="15" w:type="dxa"/>
          </w:tblCellMar>
        </w:tblPrEx>
        <w:trPr>
          <w:tblHeader/>
        </w:trPr>
        <w:tc>
          <w:tcPr>
            <w:tcW w:w="26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合计</w:t>
            </w:r>
          </w:p>
        </w:tc>
        <w:tc>
          <w:tcPr>
            <w:tcW w:w="11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因公出国</w:t>
            </w:r>
            <w:r>
              <w:rPr>
                <w:rFonts w:ascii="Times New Roman" w:hAnsi="Times New Roman" w:eastAsia="Times New Roman" w:cs="Times New Roman"/>
                <w:b w:val="0"/>
                <w:bCs w:val="0"/>
                <w:i w:val="0"/>
                <w:iCs w:val="0"/>
                <w:smallCaps w:val="0"/>
                <w:color w:val="000000"/>
                <w:kern w:val="0"/>
                <w:sz w:val="22"/>
                <w:szCs w:val="22"/>
              </w:rPr>
              <w:t xml:space="preserve"> </w:t>
            </w:r>
            <w:r>
              <w:rPr>
                <w:rFonts w:ascii="宋体" w:hAnsi="宋体" w:eastAsia="宋体" w:cs="宋体"/>
                <w:b w:val="0"/>
                <w:bCs w:val="0"/>
                <w:i w:val="0"/>
                <w:iCs w:val="0"/>
                <w:smallCaps w:val="0"/>
                <w:color w:val="000000"/>
                <w:kern w:val="0"/>
                <w:sz w:val="22"/>
                <w:szCs w:val="22"/>
              </w:rPr>
              <w:t>（境）费</w:t>
            </w:r>
          </w:p>
        </w:tc>
        <w:tc>
          <w:tcPr>
            <w:tcW w:w="19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公务用车购置及运行维护费</w:t>
            </w:r>
          </w:p>
        </w:tc>
        <w:tc>
          <w:tcPr>
            <w:tcW w:w="604"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公务接待费</w:t>
            </w:r>
          </w:p>
        </w:tc>
        <w:tc>
          <w:tcPr>
            <w:tcW w:w="72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合计</w:t>
            </w:r>
          </w:p>
        </w:tc>
        <w:tc>
          <w:tcPr>
            <w:tcW w:w="11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因公出国</w:t>
            </w:r>
            <w:r>
              <w:rPr>
                <w:rFonts w:ascii="Times New Roman" w:hAnsi="Times New Roman" w:eastAsia="Times New Roman" w:cs="Times New Roman"/>
                <w:b w:val="0"/>
                <w:bCs w:val="0"/>
                <w:i w:val="0"/>
                <w:iCs w:val="0"/>
                <w:smallCaps w:val="0"/>
                <w:color w:val="000000"/>
                <w:kern w:val="0"/>
                <w:sz w:val="22"/>
                <w:szCs w:val="22"/>
              </w:rPr>
              <w:t xml:space="preserve"> </w:t>
            </w:r>
            <w:r>
              <w:rPr>
                <w:rFonts w:ascii="宋体" w:hAnsi="宋体" w:eastAsia="宋体" w:cs="宋体"/>
                <w:b w:val="0"/>
                <w:bCs w:val="0"/>
                <w:i w:val="0"/>
                <w:iCs w:val="0"/>
                <w:smallCaps w:val="0"/>
                <w:color w:val="000000"/>
                <w:kern w:val="0"/>
                <w:sz w:val="22"/>
                <w:szCs w:val="22"/>
              </w:rPr>
              <w:t>（境）费</w:t>
            </w:r>
          </w:p>
        </w:tc>
        <w:tc>
          <w:tcPr>
            <w:tcW w:w="2041"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公务用车购置及运行维护费</w:t>
            </w:r>
          </w:p>
        </w:tc>
        <w:tc>
          <w:tcPr>
            <w:tcW w:w="126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公务接待费</w:t>
            </w:r>
          </w:p>
        </w:tc>
      </w:tr>
      <w:tr>
        <w:tblPrEx>
          <w:tblLayout w:type="fixed"/>
          <w:tblCellMar>
            <w:top w:w="15" w:type="dxa"/>
            <w:left w:w="15" w:type="dxa"/>
            <w:bottom w:w="15" w:type="dxa"/>
            <w:right w:w="15" w:type="dxa"/>
          </w:tblCellMar>
        </w:tblPrEx>
        <w:trPr>
          <w:tblHeader/>
        </w:trPr>
        <w:tc>
          <w:tcPr>
            <w:tcW w:w="2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32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小计</w:t>
            </w:r>
            <w:r>
              <w:rPr>
                <w:rFonts w:ascii="Times New Roman" w:hAnsi="Times New Roman" w:eastAsia="Times New Roman" w:cs="Times New Roman"/>
                <w:b w:val="0"/>
                <w:bCs w:val="0"/>
                <w:i w:val="0"/>
                <w:iCs w:val="0"/>
                <w:smallCaps w:val="0"/>
                <w:color w:val="000000"/>
                <w:kern w:val="0"/>
                <w:sz w:val="22"/>
                <w:szCs w:val="22"/>
              </w:rPr>
              <w:t xml:space="preserve"> </w:t>
            </w:r>
          </w:p>
        </w:tc>
        <w:tc>
          <w:tcPr>
            <w:tcW w:w="73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公务用车购置费</w:t>
            </w:r>
          </w:p>
        </w:tc>
        <w:tc>
          <w:tcPr>
            <w:tcW w:w="91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公务用车运行维护费</w:t>
            </w:r>
          </w:p>
        </w:tc>
        <w:tc>
          <w:tcPr>
            <w:tcW w:w="604"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72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49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小计</w:t>
            </w:r>
            <w:r>
              <w:rPr>
                <w:rFonts w:ascii="Times New Roman" w:hAnsi="Times New Roman" w:eastAsia="Times New Roman" w:cs="Times New Roman"/>
                <w:b w:val="0"/>
                <w:bCs w:val="0"/>
                <w:i w:val="0"/>
                <w:iCs w:val="0"/>
                <w:smallCaps w:val="0"/>
                <w:color w:val="000000"/>
                <w:kern w:val="0"/>
                <w:sz w:val="22"/>
                <w:szCs w:val="22"/>
              </w:rPr>
              <w:t xml:space="preserve"> </w:t>
            </w:r>
          </w:p>
        </w:tc>
        <w:tc>
          <w:tcPr>
            <w:tcW w:w="762"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公务用车购置费</w:t>
            </w:r>
          </w:p>
        </w:tc>
        <w:tc>
          <w:tcPr>
            <w:tcW w:w="78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公务用车运行维护费</w:t>
            </w:r>
          </w:p>
        </w:tc>
        <w:tc>
          <w:tcPr>
            <w:tcW w:w="126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r>
      <w:tr>
        <w:tblPrEx>
          <w:tblLayout w:type="fixed"/>
          <w:tblCellMar>
            <w:top w:w="15" w:type="dxa"/>
            <w:left w:w="15" w:type="dxa"/>
            <w:bottom w:w="15" w:type="dxa"/>
            <w:right w:w="15" w:type="dxa"/>
          </w:tblCellMar>
        </w:tblPrEx>
        <w:trPr>
          <w:tblHeader/>
        </w:trPr>
        <w:tc>
          <w:tcPr>
            <w:tcW w:w="2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3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73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9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604"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72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1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49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762"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78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26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r>
      <w:tr>
        <w:tblPrEx>
          <w:tblLayout w:type="fixed"/>
          <w:tblCellMar>
            <w:top w:w="15" w:type="dxa"/>
            <w:left w:w="15" w:type="dxa"/>
            <w:bottom w:w="15" w:type="dxa"/>
            <w:right w:w="15" w:type="dxa"/>
          </w:tblCellMar>
        </w:tblPrEx>
        <w:tc>
          <w:tcPr>
            <w:tcW w:w="2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w:t>
            </w:r>
          </w:p>
        </w:tc>
        <w:tc>
          <w:tcPr>
            <w:tcW w:w="3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w:t>
            </w:r>
          </w:p>
        </w:tc>
        <w:tc>
          <w:tcPr>
            <w:tcW w:w="7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w:t>
            </w:r>
          </w:p>
        </w:tc>
        <w:tc>
          <w:tcPr>
            <w:tcW w:w="60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6</w:t>
            </w:r>
          </w:p>
        </w:tc>
        <w:tc>
          <w:tcPr>
            <w:tcW w:w="7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7</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8</w:t>
            </w:r>
          </w:p>
        </w:tc>
        <w:tc>
          <w:tcPr>
            <w:tcW w:w="4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9</w:t>
            </w:r>
          </w:p>
        </w:tc>
        <w:tc>
          <w:tcPr>
            <w:tcW w:w="76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10</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11</w:t>
            </w:r>
          </w:p>
        </w:tc>
        <w:tc>
          <w:tcPr>
            <w:tcW w:w="12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12</w:t>
            </w:r>
          </w:p>
        </w:tc>
      </w:tr>
      <w:tr>
        <w:tblPrEx>
          <w:tblLayout w:type="fixed"/>
          <w:tblCellMar>
            <w:top w:w="15" w:type="dxa"/>
            <w:left w:w="15" w:type="dxa"/>
            <w:bottom w:w="15" w:type="dxa"/>
            <w:right w:w="15" w:type="dxa"/>
          </w:tblCellMar>
        </w:tblPrEx>
        <w:tc>
          <w:tcPr>
            <w:tcW w:w="2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bookmarkStart w:id="125" w:name="_GoBack" w:colFirst="2" w:colLast="11"/>
            <w:r>
              <w:rPr>
                <w:rFonts w:hint="eastAsia" w:cs="Times New Roman"/>
                <w:b w:val="0"/>
                <w:bCs w:val="0"/>
                <w:i w:val="0"/>
                <w:iCs w:val="0"/>
                <w:smallCaps w:val="0"/>
                <w:color w:val="000000"/>
                <w:kern w:val="0"/>
                <w:sz w:val="22"/>
                <w:szCs w:val="22"/>
                <w:lang w:val="en-US" w:eastAsia="zh-CN"/>
              </w:rPr>
              <w:t>0</w:t>
            </w:r>
            <w:r>
              <w:rPr>
                <w:rFonts w:ascii="Times New Roman" w:hAnsi="Times New Roman" w:eastAsia="Times New Roman" w:cs="Times New Roman"/>
                <w:b w:val="0"/>
                <w:bCs w:val="0"/>
                <w:i w:val="0"/>
                <w:iCs w:val="0"/>
                <w:smallCaps w:val="0"/>
                <w:color w:val="000000"/>
                <w:kern w:val="0"/>
                <w:sz w:val="22"/>
                <w:szCs w:val="22"/>
              </w:rPr>
              <w:t> </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r>
              <w:rPr>
                <w:rFonts w:ascii="Times New Roman" w:hAnsi="Times New Roman" w:eastAsia="Times New Roman" w:cs="Times New Roman"/>
                <w:b w:val="0"/>
                <w:bCs w:val="0"/>
                <w:i w:val="0"/>
                <w:iCs w:val="0"/>
                <w:smallCaps w:val="0"/>
                <w:color w:val="000000"/>
                <w:kern w:val="0"/>
                <w:sz w:val="22"/>
                <w:szCs w:val="22"/>
              </w:rPr>
              <w:t> </w:t>
            </w:r>
          </w:p>
        </w:tc>
        <w:tc>
          <w:tcPr>
            <w:tcW w:w="3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c>
          <w:tcPr>
            <w:tcW w:w="73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c>
          <w:tcPr>
            <w:tcW w:w="60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c>
          <w:tcPr>
            <w:tcW w:w="7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c>
          <w:tcPr>
            <w:tcW w:w="11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c>
          <w:tcPr>
            <w:tcW w:w="4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c>
          <w:tcPr>
            <w:tcW w:w="76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c>
          <w:tcPr>
            <w:tcW w:w="7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c>
          <w:tcPr>
            <w:tcW w:w="12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hint="eastAsia" w:cs="Times New Roman"/>
                <w:b w:val="0"/>
                <w:bCs w:val="0"/>
                <w:i w:val="0"/>
                <w:iCs w:val="0"/>
                <w:smallCaps w:val="0"/>
                <w:color w:val="000000"/>
                <w:kern w:val="0"/>
                <w:sz w:val="22"/>
                <w:szCs w:val="22"/>
                <w:lang w:val="en-US" w:eastAsia="zh-CN"/>
              </w:rPr>
              <w:t>0</w:t>
            </w:r>
          </w:p>
        </w:tc>
      </w:tr>
      <w:bookmarkEnd w:id="125"/>
      <w:tr>
        <w:tblPrEx>
          <w:tblLayout w:type="fixed"/>
          <w:tblCellMar>
            <w:top w:w="15" w:type="dxa"/>
            <w:left w:w="15" w:type="dxa"/>
            <w:bottom w:w="15" w:type="dxa"/>
            <w:right w:w="15" w:type="dxa"/>
          </w:tblCellMar>
        </w:tblPrEx>
        <w:tc>
          <w:tcPr>
            <w:tcW w:w="9135" w:type="dxa"/>
            <w:gridSpan w:val="1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注：本表反映部门本年度财政拨款</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三公</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经费支出预决算情况。其中，预算数为</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三公</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经费全年预算数，反映按规定程序调整后的预算数；决算数是包括当年财政拨款和以前年度结转资金安排的实际支出。</w:t>
            </w:r>
          </w:p>
        </w:tc>
      </w:tr>
    </w:tbl>
    <w:p>
      <w:pPr>
        <w:pStyle w:val="5"/>
        <w:keepNext w:val="0"/>
        <w:keepLines w:val="0"/>
        <w:spacing w:before="100" w:after="100" w:line="240" w:lineRule="auto"/>
        <w:ind w:left="720" w:right="0" w:hanging="720" w:firstLineChars="0"/>
        <w:rPr>
          <w:rFonts w:hint="default" w:ascii="仿宋_GB2312" w:hAnsi="仿宋_GB2312" w:eastAsia="仿宋_GB2312"/>
          <w:sz w:val="32"/>
          <w:szCs w:val="24"/>
          <w:highlight w:val="none"/>
          <w:lang w:val="en-US" w:eastAsia="zh-CN"/>
        </w:rPr>
      </w:pPr>
      <w:r>
        <w:rPr>
          <w:rFonts w:ascii="黑体" w:hAnsi="黑体" w:eastAsia="黑体" w:cs="黑体"/>
          <w:b/>
          <w:spacing w:val="0"/>
        </w:rPr>
        <w:t>七、一般公共预算财政拨款“三公”经费支出决算表</w:t>
      </w:r>
      <w:bookmarkEnd w:id="53"/>
      <w:bookmarkEnd w:id="54"/>
      <w:bookmarkEnd w:id="55"/>
      <w:bookmarkEnd w:id="56"/>
    </w:p>
    <w:p>
      <w:pPr>
        <w:wordWrap w:val="0"/>
        <w:topLinePunct/>
        <w:autoSpaceDE/>
        <w:autoSpaceDN/>
        <w:spacing w:line="560" w:lineRule="exact"/>
        <w:ind w:firstLine="640" w:firstLineChars="200"/>
        <w:rPr>
          <w:rFonts w:ascii="黑体" w:hAnsi="黑体" w:eastAsia="黑体" w:cs="黑体"/>
          <w:b/>
          <w:spacing w:val="0"/>
        </w:rPr>
      </w:pPr>
      <w:r>
        <w:rPr>
          <w:rFonts w:hint="default" w:ascii="仿宋_GB2312" w:hAnsi="仿宋_GB2312" w:eastAsia="仿宋_GB2312"/>
          <w:sz w:val="32"/>
          <w:szCs w:val="24"/>
          <w:highlight w:val="none"/>
          <w:lang w:val="en-US" w:eastAsia="zh-CN"/>
        </w:rPr>
        <w:t>本单位 2024 年度没有使用一般公共预算财政拨款安排的“三公”经费支出。</w:t>
      </w:r>
      <w:bookmarkStart w:id="57" w:name="_Toc256000045"/>
      <w:bookmarkStart w:id="58" w:name="_Toc256000014"/>
      <w:bookmarkStart w:id="59" w:name="_Toc256000107"/>
      <w:bookmarkStart w:id="60" w:name="_Toc256000076"/>
    </w:p>
    <w:tbl>
      <w:tblPr>
        <w:tblStyle w:val="22"/>
        <w:tblpPr w:leftFromText="180" w:rightFromText="180" w:vertAnchor="text" w:horzAnchor="page" w:tblpX="1461" w:tblpY="1260"/>
        <w:tblOverlap w:val="never"/>
        <w:tblW w:w="8908" w:type="dxa"/>
        <w:tblInd w:w="0" w:type="dxa"/>
        <w:tblLayout w:type="fixed"/>
        <w:tblCellMar>
          <w:top w:w="15" w:type="dxa"/>
          <w:left w:w="15" w:type="dxa"/>
          <w:bottom w:w="15" w:type="dxa"/>
          <w:right w:w="15" w:type="dxa"/>
        </w:tblCellMar>
      </w:tblPr>
      <w:tblGrid>
        <w:gridCol w:w="1368"/>
        <w:gridCol w:w="895"/>
        <w:gridCol w:w="1530"/>
        <w:gridCol w:w="895"/>
        <w:gridCol w:w="544"/>
        <w:gridCol w:w="1036"/>
        <w:gridCol w:w="1035"/>
        <w:gridCol w:w="1605"/>
      </w:tblGrid>
      <w:tr>
        <w:tblPrEx>
          <w:tblLayout w:type="fixed"/>
          <w:tblCellMar>
            <w:top w:w="15" w:type="dxa"/>
            <w:left w:w="15" w:type="dxa"/>
            <w:bottom w:w="15" w:type="dxa"/>
            <w:right w:w="15" w:type="dxa"/>
          </w:tblCellMar>
        </w:tblPrEx>
        <w:trPr>
          <w:tblHeader/>
        </w:trPr>
        <w:tc>
          <w:tcPr>
            <w:tcW w:w="8908" w:type="dxa"/>
            <w:gridSpan w:val="8"/>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政府性基金预算财政拨款收入支出决算表</w:t>
            </w:r>
          </w:p>
        </w:tc>
      </w:tr>
      <w:tr>
        <w:tblPrEx>
          <w:tblLayout w:type="fixed"/>
          <w:tblCellMar>
            <w:top w:w="15" w:type="dxa"/>
            <w:left w:w="15" w:type="dxa"/>
            <w:bottom w:w="15" w:type="dxa"/>
            <w:right w:w="15" w:type="dxa"/>
          </w:tblCellMar>
        </w:tblPrEx>
        <w:tc>
          <w:tcPr>
            <w:tcW w:w="4688" w:type="dxa"/>
            <w:gridSpan w:val="4"/>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单位：福建省厦门双十中学湖里分校</w:t>
            </w:r>
          </w:p>
        </w:tc>
        <w:tc>
          <w:tcPr>
            <w:tcW w:w="2615" w:type="dxa"/>
            <w:gridSpan w:val="3"/>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60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trPr>
        <w:tc>
          <w:tcPr>
            <w:tcW w:w="2263" w:type="dxa"/>
            <w:gridSpan w:val="2"/>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项目</w:t>
            </w:r>
          </w:p>
        </w:tc>
        <w:tc>
          <w:tcPr>
            <w:tcW w:w="1530"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年初结转和结余</w:t>
            </w:r>
            <w:r>
              <w:rPr>
                <w:rFonts w:ascii="Times New Roman" w:hAnsi="Times New Roman" w:eastAsia="Times New Roman" w:cs="Times New Roman"/>
                <w:b w:val="0"/>
                <w:bCs w:val="0"/>
                <w:i w:val="0"/>
                <w:iCs w:val="0"/>
                <w:smallCaps w:val="0"/>
                <w:color w:val="000000"/>
                <w:kern w:val="0"/>
                <w:sz w:val="20"/>
                <w:szCs w:val="20"/>
              </w:rPr>
              <w:t xml:space="preserve"> </w:t>
            </w:r>
          </w:p>
        </w:tc>
        <w:tc>
          <w:tcPr>
            <w:tcW w:w="895"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本年收入</w:t>
            </w:r>
          </w:p>
        </w:tc>
        <w:tc>
          <w:tcPr>
            <w:tcW w:w="2615" w:type="dxa"/>
            <w:gridSpan w:val="3"/>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本年支出</w:t>
            </w:r>
          </w:p>
        </w:tc>
        <w:tc>
          <w:tcPr>
            <w:tcW w:w="1605" w:type="dxa"/>
            <w:vMerge w:val="restart"/>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年末结转和结余</w:t>
            </w:r>
          </w:p>
        </w:tc>
      </w:tr>
      <w:tr>
        <w:tblPrEx>
          <w:tblLayout w:type="fixed"/>
          <w:tblCellMar>
            <w:top w:w="15" w:type="dxa"/>
            <w:left w:w="15" w:type="dxa"/>
            <w:bottom w:w="15" w:type="dxa"/>
            <w:right w:w="15" w:type="dxa"/>
          </w:tblCellMar>
        </w:tblPrEx>
        <w:trPr>
          <w:tblHeader/>
        </w:trPr>
        <w:tc>
          <w:tcPr>
            <w:tcW w:w="136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支出功能分类科目编码</w:t>
            </w:r>
          </w:p>
        </w:tc>
        <w:tc>
          <w:tcPr>
            <w:tcW w:w="8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科目名称</w:t>
            </w:r>
          </w:p>
        </w:tc>
        <w:tc>
          <w:tcPr>
            <w:tcW w:w="153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8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54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小计</w:t>
            </w:r>
          </w:p>
        </w:tc>
        <w:tc>
          <w:tcPr>
            <w:tcW w:w="103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基本支出</w:t>
            </w:r>
            <w:r>
              <w:rPr>
                <w:rFonts w:ascii="Times New Roman" w:hAnsi="Times New Roman" w:eastAsia="Times New Roman" w:cs="Times New Roman"/>
                <w:b w:val="0"/>
                <w:bCs w:val="0"/>
                <w:i w:val="0"/>
                <w:iCs w:val="0"/>
                <w:smallCaps w:val="0"/>
                <w:color w:val="000000"/>
                <w:kern w:val="0"/>
                <w:sz w:val="20"/>
                <w:szCs w:val="20"/>
              </w:rPr>
              <w:t xml:space="preserve"> </w:t>
            </w:r>
          </w:p>
        </w:tc>
        <w:tc>
          <w:tcPr>
            <w:tcW w:w="10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项目支出</w:t>
            </w:r>
          </w:p>
        </w:tc>
        <w:tc>
          <w:tcPr>
            <w:tcW w:w="16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r>
      <w:tr>
        <w:tblPrEx>
          <w:tblLayout w:type="fixed"/>
          <w:tblCellMar>
            <w:top w:w="15" w:type="dxa"/>
            <w:left w:w="15" w:type="dxa"/>
            <w:bottom w:w="15" w:type="dxa"/>
            <w:right w:w="15" w:type="dxa"/>
          </w:tblCellMar>
        </w:tblPrEx>
        <w:trPr>
          <w:tblHeader/>
        </w:trPr>
        <w:tc>
          <w:tcPr>
            <w:tcW w:w="13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8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53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8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54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03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0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60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r>
      <w:tr>
        <w:tblPrEx>
          <w:tblLayout w:type="fixed"/>
          <w:tblCellMar>
            <w:top w:w="15" w:type="dxa"/>
            <w:left w:w="15" w:type="dxa"/>
            <w:bottom w:w="15" w:type="dxa"/>
            <w:right w:w="15" w:type="dxa"/>
          </w:tblCellMar>
        </w:tblPrEx>
        <w:tc>
          <w:tcPr>
            <w:tcW w:w="226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栏次</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w:t>
            </w:r>
          </w:p>
        </w:tc>
        <w:tc>
          <w:tcPr>
            <w:tcW w:w="5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w:t>
            </w:r>
          </w:p>
        </w:tc>
        <w:tc>
          <w:tcPr>
            <w:tcW w:w="10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w:t>
            </w:r>
          </w:p>
        </w:tc>
        <w:tc>
          <w:tcPr>
            <w:tcW w:w="16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6</w:t>
            </w:r>
          </w:p>
        </w:tc>
      </w:tr>
      <w:tr>
        <w:tblPrEx>
          <w:tblLayout w:type="fixed"/>
          <w:tblCellMar>
            <w:top w:w="15" w:type="dxa"/>
            <w:left w:w="15" w:type="dxa"/>
            <w:bottom w:w="15" w:type="dxa"/>
            <w:right w:w="15" w:type="dxa"/>
          </w:tblCellMar>
        </w:tblPrEx>
        <w:tc>
          <w:tcPr>
            <w:tcW w:w="226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合计</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5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6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13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5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6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c>
          <w:tcPr>
            <w:tcW w:w="8908"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注：本表反映部门本年度政府性基金预算财政拨款收入、支出及结转和结余情况。</w:t>
            </w:r>
          </w:p>
        </w:tc>
      </w:tr>
    </w:tbl>
    <w:p>
      <w:pPr>
        <w:pStyle w:val="5"/>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黑体" w:hAnsi="黑体" w:eastAsia="黑体" w:cs="黑体"/>
          <w:b/>
          <w:spacing w:val="0"/>
        </w:rPr>
        <w:t>八、政府性基金预算财政拨款收入支出决算表</w:t>
      </w:r>
      <w:bookmarkEnd w:id="57"/>
      <w:bookmarkEnd w:id="58"/>
      <w:bookmarkEnd w:id="59"/>
      <w:bookmarkEnd w:id="60"/>
    </w:p>
    <w:p>
      <w:pPr>
        <w:wordWrap w:val="0"/>
        <w:topLinePunct/>
        <w:autoSpaceDE/>
        <w:autoSpaceDN/>
        <w:spacing w:line="560" w:lineRule="exact"/>
        <w:rPr>
          <w:rFonts w:hint="eastAsia"/>
          <w:highlight w:val="none"/>
          <w:lang w:val="en-US" w:eastAsia="zh-CN"/>
        </w:rPr>
      </w:pPr>
    </w:p>
    <w:p>
      <w:pPr>
        <w:wordWrap w:val="0"/>
        <w:topLinePunct/>
        <w:autoSpaceDE/>
        <w:autoSpaceDN/>
        <w:spacing w:line="560" w:lineRule="exact"/>
        <w:rPr>
          <w:rFonts w:hint="default" w:ascii="仿宋_GB2312" w:hAnsi="仿宋_GB2312" w:eastAsia="仿宋_GB2312"/>
          <w:sz w:val="32"/>
          <w:szCs w:val="24"/>
          <w:highlight w:val="none"/>
          <w:lang w:val="en-US" w:eastAsia="zh-CN"/>
        </w:rPr>
      </w:pPr>
      <w:r>
        <w:rPr>
          <w:rFonts w:hint="default" w:ascii="仿宋_GB2312" w:hAnsi="仿宋_GB2312" w:eastAsia="仿宋_GB2312"/>
          <w:sz w:val="32"/>
          <w:szCs w:val="24"/>
          <w:highlight w:val="none"/>
          <w:lang w:val="en-US" w:eastAsia="zh-CN"/>
        </w:rPr>
        <w:t>本单位 202</w:t>
      </w:r>
      <w:r>
        <w:rPr>
          <w:rFonts w:hint="eastAsia" w:ascii="仿宋_GB2312" w:hAnsi="仿宋_GB2312" w:eastAsia="仿宋_GB2312"/>
          <w:sz w:val="32"/>
          <w:szCs w:val="24"/>
          <w:highlight w:val="none"/>
          <w:lang w:val="en-US" w:eastAsia="zh-CN"/>
        </w:rPr>
        <w:t>4 年度没</w:t>
      </w:r>
      <w:r>
        <w:rPr>
          <w:rFonts w:hint="default" w:ascii="仿宋_GB2312" w:hAnsi="仿宋_GB2312" w:eastAsia="仿宋_GB2312"/>
          <w:sz w:val="32"/>
          <w:szCs w:val="24"/>
          <w:highlight w:val="none"/>
          <w:lang w:val="en-US" w:eastAsia="zh-CN"/>
        </w:rPr>
        <w:t>有使用政府性基金预算财政拨款</w:t>
      </w:r>
      <w:r>
        <w:rPr>
          <w:rFonts w:hint="eastAsia" w:ascii="仿宋_GB2312" w:hAnsi="仿宋_GB2312" w:eastAsia="仿宋_GB2312"/>
          <w:sz w:val="32"/>
          <w:szCs w:val="24"/>
          <w:highlight w:val="none"/>
          <w:lang w:val="en-US" w:eastAsia="zh-CN"/>
        </w:rPr>
        <w:t>安排的支出。</w:t>
      </w:r>
    </w:p>
    <w:p>
      <w:pPr>
        <w:wordWrap w:val="0"/>
        <w:topLinePunct/>
        <w:autoSpaceDE/>
        <w:autoSpaceDN/>
        <w:spacing w:line="560" w:lineRule="exact"/>
        <w:ind w:firstLine="640" w:firstLineChars="200"/>
        <w:rPr>
          <w:rFonts w:hint="default" w:ascii="仿宋_GB2312" w:hAnsi="仿宋_GB2312" w:eastAsia="仿宋_GB2312"/>
          <w:sz w:val="32"/>
          <w:szCs w:val="24"/>
          <w:highlight w:val="yellow"/>
          <w:lang w:val="en-US" w:eastAsia="zh-CN"/>
        </w:rPr>
        <w:sectPr>
          <w:footerReference r:id="rId8"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r>
        <w:rPr>
          <w:rFonts w:ascii="Times New Roman" w:hAnsi="Times New Roman" w:eastAsia="Times New Roman" w:cs="Times New Roman"/>
          <w:spacing w:val="0"/>
          <w:kern w:val="0"/>
          <w:sz w:val="27"/>
          <w:szCs w:val="27"/>
        </w:rPr>
        <w:t> </w:t>
      </w:r>
    </w:p>
    <w:tbl>
      <w:tblPr>
        <w:tblStyle w:val="22"/>
        <w:tblpPr w:leftFromText="180" w:rightFromText="180" w:vertAnchor="text" w:horzAnchor="page" w:tblpX="1443" w:tblpY="930"/>
        <w:tblOverlap w:val="never"/>
        <w:tblW w:w="8818" w:type="dxa"/>
        <w:tblInd w:w="0" w:type="dxa"/>
        <w:tblLayout w:type="fixed"/>
        <w:tblCellMar>
          <w:top w:w="15" w:type="dxa"/>
          <w:left w:w="15" w:type="dxa"/>
          <w:bottom w:w="15" w:type="dxa"/>
          <w:right w:w="15" w:type="dxa"/>
        </w:tblCellMar>
      </w:tblPr>
      <w:tblGrid>
        <w:gridCol w:w="1564"/>
        <w:gridCol w:w="1811"/>
        <w:gridCol w:w="1808"/>
        <w:gridCol w:w="1808"/>
        <w:gridCol w:w="1827"/>
      </w:tblGrid>
      <w:tr>
        <w:tblPrEx>
          <w:tblLayout w:type="fixed"/>
          <w:tblCellMar>
            <w:top w:w="15" w:type="dxa"/>
            <w:left w:w="15" w:type="dxa"/>
            <w:bottom w:w="15" w:type="dxa"/>
            <w:right w:w="15" w:type="dxa"/>
          </w:tblCellMar>
        </w:tblPrEx>
        <w:trPr>
          <w:tblHeader/>
        </w:trPr>
        <w:tc>
          <w:tcPr>
            <w:tcW w:w="8818" w:type="dxa"/>
            <w:gridSpan w:val="5"/>
            <w:tcBorders>
              <w:bottom w:val="single" w:color="auto" w:sz="4" w:space="0"/>
            </w:tcBorders>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bookmarkStart w:id="61" w:name="_Toc256000077"/>
            <w:bookmarkStart w:id="62" w:name="_Toc256000108"/>
            <w:bookmarkStart w:id="63" w:name="_Toc256000015"/>
            <w:bookmarkStart w:id="64" w:name="_Toc256000046"/>
            <w:r>
              <w:rPr>
                <w:rFonts w:ascii="宋体" w:hAnsi="宋体" w:eastAsia="宋体" w:cs="宋体"/>
                <w:b w:val="0"/>
                <w:bCs w:val="0"/>
                <w:i w:val="0"/>
                <w:iCs w:val="0"/>
                <w:smallCaps w:val="0"/>
                <w:color w:val="000000"/>
                <w:kern w:val="0"/>
                <w:sz w:val="21"/>
                <w:szCs w:val="21"/>
              </w:rPr>
              <w:t>国有资本经营预算财政拨款支出决算表</w:t>
            </w:r>
          </w:p>
        </w:tc>
      </w:tr>
      <w:tr>
        <w:tblPrEx>
          <w:tblLayout w:type="fixed"/>
          <w:tblCellMar>
            <w:top w:w="15" w:type="dxa"/>
            <w:left w:w="15" w:type="dxa"/>
            <w:bottom w:w="15" w:type="dxa"/>
            <w:right w:w="15" w:type="dxa"/>
          </w:tblCellMar>
        </w:tblPrEx>
        <w:tc>
          <w:tcPr>
            <w:tcW w:w="3375" w:type="dxa"/>
            <w:gridSpan w:val="2"/>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单位：福建省厦门双十中学湖里分校</w:t>
            </w:r>
          </w:p>
        </w:tc>
        <w:tc>
          <w:tcPr>
            <w:tcW w:w="3616" w:type="dxa"/>
            <w:gridSpan w:val="2"/>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827"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c>
          <w:tcPr>
            <w:tcW w:w="3375" w:type="dxa"/>
            <w:gridSpan w:val="2"/>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项目</w:t>
            </w:r>
          </w:p>
        </w:tc>
        <w:tc>
          <w:tcPr>
            <w:tcW w:w="5443" w:type="dxa"/>
            <w:gridSpan w:val="3"/>
            <w:tcBorders>
              <w:top w:val="single" w:color="auto" w:sz="4"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本年支出</w:t>
            </w:r>
          </w:p>
        </w:tc>
      </w:tr>
      <w:tr>
        <w:tblPrEx>
          <w:tblLayout w:type="fixed"/>
          <w:tblCellMar>
            <w:top w:w="15" w:type="dxa"/>
            <w:left w:w="15" w:type="dxa"/>
            <w:bottom w:w="15" w:type="dxa"/>
            <w:right w:w="15" w:type="dxa"/>
          </w:tblCellMar>
        </w:tblPrEx>
        <w:trPr>
          <w:tblHeader/>
        </w:trPr>
        <w:tc>
          <w:tcPr>
            <w:tcW w:w="156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科目代码</w:t>
            </w:r>
          </w:p>
        </w:tc>
        <w:tc>
          <w:tcPr>
            <w:tcW w:w="181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科目名称</w:t>
            </w:r>
          </w:p>
        </w:tc>
        <w:tc>
          <w:tcPr>
            <w:tcW w:w="18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合计</w:t>
            </w:r>
          </w:p>
        </w:tc>
        <w:tc>
          <w:tcPr>
            <w:tcW w:w="18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基本支出</w:t>
            </w:r>
          </w:p>
        </w:tc>
        <w:tc>
          <w:tcPr>
            <w:tcW w:w="182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项目支出</w:t>
            </w:r>
          </w:p>
        </w:tc>
      </w:tr>
      <w:tr>
        <w:tblPrEx>
          <w:tblLayout w:type="fixed"/>
          <w:tblCellMar>
            <w:top w:w="15" w:type="dxa"/>
            <w:left w:w="15" w:type="dxa"/>
            <w:bottom w:w="15" w:type="dxa"/>
            <w:right w:w="15" w:type="dxa"/>
          </w:tblCellMar>
        </w:tblPrEx>
        <w:trPr>
          <w:tblHeader/>
        </w:trPr>
        <w:tc>
          <w:tcPr>
            <w:tcW w:w="15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81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8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8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8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r>
      <w:tr>
        <w:tblPrEx>
          <w:tblLayout w:type="fixed"/>
          <w:tblCellMar>
            <w:top w:w="15" w:type="dxa"/>
            <w:left w:w="15" w:type="dxa"/>
            <w:bottom w:w="15" w:type="dxa"/>
            <w:right w:w="15" w:type="dxa"/>
          </w:tblCellMar>
        </w:tblPrEx>
        <w:trPr>
          <w:tblHeader/>
        </w:trPr>
        <w:tc>
          <w:tcPr>
            <w:tcW w:w="15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81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8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8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c>
          <w:tcPr>
            <w:tcW w:w="18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2"/>
                <w:szCs w:val="22"/>
              </w:rPr>
            </w:pPr>
          </w:p>
        </w:tc>
      </w:tr>
      <w:tr>
        <w:tblPrEx>
          <w:tblLayout w:type="fixed"/>
          <w:tblCellMar>
            <w:top w:w="15" w:type="dxa"/>
            <w:left w:w="15" w:type="dxa"/>
            <w:bottom w:w="15" w:type="dxa"/>
            <w:right w:w="15" w:type="dxa"/>
          </w:tblCellMar>
        </w:tblPrEx>
        <w:tc>
          <w:tcPr>
            <w:tcW w:w="33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栏次</w:t>
            </w:r>
          </w:p>
        </w:tc>
        <w:tc>
          <w:tcPr>
            <w:tcW w:w="18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w:t>
            </w:r>
          </w:p>
        </w:tc>
        <w:tc>
          <w:tcPr>
            <w:tcW w:w="18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w:t>
            </w:r>
          </w:p>
        </w:tc>
        <w:tc>
          <w:tcPr>
            <w:tcW w:w="18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w:t>
            </w:r>
          </w:p>
        </w:tc>
      </w:tr>
      <w:tr>
        <w:tblPrEx>
          <w:tblLayout w:type="fixed"/>
          <w:tblCellMar>
            <w:top w:w="15" w:type="dxa"/>
            <w:left w:w="15" w:type="dxa"/>
            <w:bottom w:w="15" w:type="dxa"/>
            <w:right w:w="15" w:type="dxa"/>
          </w:tblCellMar>
        </w:tblPrEx>
        <w:tc>
          <w:tcPr>
            <w:tcW w:w="337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合计</w:t>
            </w:r>
          </w:p>
        </w:tc>
        <w:tc>
          <w:tcPr>
            <w:tcW w:w="18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8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8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15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8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8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8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c>
          <w:tcPr>
            <w:tcW w:w="18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8818"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注：本表反映部门本年度国有资本经营预算财政拨款支出情况。</w:t>
            </w:r>
          </w:p>
        </w:tc>
      </w:tr>
    </w:tbl>
    <w:p>
      <w:pPr>
        <w:pStyle w:val="5"/>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黑体" w:hAnsi="黑体" w:eastAsia="黑体" w:cs="黑体"/>
          <w:b/>
          <w:spacing w:val="0"/>
        </w:rPr>
        <w:t>九、国有资本经营预算财政拨款支出决算表</w:t>
      </w:r>
      <w:bookmarkEnd w:id="61"/>
      <w:bookmarkEnd w:id="62"/>
      <w:bookmarkEnd w:id="63"/>
      <w:bookmarkEnd w:id="64"/>
    </w:p>
    <w:p>
      <w:pPr>
        <w:widowControl/>
        <w:jc w:val="left"/>
        <w:rPr>
          <w:rFonts w:ascii="Times New Roman" w:hAnsi="Times New Roman" w:eastAsia="Times New Roman" w:cs="Times New Roman"/>
          <w:kern w:val="0"/>
          <w:sz w:val="24"/>
        </w:rPr>
      </w:pPr>
    </w:p>
    <w:p>
      <w:pPr>
        <w:bidi w:val="0"/>
        <w:rPr>
          <w:lang w:val="en-US" w:eastAsia="zh-CN"/>
        </w:rPr>
      </w:pPr>
    </w:p>
    <w:p>
      <w:pPr>
        <w:bidi w:val="0"/>
        <w:rPr>
          <w:lang w:val="en-US" w:eastAsia="zh-CN"/>
        </w:rPr>
      </w:pPr>
    </w:p>
    <w:p>
      <w:pPr>
        <w:bidi w:val="0"/>
        <w:jc w:val="left"/>
        <w:rPr>
          <w:rFonts w:hint="eastAsia" w:eastAsia="仿宋_GB2312"/>
          <w:highlight w:val="none"/>
          <w:lang w:val="en-US" w:eastAsia="zh-CN"/>
        </w:rPr>
        <w:sectPr>
          <w:footerReference r:id="rId9" w:type="default"/>
          <w:pgSz w:w="11906" w:h="16383"/>
          <w:pgMar w:top="1800" w:right="1440" w:bottom="1800" w:left="1440" w:header="720" w:footer="720" w:gutter="0"/>
          <w:cols w:space="720" w:num="1"/>
        </w:sectPr>
      </w:pPr>
      <w:r>
        <w:rPr>
          <w:rFonts w:hint="default" w:ascii="仿宋_GB2312" w:hAnsi="仿宋_GB2312" w:eastAsia="仿宋_GB2312"/>
          <w:sz w:val="32"/>
          <w:szCs w:val="24"/>
          <w:highlight w:val="none"/>
          <w:lang w:val="en-US" w:eastAsia="zh-CN"/>
        </w:rPr>
        <w:t>本单位 202</w:t>
      </w:r>
      <w:r>
        <w:rPr>
          <w:rFonts w:hint="eastAsia" w:ascii="仿宋_GB2312" w:hAnsi="仿宋_GB2312" w:eastAsia="仿宋_GB2312"/>
          <w:sz w:val="32"/>
          <w:szCs w:val="24"/>
          <w:highlight w:val="none"/>
          <w:lang w:val="en-US" w:eastAsia="zh-CN"/>
        </w:rPr>
        <w:t>4 年度没</w:t>
      </w:r>
      <w:r>
        <w:rPr>
          <w:rFonts w:hint="default" w:ascii="仿宋_GB2312" w:hAnsi="仿宋_GB2312" w:eastAsia="仿宋_GB2312"/>
          <w:sz w:val="32"/>
          <w:szCs w:val="24"/>
          <w:highlight w:val="none"/>
          <w:lang w:val="en-US" w:eastAsia="zh-CN"/>
        </w:rPr>
        <w:t>有使用</w:t>
      </w:r>
      <w:r>
        <w:rPr>
          <w:rFonts w:hint="eastAsia" w:ascii="仿宋_GB2312" w:hAnsi="仿宋_GB2312" w:eastAsia="仿宋_GB2312"/>
          <w:sz w:val="32"/>
          <w:szCs w:val="24"/>
          <w:highlight w:val="none"/>
          <w:lang w:val="en-US" w:eastAsia="zh-CN"/>
        </w:rPr>
        <w:t>国有资本经营预算财政拨款的支出</w:t>
      </w:r>
    </w:p>
    <w:p>
      <w:pPr>
        <w:pStyle w:val="28"/>
        <w:widowControl/>
        <w:spacing w:before="240" w:after="24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44"/>
          <w:szCs w:val="44"/>
        </w:rPr>
      </w:pPr>
      <w:bookmarkStart w:id="65" w:name="_Toc256000047"/>
      <w:bookmarkStart w:id="66" w:name="_Toc256000109"/>
      <w:bookmarkStart w:id="67" w:name="_Toc256000016"/>
      <w:bookmarkStart w:id="68" w:name="_Toc256000078"/>
      <w:r>
        <w:rPr>
          <w:rFonts w:ascii="黑体" w:hAnsi="黑体" w:eastAsia="黑体" w:cs="黑体"/>
          <w:b/>
          <w:spacing w:val="0"/>
          <w:sz w:val="44"/>
          <w:szCs w:val="44"/>
        </w:rPr>
        <w:t>第三部分</w:t>
      </w:r>
      <w:bookmarkEnd w:id="65"/>
      <w:bookmarkEnd w:id="66"/>
      <w:bookmarkEnd w:id="67"/>
      <w:bookmarkEnd w:id="68"/>
      <w:bookmarkStart w:id="69" w:name="_Toc256000017"/>
      <w:bookmarkStart w:id="70" w:name="_Toc256000048"/>
      <w:bookmarkStart w:id="71" w:name="_Toc256000079"/>
      <w:bookmarkStart w:id="72" w:name="_Toc256000110"/>
      <w:r>
        <w:rPr>
          <w:rFonts w:hint="eastAsia" w:ascii="黑体" w:hAnsi="黑体" w:eastAsia="黑体" w:cs="黑体"/>
          <w:b/>
          <w:spacing w:val="0"/>
          <w:sz w:val="44"/>
          <w:szCs w:val="44"/>
          <w:lang w:val="en-US" w:eastAsia="zh-CN"/>
        </w:rPr>
        <w:t xml:space="preserve">  </w:t>
      </w:r>
      <w:r>
        <w:rPr>
          <w:rFonts w:ascii="黑体" w:hAnsi="黑体" w:eastAsia="黑体" w:cs="黑体"/>
          <w:b/>
          <w:spacing w:val="0"/>
          <w:sz w:val="44"/>
          <w:szCs w:val="44"/>
        </w:rPr>
        <w:t>2024年度决算情况说明</w:t>
      </w:r>
      <w:bookmarkEnd w:id="69"/>
      <w:bookmarkEnd w:id="70"/>
      <w:bookmarkEnd w:id="71"/>
      <w:bookmarkEnd w:id="72"/>
    </w:p>
    <w:p>
      <w:pPr>
        <w:pStyle w:val="5"/>
        <w:keepNext w:val="0"/>
        <w:keepLines w:val="0"/>
        <w:spacing w:before="100" w:after="100" w:line="600" w:lineRule="atLeast"/>
        <w:ind w:left="0" w:leftChars="0" w:right="0" w:firstLine="643" w:firstLineChars="200"/>
        <w:rPr>
          <w:rFonts w:ascii="Times New Roman" w:hAnsi="Times New Roman" w:eastAsia="Times New Roman" w:cs="Times New Roman"/>
          <w:b/>
          <w:bCs/>
          <w:kern w:val="0"/>
          <w:sz w:val="28"/>
          <w:szCs w:val="28"/>
        </w:rPr>
      </w:pPr>
      <w:bookmarkStart w:id="73" w:name="_Toc256000111"/>
      <w:bookmarkStart w:id="74" w:name="_Toc256000080"/>
      <w:bookmarkStart w:id="75" w:name="_Toc256000018"/>
      <w:bookmarkStart w:id="76" w:name="_Toc256000049"/>
      <w:r>
        <w:rPr>
          <w:rFonts w:ascii="黑体" w:hAnsi="黑体" w:eastAsia="黑体" w:cs="黑体"/>
          <w:b/>
          <w:spacing w:val="0"/>
        </w:rPr>
        <w:t>一、收入支出决算总体情况说明</w:t>
      </w:r>
      <w:bookmarkEnd w:id="73"/>
      <w:bookmarkEnd w:id="74"/>
      <w:bookmarkEnd w:id="75"/>
      <w:bookmarkEnd w:id="76"/>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pStyle w:val="28"/>
        <w:widowControl/>
        <w:spacing w:before="100" w:after="100" w:line="600" w:lineRule="atLeast"/>
        <w:ind w:left="160" w:right="0" w:firstLine="48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2024年度本单位收入总计361.45万元，支出总计361.45万元，与上年决算数相比，各增加361.45万元，</w:t>
      </w:r>
      <w:r>
        <w:rPr>
          <w:rFonts w:ascii="仿宋" w:hAnsi="仿宋" w:eastAsia="仿宋" w:cs="仿宋"/>
          <w:spacing w:val="0"/>
          <w:kern w:val="0"/>
          <w:sz w:val="32"/>
          <w:szCs w:val="32"/>
        </w:rPr>
        <w:t>各增长</w:t>
      </w:r>
      <w:r>
        <w:rPr>
          <w:rFonts w:hint="eastAsia" w:ascii="仿宋" w:hAnsi="仿宋" w:eastAsia="仿宋" w:cs="仿宋"/>
          <w:spacing w:val="0"/>
          <w:kern w:val="0"/>
          <w:sz w:val="32"/>
          <w:szCs w:val="32"/>
          <w:lang w:val="en-US" w:eastAsia="zh-CN"/>
        </w:rPr>
        <w:t>100</w:t>
      </w:r>
      <w:r>
        <w:rPr>
          <w:rFonts w:ascii="仿宋" w:hAnsi="仿宋" w:eastAsia="仿宋" w:cs="仿宋"/>
          <w:spacing w:val="0"/>
          <w:kern w:val="0"/>
          <w:sz w:val="32"/>
          <w:szCs w:val="32"/>
        </w:rPr>
        <w:t>%</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lang w:val="en-US" w:eastAsia="zh-CN"/>
        </w:rPr>
        <w:t>主要原因是本校为2024年新增校，新增学生和教师。</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2024年度收入361.45万元，比上年决算数</w:t>
      </w:r>
      <w:r>
        <w:rPr>
          <w:rFonts w:ascii="仿宋" w:hAnsi="仿宋" w:eastAsia="仿宋" w:cs="仿宋"/>
          <w:kern w:val="0"/>
          <w:sz w:val="32"/>
          <w:szCs w:val="32"/>
        </w:rPr>
        <w:t>增加</w:t>
      </w:r>
      <w:r>
        <w:rPr>
          <w:rFonts w:ascii="仿宋" w:hAnsi="仿宋" w:eastAsia="仿宋" w:cs="仿宋"/>
          <w:spacing w:val="0"/>
          <w:kern w:val="0"/>
          <w:sz w:val="32"/>
          <w:szCs w:val="32"/>
        </w:rPr>
        <w:t>361.45万元，</w:t>
      </w:r>
      <w:r>
        <w:rPr>
          <w:rFonts w:ascii="仿宋" w:hAnsi="仿宋" w:eastAsia="仿宋" w:cs="仿宋"/>
          <w:kern w:val="0"/>
          <w:sz w:val="32"/>
          <w:szCs w:val="32"/>
        </w:rPr>
        <w:t>增长</w:t>
      </w:r>
      <w:r>
        <w:rPr>
          <w:rFonts w:hint="eastAsia" w:ascii="仿宋" w:hAnsi="仿宋" w:eastAsia="仿宋" w:cs="仿宋"/>
          <w:kern w:val="0"/>
          <w:sz w:val="32"/>
          <w:szCs w:val="32"/>
          <w:lang w:val="en-US" w:eastAsia="zh-CN"/>
        </w:rPr>
        <w:t>100</w:t>
      </w:r>
      <w:r>
        <w:rPr>
          <w:rFonts w:ascii="仿宋" w:hAnsi="仿宋" w:eastAsia="仿宋" w:cs="仿宋"/>
          <w:spacing w:val="0"/>
          <w:kern w:val="0"/>
          <w:sz w:val="32"/>
          <w:szCs w:val="32"/>
        </w:rPr>
        <w:t>%</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具体情况如下：</w:t>
      </w:r>
    </w:p>
    <w:p>
      <w:pPr>
        <w:pStyle w:val="28"/>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1.一般公共预算财政拨款收入361.45万元。</w:t>
      </w:r>
    </w:p>
    <w:p>
      <w:pPr>
        <w:pStyle w:val="28"/>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2.政府性基金预算财政拨款收入0万元。</w:t>
      </w:r>
    </w:p>
    <w:p>
      <w:pPr>
        <w:pStyle w:val="28"/>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2024年度支出361.45万元，比上年决算数增加361.45万元，</w:t>
      </w:r>
      <w:r>
        <w:rPr>
          <w:rFonts w:ascii="仿宋" w:hAnsi="仿宋" w:eastAsia="仿宋" w:cs="仿宋"/>
          <w:kern w:val="0"/>
          <w:sz w:val="32"/>
          <w:szCs w:val="32"/>
        </w:rPr>
        <w:t>增长</w:t>
      </w:r>
      <w:r>
        <w:rPr>
          <w:rFonts w:hint="eastAsia" w:ascii="仿宋" w:hAnsi="仿宋" w:eastAsia="仿宋" w:cs="仿宋"/>
          <w:kern w:val="0"/>
          <w:sz w:val="32"/>
          <w:szCs w:val="32"/>
          <w:lang w:val="en-US" w:eastAsia="zh-CN"/>
        </w:rPr>
        <w:t>100</w:t>
      </w:r>
      <w:r>
        <w:rPr>
          <w:rFonts w:ascii="仿宋" w:hAnsi="仿宋" w:eastAsia="仿宋" w:cs="仿宋"/>
          <w:spacing w:val="0"/>
          <w:kern w:val="0"/>
          <w:sz w:val="32"/>
          <w:szCs w:val="32"/>
        </w:rPr>
        <w:t>%</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具体情况如下：</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1.基本支出272.41万元。其中，人员支出240.53万元，公用支出31.87万元。</w:t>
      </w:r>
    </w:p>
    <w:p>
      <w:pPr>
        <w:pStyle w:val="28"/>
        <w:widowControl/>
        <w:spacing w:before="240" w:after="240"/>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2.项目支出89.05万元。</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5"/>
        <w:keepNext w:val="0"/>
        <w:keepLines w:val="0"/>
        <w:spacing w:before="100" w:after="100" w:line="240" w:lineRule="auto"/>
        <w:ind w:left="0" w:right="0" w:firstLine="480" w:firstLineChars="0"/>
        <w:rPr>
          <w:rFonts w:ascii="Times New Roman" w:hAnsi="Times New Roman" w:eastAsia="Times New Roman" w:cs="Times New Roman"/>
          <w:b/>
          <w:bCs/>
          <w:kern w:val="0"/>
          <w:sz w:val="28"/>
          <w:szCs w:val="28"/>
        </w:rPr>
      </w:pPr>
      <w:bookmarkStart w:id="77" w:name="_Toc256000081"/>
      <w:bookmarkStart w:id="78" w:name="_Toc256000019"/>
      <w:bookmarkStart w:id="79" w:name="_Toc256000112"/>
      <w:bookmarkStart w:id="80" w:name="_Toc256000050"/>
      <w:r>
        <w:rPr>
          <w:rFonts w:ascii="黑体" w:hAnsi="黑体" w:eastAsia="黑体" w:cs="黑体"/>
          <w:b/>
          <w:spacing w:val="0"/>
        </w:rPr>
        <w:t>二、财政拨款收入支出决算总体情况说明</w:t>
      </w:r>
      <w:bookmarkEnd w:id="77"/>
      <w:bookmarkEnd w:id="78"/>
      <w:bookmarkEnd w:id="79"/>
      <w:bookmarkEnd w:id="80"/>
    </w:p>
    <w:p>
      <w:pPr>
        <w:pStyle w:val="28"/>
        <w:widowControl/>
        <w:spacing w:before="100" w:after="100" w:line="600" w:lineRule="atLeast"/>
        <w:ind w:left="160" w:right="0" w:firstLine="480"/>
        <w:jc w:val="left"/>
        <w:rPr>
          <w:rFonts w:ascii="仿宋" w:hAnsi="仿宋" w:eastAsia="仿宋" w:cs="仿宋"/>
          <w:spacing w:val="0"/>
          <w:kern w:val="0"/>
          <w:sz w:val="32"/>
          <w:szCs w:val="32"/>
        </w:rPr>
      </w:pPr>
      <w:r>
        <w:rPr>
          <w:rFonts w:ascii="仿宋" w:hAnsi="仿宋" w:eastAsia="仿宋" w:cs="仿宋"/>
          <w:spacing w:val="0"/>
          <w:kern w:val="0"/>
          <w:sz w:val="32"/>
          <w:szCs w:val="32"/>
        </w:rPr>
        <w:t>2024年度财政拨款收入总计361.45万元，支出总计361.45万元，与上年决算数相比，各增加361.45万元，</w:t>
      </w:r>
      <w:r>
        <w:rPr>
          <w:rFonts w:ascii="仿宋" w:hAnsi="仿宋" w:eastAsia="仿宋" w:cs="仿宋"/>
          <w:kern w:val="0"/>
          <w:sz w:val="32"/>
          <w:szCs w:val="32"/>
        </w:rPr>
        <w:t>增长</w:t>
      </w:r>
      <w:r>
        <w:rPr>
          <w:rFonts w:hint="eastAsia" w:ascii="仿宋" w:hAnsi="仿宋" w:eastAsia="仿宋" w:cs="仿宋"/>
          <w:kern w:val="0"/>
          <w:sz w:val="32"/>
          <w:szCs w:val="32"/>
          <w:lang w:val="en-US" w:eastAsia="zh-CN"/>
        </w:rPr>
        <w:t>100</w:t>
      </w:r>
      <w:r>
        <w:rPr>
          <w:rFonts w:ascii="仿宋" w:hAnsi="仿宋" w:eastAsia="仿宋" w:cs="仿宋"/>
          <w:spacing w:val="0"/>
          <w:kern w:val="0"/>
          <w:sz w:val="32"/>
          <w:szCs w:val="32"/>
        </w:rPr>
        <w:t>%</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lang w:val="en-US" w:eastAsia="zh-CN"/>
        </w:rPr>
        <w:t>主要原因是本校为2024年新增校，新增学生和教师。</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1" w:name="_Toc256000020"/>
      <w:bookmarkStart w:id="82" w:name="_Toc256000082"/>
      <w:bookmarkStart w:id="83" w:name="_Toc256000113"/>
      <w:bookmarkStart w:id="84" w:name="_Toc256000051"/>
      <w:r>
        <w:rPr>
          <w:rFonts w:ascii="黑体" w:hAnsi="黑体" w:eastAsia="黑体" w:cs="黑体"/>
          <w:b/>
          <w:spacing w:val="0"/>
        </w:rPr>
        <w:t>三、一般公共预算拨款支出决算情况说明</w:t>
      </w:r>
      <w:bookmarkEnd w:id="81"/>
      <w:bookmarkEnd w:id="82"/>
      <w:bookmarkEnd w:id="83"/>
      <w:bookmarkEnd w:id="84"/>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2024年一般公共预算支出361.45万元，比上年决算数增加361.45万元，增长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0%，具体情况如下(按</w:t>
      </w:r>
      <w:r>
        <w:rPr>
          <w:rStyle w:val="30"/>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8"/>
        <w:widowControl/>
        <w:spacing w:before="100" w:after="100" w:line="600" w:lineRule="atLeast"/>
        <w:ind w:left="160" w:right="0" w:firstLine="480"/>
        <w:jc w:val="left"/>
        <w:rPr>
          <w:rFonts w:hint="eastAsia" w:ascii="Times New Roman" w:hAnsi="Times New Roman" w:eastAsia="仿宋" w:cs="Times New Roman"/>
          <w:sz w:val="24"/>
          <w:szCs w:val="24"/>
          <w:lang w:eastAsia="zh-CN"/>
        </w:rPr>
      </w:pPr>
      <w:r>
        <w:rPr>
          <w:rFonts w:ascii="仿宋" w:hAnsi="仿宋" w:eastAsia="仿宋" w:cs="仿宋"/>
          <w:spacing w:val="0"/>
          <w:kern w:val="0"/>
          <w:sz w:val="32"/>
          <w:szCs w:val="32"/>
        </w:rPr>
        <w:t>（一）2050202 小学教育88.86万元，较上年决算数增加88.86万元，增长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w:t>
      </w:r>
      <w:r>
        <w:rPr>
          <w:rFonts w:hint="eastAsia" w:ascii="仿宋" w:hAnsi="仿宋" w:eastAsia="仿宋" w:cs="仿宋"/>
          <w:spacing w:val="0"/>
          <w:kern w:val="0"/>
          <w:sz w:val="32"/>
          <w:szCs w:val="32"/>
          <w:highlight w:val="none"/>
          <w:lang w:val="en-US" w:eastAsia="zh-CN"/>
        </w:rPr>
        <w:t>主要原因是本校为2024年新增校，新增学生和教师。</w:t>
      </w:r>
    </w:p>
    <w:p>
      <w:pPr>
        <w:pStyle w:val="28"/>
        <w:widowControl/>
        <w:spacing w:before="100" w:after="100" w:line="600" w:lineRule="atLeast"/>
        <w:ind w:left="0" w:right="0" w:firstLine="640" w:firstLineChars="200"/>
        <w:jc w:val="left"/>
        <w:rPr>
          <w:rFonts w:ascii="Times New Roman" w:hAnsi="Times New Roman" w:eastAsia="Times New Roman" w:cs="Times New Roman"/>
          <w:kern w:val="0"/>
          <w:sz w:val="24"/>
        </w:rPr>
      </w:pPr>
      <w:r>
        <w:rPr>
          <w:rFonts w:ascii="仿宋" w:hAnsi="仿宋" w:eastAsia="仿宋" w:cs="仿宋"/>
          <w:spacing w:val="0"/>
          <w:kern w:val="0"/>
          <w:sz w:val="32"/>
          <w:szCs w:val="32"/>
        </w:rPr>
        <w:t>（二）2050203 初中教育146.40万元，较上年决算数增加146.40万元，增长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w:t>
      </w:r>
      <w:r>
        <w:rPr>
          <w:rFonts w:hint="eastAsia" w:ascii="仿宋" w:hAnsi="仿宋" w:eastAsia="仿宋" w:cs="仿宋"/>
          <w:spacing w:val="0"/>
          <w:kern w:val="0"/>
          <w:sz w:val="32"/>
          <w:szCs w:val="32"/>
          <w:highlight w:val="none"/>
          <w:lang w:val="en-US" w:eastAsia="zh-CN"/>
        </w:rPr>
        <w:t>主要原因是本校为2024年新增校，新增学生和教师。</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（三）2050299 其他普通教育支出79.99万元，较上年决算数增加79.99万元，增长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w:t>
      </w:r>
      <w:r>
        <w:rPr>
          <w:rFonts w:hint="eastAsia" w:ascii="仿宋" w:hAnsi="仿宋" w:eastAsia="仿宋" w:cs="仿宋"/>
          <w:spacing w:val="0"/>
          <w:kern w:val="0"/>
          <w:sz w:val="32"/>
          <w:szCs w:val="32"/>
          <w:highlight w:val="none"/>
          <w:lang w:val="en-US" w:eastAsia="zh-CN"/>
        </w:rPr>
        <w:t>主要原因是本校为2024年新增校，新增学生和教师。</w:t>
      </w:r>
      <w:r>
        <w:rPr>
          <w:rFonts w:hint="eastAsia" w:ascii="仿宋" w:hAnsi="仿宋" w:eastAsia="仿宋" w:cs="仿宋"/>
          <w:color w:val="auto"/>
          <w:spacing w:val="0"/>
          <w:kern w:val="0"/>
          <w:sz w:val="32"/>
          <w:szCs w:val="32"/>
          <w:highlight w:val="yellow"/>
          <w:lang w:val="en-US" w:eastAsia="zh-CN"/>
        </w:rPr>
        <w:br w:type="textWrapping"/>
      </w:r>
      <w:r>
        <w:rPr>
          <w:rFonts w:hint="eastAsia" w:ascii="仿宋" w:hAnsi="仿宋" w:eastAsia="仿宋" w:cs="仿宋"/>
          <w:color w:val="auto"/>
          <w:spacing w:val="0"/>
          <w:kern w:val="0"/>
          <w:sz w:val="32"/>
          <w:szCs w:val="32"/>
          <w:highlight w:val="none"/>
          <w:lang w:val="en-US" w:eastAsia="zh-CN"/>
        </w:rPr>
        <w:t xml:space="preserve">    </w:t>
      </w:r>
      <w:r>
        <w:rPr>
          <w:rFonts w:ascii="仿宋" w:hAnsi="仿宋" w:eastAsia="仿宋" w:cs="仿宋"/>
          <w:spacing w:val="0"/>
          <w:kern w:val="0"/>
          <w:sz w:val="32"/>
          <w:szCs w:val="32"/>
        </w:rPr>
        <w:t>（四）2050999 其他教育费附加安排的支出9.06万元，较上年决算数增加9.06万元，增长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w:t>
      </w:r>
      <w:r>
        <w:rPr>
          <w:rFonts w:ascii="仿宋" w:hAnsi="仿宋" w:eastAsia="仿宋" w:cs="仿宋"/>
          <w:spacing w:val="0"/>
          <w:kern w:val="0"/>
          <w:sz w:val="32"/>
          <w:szCs w:val="32"/>
          <w:highlight w:val="none"/>
        </w:rPr>
        <w:t>主要原因是</w:t>
      </w:r>
      <w:r>
        <w:rPr>
          <w:rFonts w:hint="eastAsia" w:ascii="仿宋" w:hAnsi="仿宋" w:eastAsia="仿宋" w:cs="仿宋"/>
          <w:color w:val="auto"/>
          <w:spacing w:val="0"/>
          <w:kern w:val="0"/>
          <w:sz w:val="32"/>
          <w:szCs w:val="32"/>
          <w:highlight w:val="none"/>
          <w:lang w:val="en-US" w:eastAsia="zh-CN"/>
        </w:rPr>
        <w:t>本</w:t>
      </w:r>
      <w:r>
        <w:rPr>
          <w:rFonts w:hint="eastAsia" w:ascii="仿宋" w:hAnsi="仿宋" w:eastAsia="仿宋" w:cs="仿宋"/>
          <w:spacing w:val="0"/>
          <w:kern w:val="0"/>
          <w:sz w:val="32"/>
          <w:szCs w:val="32"/>
          <w:highlight w:val="none"/>
          <w:lang w:val="en-US" w:eastAsia="zh-CN"/>
        </w:rPr>
        <w:t>校为2024年新增学校，教师数量增加。</w:t>
      </w:r>
      <w:r>
        <w:rPr>
          <w:rFonts w:hint="eastAsia" w:ascii="仿宋" w:hAnsi="仿宋" w:eastAsia="仿宋" w:cs="仿宋"/>
          <w:spacing w:val="0"/>
          <w:kern w:val="0"/>
          <w:sz w:val="32"/>
          <w:szCs w:val="32"/>
          <w:highlight w:val="yellow"/>
          <w:lang w:val="en-US" w:eastAsia="zh-CN"/>
        </w:rPr>
        <w:br w:type="textWrapping"/>
      </w:r>
      <w:r>
        <w:rPr>
          <w:rFonts w:hint="eastAsia" w:ascii="仿宋" w:hAnsi="仿宋" w:eastAsia="仿宋" w:cs="仿宋"/>
          <w:spacing w:val="0"/>
          <w:kern w:val="0"/>
          <w:sz w:val="32"/>
          <w:szCs w:val="32"/>
          <w:highlight w:val="none"/>
          <w:lang w:val="en-US" w:eastAsia="zh-CN"/>
        </w:rPr>
        <w:t xml:space="preserve">    </w:t>
      </w:r>
      <w:r>
        <w:rPr>
          <w:rFonts w:ascii="仿宋" w:hAnsi="仿宋" w:eastAsia="仿宋" w:cs="仿宋"/>
          <w:spacing w:val="0"/>
          <w:kern w:val="0"/>
          <w:sz w:val="32"/>
          <w:szCs w:val="32"/>
          <w:highlight w:val="none"/>
        </w:rPr>
        <w:t>（五）2080505 机关事业单位基本养老保险缴费支出17.30万元，较上年决算数增加17.30万元，增长</w:t>
      </w:r>
      <w:r>
        <w:rPr>
          <w:rFonts w:hint="eastAsia" w:ascii="仿宋" w:hAnsi="仿宋" w:eastAsia="仿宋" w:cs="仿宋"/>
          <w:spacing w:val="0"/>
          <w:kern w:val="0"/>
          <w:sz w:val="32"/>
          <w:szCs w:val="32"/>
          <w:highlight w:val="none"/>
          <w:lang w:val="en-US" w:eastAsia="zh-CN"/>
        </w:rPr>
        <w:t>10</w:t>
      </w:r>
      <w:r>
        <w:rPr>
          <w:rFonts w:ascii="仿宋" w:hAnsi="仿宋" w:eastAsia="仿宋" w:cs="仿宋"/>
          <w:spacing w:val="0"/>
          <w:kern w:val="0"/>
          <w:sz w:val="32"/>
          <w:szCs w:val="32"/>
          <w:highlight w:val="none"/>
        </w:rPr>
        <w:t>0%，主要原因是</w:t>
      </w:r>
      <w:r>
        <w:rPr>
          <w:rFonts w:hint="eastAsia" w:ascii="仿宋" w:hAnsi="仿宋" w:eastAsia="仿宋" w:cs="仿宋"/>
          <w:spacing w:val="0"/>
          <w:kern w:val="0"/>
          <w:sz w:val="32"/>
          <w:szCs w:val="32"/>
          <w:highlight w:val="none"/>
          <w:lang w:val="en-US" w:eastAsia="zh-CN"/>
        </w:rPr>
        <w:t>本校为2024年新增学校，新增缴费人员。</w:t>
      </w:r>
      <w:r>
        <w:rPr>
          <w:rFonts w:hint="eastAsia" w:ascii="仿宋" w:hAnsi="仿宋" w:eastAsia="仿宋" w:cs="仿宋"/>
          <w:spacing w:val="0"/>
          <w:kern w:val="0"/>
          <w:sz w:val="32"/>
          <w:szCs w:val="32"/>
          <w:highlight w:val="none"/>
          <w:lang w:val="en-US" w:eastAsia="zh-CN"/>
        </w:rPr>
        <w:br w:type="textWrapping"/>
      </w:r>
      <w:r>
        <w:rPr>
          <w:rFonts w:hint="eastAsia" w:ascii="仿宋" w:hAnsi="仿宋" w:eastAsia="仿宋" w:cs="仿宋"/>
          <w:spacing w:val="0"/>
          <w:kern w:val="0"/>
          <w:sz w:val="32"/>
          <w:szCs w:val="32"/>
          <w:highlight w:val="none"/>
          <w:lang w:val="en-US" w:eastAsia="zh-CN"/>
        </w:rPr>
        <w:t xml:space="preserve">    </w:t>
      </w:r>
      <w:r>
        <w:rPr>
          <w:rFonts w:ascii="仿宋" w:hAnsi="仿宋" w:eastAsia="仿宋" w:cs="仿宋"/>
          <w:spacing w:val="0"/>
          <w:kern w:val="0"/>
          <w:sz w:val="32"/>
          <w:szCs w:val="32"/>
          <w:highlight w:val="none"/>
        </w:rPr>
        <w:t>（六）2080506 机关事业单位职业年金缴费支出8.65万元，较上年决算数增加8.65万元，增长</w:t>
      </w:r>
      <w:r>
        <w:rPr>
          <w:rFonts w:hint="eastAsia" w:ascii="仿宋" w:hAnsi="仿宋" w:eastAsia="仿宋" w:cs="仿宋"/>
          <w:spacing w:val="0"/>
          <w:kern w:val="0"/>
          <w:sz w:val="32"/>
          <w:szCs w:val="32"/>
          <w:highlight w:val="none"/>
          <w:lang w:val="en-US" w:eastAsia="zh-CN"/>
        </w:rPr>
        <w:t>10</w:t>
      </w:r>
      <w:r>
        <w:rPr>
          <w:rFonts w:ascii="仿宋" w:hAnsi="仿宋" w:eastAsia="仿宋" w:cs="仿宋"/>
          <w:spacing w:val="0"/>
          <w:kern w:val="0"/>
          <w:sz w:val="32"/>
          <w:szCs w:val="32"/>
          <w:highlight w:val="none"/>
        </w:rPr>
        <w:t>0%，主要原因是</w:t>
      </w:r>
      <w:r>
        <w:rPr>
          <w:rFonts w:hint="eastAsia" w:ascii="仿宋" w:hAnsi="仿宋" w:eastAsia="仿宋" w:cs="仿宋"/>
          <w:spacing w:val="0"/>
          <w:kern w:val="0"/>
          <w:sz w:val="32"/>
          <w:szCs w:val="32"/>
          <w:highlight w:val="none"/>
          <w:lang w:val="en-US" w:eastAsia="zh-CN"/>
        </w:rPr>
        <w:t>本校为2024年新增学校，新增缴费人员。</w:t>
      </w:r>
      <w:r>
        <w:rPr>
          <w:rFonts w:hint="eastAsia" w:ascii="仿宋" w:hAnsi="仿宋" w:eastAsia="仿宋" w:cs="仿宋"/>
          <w:color w:val="auto"/>
          <w:spacing w:val="0"/>
          <w:kern w:val="0"/>
          <w:sz w:val="32"/>
          <w:szCs w:val="32"/>
          <w:highlight w:val="none"/>
          <w:lang w:val="en-US" w:eastAsia="zh-CN"/>
        </w:rPr>
        <w:br w:type="textWrapping"/>
      </w:r>
      <w:r>
        <w:rPr>
          <w:rFonts w:hint="eastAsia" w:ascii="仿宋" w:hAnsi="仿宋" w:eastAsia="仿宋" w:cs="仿宋"/>
          <w:color w:val="auto"/>
          <w:spacing w:val="0"/>
          <w:kern w:val="0"/>
          <w:sz w:val="32"/>
          <w:szCs w:val="32"/>
          <w:highlight w:val="none"/>
          <w:lang w:val="en-US" w:eastAsia="zh-CN"/>
        </w:rPr>
        <w:t xml:space="preserve">   </w:t>
      </w:r>
      <w:r>
        <w:rPr>
          <w:rFonts w:ascii="仿宋" w:hAnsi="仿宋" w:eastAsia="仿宋" w:cs="仿宋"/>
          <w:spacing w:val="0"/>
          <w:kern w:val="0"/>
          <w:sz w:val="32"/>
          <w:szCs w:val="32"/>
        </w:rPr>
        <w:t>（七）2101102 事业单位医疗7.41万元，较上年决算数增加7.41万元，增长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w:t>
      </w:r>
      <w:r>
        <w:rPr>
          <w:rFonts w:ascii="仿宋" w:hAnsi="仿宋" w:eastAsia="仿宋" w:cs="仿宋"/>
          <w:spacing w:val="0"/>
          <w:kern w:val="0"/>
          <w:sz w:val="32"/>
          <w:szCs w:val="32"/>
          <w:highlight w:val="none"/>
        </w:rPr>
        <w:t>主要原因是</w:t>
      </w:r>
      <w:r>
        <w:rPr>
          <w:rFonts w:hint="eastAsia" w:ascii="仿宋" w:hAnsi="仿宋" w:eastAsia="仿宋" w:cs="仿宋"/>
          <w:spacing w:val="0"/>
          <w:kern w:val="0"/>
          <w:sz w:val="32"/>
          <w:szCs w:val="32"/>
          <w:highlight w:val="none"/>
          <w:lang w:val="en-US" w:eastAsia="zh-CN"/>
        </w:rPr>
        <w:t>本校为2024年新增学校，新增缴费人员。</w:t>
      </w:r>
      <w:r>
        <w:rPr>
          <w:rFonts w:hint="eastAsia" w:ascii="仿宋" w:hAnsi="仿宋" w:eastAsia="仿宋" w:cs="仿宋"/>
          <w:color w:val="auto"/>
          <w:spacing w:val="0"/>
          <w:kern w:val="0"/>
          <w:sz w:val="32"/>
          <w:szCs w:val="32"/>
          <w:highlight w:val="yellow"/>
          <w:lang w:val="en-US" w:eastAsia="zh-CN"/>
        </w:rPr>
        <w:br w:type="textWrapping"/>
      </w:r>
      <w:r>
        <w:rPr>
          <w:rFonts w:hint="eastAsia" w:ascii="仿宋" w:hAnsi="仿宋" w:eastAsia="仿宋" w:cs="仿宋"/>
          <w:color w:val="auto"/>
          <w:spacing w:val="0"/>
          <w:kern w:val="0"/>
          <w:sz w:val="32"/>
          <w:szCs w:val="32"/>
          <w:highlight w:val="none"/>
          <w:lang w:val="en-US" w:eastAsia="zh-CN"/>
        </w:rPr>
        <w:t xml:space="preserve">   </w:t>
      </w:r>
      <w:r>
        <w:rPr>
          <w:rFonts w:ascii="仿宋" w:hAnsi="仿宋" w:eastAsia="仿宋" w:cs="仿宋"/>
          <w:spacing w:val="0"/>
          <w:kern w:val="0"/>
          <w:sz w:val="32"/>
          <w:szCs w:val="32"/>
        </w:rPr>
        <w:t>（八）2101199 其他行政事业单位医疗支出3.79万元，较上年决算数增加3.79万元，增长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w:t>
      </w:r>
      <w:r>
        <w:rPr>
          <w:rFonts w:ascii="仿宋" w:hAnsi="仿宋" w:eastAsia="仿宋" w:cs="仿宋"/>
          <w:spacing w:val="0"/>
          <w:kern w:val="0"/>
          <w:sz w:val="32"/>
          <w:szCs w:val="32"/>
          <w:highlight w:val="none"/>
        </w:rPr>
        <w:t>主要原因是</w:t>
      </w:r>
      <w:r>
        <w:rPr>
          <w:rFonts w:hint="eastAsia" w:ascii="仿宋" w:hAnsi="仿宋" w:eastAsia="仿宋" w:cs="仿宋"/>
          <w:spacing w:val="0"/>
          <w:kern w:val="0"/>
          <w:sz w:val="32"/>
          <w:szCs w:val="32"/>
          <w:highlight w:val="none"/>
          <w:lang w:val="en-US" w:eastAsia="zh-CN"/>
        </w:rPr>
        <w:t>本校为2024年新增学校，新增缴费人员。</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5" w:name="_Toc256000052"/>
      <w:bookmarkStart w:id="86" w:name="_Toc256000021"/>
      <w:bookmarkStart w:id="87" w:name="_Toc256000083"/>
      <w:bookmarkStart w:id="88" w:name="_Toc256000114"/>
      <w:r>
        <w:rPr>
          <w:rFonts w:ascii="黑体" w:hAnsi="黑体" w:eastAsia="黑体" w:cs="黑体"/>
          <w:b/>
          <w:spacing w:val="0"/>
        </w:rPr>
        <w:t>四、政府性基金预算财政拨款支出决算情况说明</w:t>
      </w:r>
      <w:bookmarkEnd w:id="85"/>
      <w:bookmarkEnd w:id="86"/>
      <w:bookmarkEnd w:id="87"/>
      <w:bookmarkEnd w:id="88"/>
    </w:p>
    <w:p>
      <w:pPr>
        <w:pStyle w:val="28"/>
        <w:widowControl/>
        <w:spacing w:before="100" w:after="100" w:line="600" w:lineRule="atLeast"/>
        <w:ind w:left="319" w:leftChars="152" w:right="0" w:firstLine="652" w:firstLineChars="204"/>
        <w:jc w:val="left"/>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2024年度政府性基金支出0万元，比上年决算数增加0万元，增长0%</w:t>
      </w:r>
      <w:r>
        <w:rPr>
          <w:rFonts w:hint="eastAsia" w:ascii="仿宋" w:hAnsi="仿宋" w:eastAsia="仿宋" w:cs="仿宋"/>
          <w:spacing w:val="0"/>
          <w:kern w:val="0"/>
          <w:sz w:val="32"/>
          <w:szCs w:val="32"/>
          <w:lang w:eastAsia="zh-CN"/>
        </w:rPr>
        <w:t>。</w:t>
      </w:r>
    </w:p>
    <w:p>
      <w:pPr>
        <w:pStyle w:val="28"/>
        <w:widowControl/>
        <w:spacing w:before="100" w:after="100" w:line="600" w:lineRule="atLeast"/>
        <w:ind w:left="319" w:leftChars="152" w:right="0" w:firstLine="652" w:firstLineChars="204"/>
        <w:jc w:val="left"/>
        <w:rPr>
          <w:rFonts w:ascii="仿宋" w:hAnsi="仿宋" w:eastAsia="仿宋" w:cs="仿宋"/>
          <w:spacing w:val="0"/>
          <w:kern w:val="0"/>
          <w:sz w:val="32"/>
          <w:szCs w:val="32"/>
          <w:highlight w:val="none"/>
        </w:rPr>
      </w:pPr>
      <w:r>
        <w:rPr>
          <w:rFonts w:ascii="仿宋" w:hAnsi="仿宋" w:eastAsia="仿宋" w:cs="仿宋"/>
          <w:spacing w:val="0"/>
          <w:kern w:val="0"/>
          <w:sz w:val="32"/>
          <w:szCs w:val="32"/>
          <w:highlight w:val="none"/>
        </w:rPr>
        <w:t>本单位2024年度没有使用政府性基金预算拨款安排的支出</w:t>
      </w:r>
      <w:r>
        <w:rPr>
          <w:rFonts w:hint="eastAsia" w:ascii="仿宋" w:hAnsi="仿宋" w:eastAsia="仿宋" w:cs="仿宋"/>
          <w:spacing w:val="0"/>
          <w:kern w:val="0"/>
          <w:sz w:val="32"/>
          <w:szCs w:val="32"/>
          <w:highlight w:val="none"/>
          <w:lang w:val="en-US" w:eastAsia="zh-CN"/>
        </w:rPr>
        <w:t>。</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9" w:name="_Toc256000022"/>
      <w:bookmarkStart w:id="90" w:name="_Toc256000084"/>
      <w:bookmarkStart w:id="91" w:name="_Toc256000115"/>
      <w:bookmarkStart w:id="92" w:name="_Toc256000053"/>
      <w:r>
        <w:rPr>
          <w:rFonts w:ascii="黑体" w:hAnsi="黑体" w:eastAsia="黑体" w:cs="黑体"/>
          <w:b/>
          <w:spacing w:val="0"/>
        </w:rPr>
        <w:t>五、国有资本经营预算财政拨款支出决算情况说明</w:t>
      </w:r>
      <w:bookmarkEnd w:id="89"/>
      <w:bookmarkEnd w:id="90"/>
      <w:bookmarkEnd w:id="91"/>
      <w:bookmarkEnd w:id="92"/>
    </w:p>
    <w:p>
      <w:pPr>
        <w:pStyle w:val="28"/>
        <w:widowControl/>
        <w:spacing w:before="100" w:after="100" w:line="600" w:lineRule="atLeast"/>
        <w:ind w:left="319" w:leftChars="152" w:right="0" w:firstLine="652" w:firstLineChars="204"/>
        <w:jc w:val="left"/>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8"/>
        <w:widowControl/>
        <w:spacing w:before="100" w:after="100" w:line="600" w:lineRule="atLeast"/>
        <w:ind w:left="0" w:right="0" w:firstLine="640"/>
        <w:jc w:val="left"/>
        <w:rPr>
          <w:rFonts w:ascii="仿宋" w:hAnsi="仿宋" w:eastAsia="仿宋" w:cs="仿宋"/>
          <w:spacing w:val="0"/>
          <w:kern w:val="0"/>
          <w:sz w:val="32"/>
          <w:szCs w:val="32"/>
          <w:highlight w:val="none"/>
        </w:rPr>
      </w:pPr>
      <w:r>
        <w:rPr>
          <w:rFonts w:ascii="仿宋" w:hAnsi="仿宋" w:eastAsia="仿宋" w:cs="仿宋"/>
          <w:spacing w:val="0"/>
          <w:kern w:val="0"/>
          <w:sz w:val="32"/>
          <w:szCs w:val="32"/>
          <w:highlight w:val="none"/>
        </w:rPr>
        <w:t>本单位2024年度没有使用国有资本经营预算财政拨款安排的支出</w:t>
      </w:r>
      <w:r>
        <w:rPr>
          <w:rFonts w:hint="eastAsia" w:ascii="仿宋" w:hAnsi="仿宋" w:eastAsia="仿宋" w:cs="仿宋"/>
          <w:spacing w:val="0"/>
          <w:kern w:val="0"/>
          <w:sz w:val="32"/>
          <w:szCs w:val="32"/>
          <w:highlight w:val="none"/>
          <w:lang w:val="en-US" w:eastAsia="zh-CN"/>
        </w:rPr>
        <w:t>。</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93" w:name="_Toc256000116"/>
      <w:bookmarkStart w:id="94" w:name="_Toc256000054"/>
      <w:bookmarkStart w:id="95" w:name="_Toc256000023"/>
      <w:bookmarkStart w:id="96" w:name="_Toc256000085"/>
      <w:r>
        <w:rPr>
          <w:rFonts w:ascii="黑体" w:hAnsi="黑体" w:eastAsia="黑体" w:cs="黑体"/>
          <w:b/>
          <w:spacing w:val="0"/>
        </w:rPr>
        <w:t>六、一般公共预算财政拨款基本支出决算情况说明</w:t>
      </w:r>
      <w:bookmarkEnd w:id="93"/>
      <w:bookmarkEnd w:id="94"/>
      <w:bookmarkEnd w:id="95"/>
      <w:bookmarkEnd w:id="96"/>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2024年度一般公共预算财政拨款基本支出272.41万元，其中：</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一）人员经费240.53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二）公用经费31.87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97" w:name="_Toc256000024"/>
      <w:bookmarkStart w:id="98" w:name="_Toc256000055"/>
      <w:bookmarkStart w:id="99" w:name="_Toc256000117"/>
      <w:bookmarkStart w:id="100" w:name="_Toc256000086"/>
      <w:r>
        <w:rPr>
          <w:rFonts w:ascii="黑体" w:hAnsi="黑体" w:eastAsia="黑体" w:cs="黑体"/>
          <w:b/>
          <w:spacing w:val="0"/>
        </w:rPr>
        <w:t>七、一般公共预算拨款“三公”经费支出决算情况说明</w:t>
      </w:r>
      <w:bookmarkEnd w:id="97"/>
      <w:bookmarkEnd w:id="98"/>
      <w:bookmarkEnd w:id="99"/>
      <w:bookmarkEnd w:id="100"/>
    </w:p>
    <w:p>
      <w:pPr>
        <w:pStyle w:val="28"/>
        <w:widowControl/>
        <w:spacing w:before="100" w:after="100" w:line="600" w:lineRule="atLeast"/>
        <w:ind w:left="0" w:right="0" w:firstLine="704"/>
        <w:jc w:val="left"/>
        <w:rPr>
          <w:rFonts w:ascii="仿宋" w:hAnsi="仿宋" w:eastAsia="仿宋" w:cs="仿宋"/>
          <w:spacing w:val="0"/>
          <w:kern w:val="0"/>
          <w:sz w:val="32"/>
          <w:szCs w:val="32"/>
        </w:rPr>
      </w:pPr>
      <w:r>
        <w:rPr>
          <w:rFonts w:ascii="仿宋" w:hAnsi="仿宋" w:eastAsia="仿宋" w:cs="仿宋"/>
          <w:spacing w:val="0"/>
          <w:kern w:val="0"/>
          <w:sz w:val="32"/>
          <w:szCs w:val="32"/>
        </w:rPr>
        <w:t>2024年度一般公共预算拨款“三公”经费支出0</w:t>
      </w:r>
      <w:r>
        <w:rPr>
          <w:rFonts w:hint="eastAsia" w:ascii="仿宋" w:hAnsi="仿宋" w:eastAsia="仿宋" w:cs="仿宋"/>
          <w:spacing w:val="0"/>
          <w:kern w:val="0"/>
          <w:sz w:val="32"/>
          <w:szCs w:val="32"/>
          <w:lang w:val="en-US" w:eastAsia="zh-CN"/>
        </w:rPr>
        <w:t>.00</w:t>
      </w:r>
      <w:r>
        <w:rPr>
          <w:rFonts w:ascii="仿宋" w:hAnsi="仿宋" w:eastAsia="仿宋" w:cs="仿宋"/>
          <w:spacing w:val="0"/>
          <w:kern w:val="0"/>
          <w:sz w:val="32"/>
          <w:szCs w:val="32"/>
        </w:rPr>
        <w:t>万元，完成全年预算的 0</w:t>
      </w:r>
      <w:r>
        <w:rPr>
          <w:rFonts w:hint="eastAsia" w:ascii="仿宋" w:hAnsi="仿宋" w:eastAsia="仿宋" w:cs="仿宋"/>
          <w:spacing w:val="0"/>
          <w:kern w:val="0"/>
          <w:sz w:val="32"/>
          <w:szCs w:val="32"/>
          <w:lang w:val="en-US" w:eastAsia="zh-CN"/>
        </w:rPr>
        <w:t>.00万元持平，</w:t>
      </w:r>
      <w:r>
        <w:rPr>
          <w:rFonts w:hint="eastAsia" w:ascii="仿宋" w:hAnsi="仿宋" w:eastAsia="仿宋" w:cs="仿宋"/>
          <w:spacing w:val="0"/>
          <w:kern w:val="0"/>
          <w:sz w:val="32"/>
          <w:szCs w:val="32"/>
          <w:highlight w:val="none"/>
        </w:rPr>
        <w:t>比上年决算数增加0万元，增长0%</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主要原因</w:t>
      </w:r>
      <w:r>
        <w:rPr>
          <w:rFonts w:hint="eastAsia" w:ascii="仿宋" w:hAnsi="仿宋" w:eastAsia="仿宋" w:cs="仿宋"/>
          <w:spacing w:val="0"/>
          <w:kern w:val="0"/>
          <w:sz w:val="32"/>
          <w:szCs w:val="32"/>
          <w:lang w:val="en-US" w:eastAsia="zh-CN"/>
        </w:rPr>
        <w:t>本单位没有使用“三公”经费支出，</w:t>
      </w:r>
      <w:r>
        <w:rPr>
          <w:rFonts w:ascii="仿宋" w:hAnsi="仿宋" w:eastAsia="仿宋" w:cs="仿宋"/>
          <w:spacing w:val="0"/>
          <w:kern w:val="0"/>
          <w:sz w:val="32"/>
          <w:szCs w:val="32"/>
        </w:rPr>
        <w:t>具体情况如下：</w:t>
      </w:r>
    </w:p>
    <w:p>
      <w:pPr>
        <w:pStyle w:val="28"/>
        <w:widowControl/>
        <w:numPr>
          <w:ilvl w:val="0"/>
          <w:numId w:val="2"/>
        </w:numPr>
        <w:spacing w:before="100" w:after="100" w:line="600" w:lineRule="atLeast"/>
        <w:ind w:left="0" w:right="0" w:firstLine="704"/>
        <w:jc w:val="left"/>
        <w:rPr>
          <w:rFonts w:ascii="仿宋" w:hAnsi="仿宋" w:eastAsia="仿宋" w:cs="仿宋"/>
          <w:spacing w:val="0"/>
          <w:kern w:val="0"/>
          <w:sz w:val="32"/>
          <w:szCs w:val="32"/>
        </w:rPr>
      </w:pPr>
      <w:r>
        <w:rPr>
          <w:rFonts w:ascii="仿宋" w:hAnsi="仿宋" w:eastAsia="仿宋" w:cs="仿宋"/>
          <w:spacing w:val="0"/>
          <w:kern w:val="0"/>
          <w:sz w:val="32"/>
          <w:szCs w:val="32"/>
        </w:rPr>
        <w:t>因公出国（境）费支出0</w:t>
      </w:r>
      <w:r>
        <w:rPr>
          <w:rFonts w:hint="eastAsia" w:ascii="仿宋" w:hAnsi="仿宋" w:eastAsia="仿宋" w:cs="仿宋"/>
          <w:spacing w:val="0"/>
          <w:kern w:val="0"/>
          <w:sz w:val="32"/>
          <w:szCs w:val="32"/>
          <w:lang w:val="en-US" w:eastAsia="zh-CN"/>
        </w:rPr>
        <w:t>.00</w:t>
      </w:r>
      <w:r>
        <w:rPr>
          <w:rFonts w:ascii="仿宋" w:hAnsi="仿宋" w:eastAsia="仿宋" w:cs="仿宋"/>
          <w:spacing w:val="0"/>
          <w:kern w:val="0"/>
          <w:sz w:val="32"/>
          <w:szCs w:val="32"/>
        </w:rPr>
        <w:t>万元，完成全年预算的 0</w:t>
      </w:r>
      <w:r>
        <w:rPr>
          <w:rFonts w:hint="eastAsia" w:ascii="仿宋" w:hAnsi="仿宋" w:eastAsia="仿宋" w:cs="仿宋"/>
          <w:spacing w:val="0"/>
          <w:kern w:val="0"/>
          <w:sz w:val="32"/>
          <w:szCs w:val="32"/>
          <w:lang w:val="en-US" w:eastAsia="zh-CN"/>
        </w:rPr>
        <w:t>.00万元持平</w:t>
      </w:r>
      <w:r>
        <w:rPr>
          <w:rFonts w:ascii="仿宋" w:hAnsi="仿宋" w:eastAsia="仿宋" w:cs="仿宋"/>
          <w:spacing w:val="0"/>
          <w:kern w:val="0"/>
          <w:sz w:val="32"/>
          <w:szCs w:val="32"/>
        </w:rPr>
        <w:t>。全年安排本单位组织的出国团组0 个，参加其他单位出国团组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个；全年因公出国（境）累计0人次。主要是</w:t>
      </w:r>
      <w:r>
        <w:rPr>
          <w:rFonts w:hint="eastAsia" w:ascii="仿宋" w:hAnsi="仿宋" w:eastAsia="仿宋" w:cs="仿宋"/>
          <w:spacing w:val="0"/>
          <w:kern w:val="0"/>
          <w:sz w:val="32"/>
          <w:szCs w:val="32"/>
          <w:lang w:val="en-US" w:eastAsia="zh-CN"/>
        </w:rPr>
        <w:t>本单位没有组织出国团组及</w:t>
      </w:r>
      <w:r>
        <w:rPr>
          <w:rFonts w:ascii="仿宋" w:hAnsi="仿宋" w:eastAsia="仿宋" w:cs="仿宋"/>
          <w:spacing w:val="0"/>
          <w:kern w:val="0"/>
          <w:sz w:val="32"/>
          <w:szCs w:val="32"/>
        </w:rPr>
        <w:t>参加其他</w:t>
      </w:r>
      <w:r>
        <w:rPr>
          <w:rFonts w:hint="eastAsia" w:ascii="仿宋" w:hAnsi="仿宋" w:eastAsia="仿宋" w:cs="仿宋"/>
          <w:spacing w:val="0"/>
          <w:kern w:val="0"/>
          <w:sz w:val="32"/>
          <w:szCs w:val="32"/>
          <w:lang w:val="en-US" w:eastAsia="zh-CN"/>
        </w:rPr>
        <w:t>部门</w:t>
      </w:r>
      <w:r>
        <w:rPr>
          <w:rFonts w:ascii="仿宋" w:hAnsi="仿宋" w:eastAsia="仿宋" w:cs="仿宋"/>
          <w:spacing w:val="0"/>
          <w:kern w:val="0"/>
          <w:sz w:val="32"/>
          <w:szCs w:val="32"/>
        </w:rPr>
        <w:t>出国团组</w:t>
      </w:r>
      <w:r>
        <w:rPr>
          <w:rFonts w:hint="eastAsia" w:ascii="仿宋" w:hAnsi="仿宋" w:eastAsia="仿宋" w:cs="仿宋"/>
          <w:spacing w:val="0"/>
          <w:kern w:val="0"/>
          <w:sz w:val="32"/>
          <w:szCs w:val="32"/>
          <w:lang w:eastAsia="zh-CN"/>
        </w:rPr>
        <w:t>。</w:t>
      </w:r>
    </w:p>
    <w:p>
      <w:pPr>
        <w:pStyle w:val="28"/>
        <w:widowControl/>
        <w:spacing w:before="100" w:after="100" w:line="600" w:lineRule="atLeast"/>
        <w:ind w:left="0" w:right="0" w:firstLine="704"/>
        <w:jc w:val="left"/>
        <w:rPr>
          <w:rFonts w:hint="default" w:ascii="仿宋" w:hAnsi="仿宋" w:eastAsia="仿宋" w:cs="仿宋"/>
          <w:spacing w:val="0"/>
          <w:kern w:val="0"/>
          <w:sz w:val="32"/>
          <w:szCs w:val="32"/>
          <w:highlight w:val="yellow"/>
          <w:lang w:val="en-US" w:eastAsia="zh-CN"/>
        </w:rPr>
      </w:pPr>
      <w:r>
        <w:rPr>
          <w:rFonts w:ascii="仿宋" w:hAnsi="仿宋" w:eastAsia="仿宋" w:cs="仿宋"/>
          <w:spacing w:val="0"/>
          <w:kern w:val="0"/>
          <w:sz w:val="32"/>
          <w:szCs w:val="32"/>
        </w:rPr>
        <w:t>（二）公务用车购置及运行费支出0</w:t>
      </w:r>
      <w:r>
        <w:rPr>
          <w:rFonts w:hint="eastAsia" w:ascii="仿宋" w:hAnsi="仿宋" w:eastAsia="仿宋" w:cs="仿宋"/>
          <w:spacing w:val="0"/>
          <w:kern w:val="0"/>
          <w:sz w:val="32"/>
          <w:szCs w:val="32"/>
          <w:lang w:val="en-US" w:eastAsia="zh-CN"/>
        </w:rPr>
        <w:t>.00</w:t>
      </w:r>
      <w:r>
        <w:rPr>
          <w:rFonts w:ascii="仿宋" w:hAnsi="仿宋" w:eastAsia="仿宋" w:cs="仿宋"/>
          <w:spacing w:val="0"/>
          <w:kern w:val="0"/>
          <w:sz w:val="32"/>
          <w:szCs w:val="32"/>
        </w:rPr>
        <w:t>万元，</w:t>
      </w:r>
      <w:r>
        <w:rPr>
          <w:rFonts w:hint="eastAsia" w:ascii="仿宋" w:hAnsi="仿宋" w:eastAsia="仿宋" w:cs="仿宋"/>
          <w:spacing w:val="0"/>
          <w:kern w:val="0"/>
          <w:sz w:val="32"/>
          <w:szCs w:val="32"/>
          <w:lang w:val="en-US" w:eastAsia="zh-CN"/>
        </w:rPr>
        <w:t>与全年预算</w:t>
      </w:r>
      <w:r>
        <w:rPr>
          <w:rFonts w:ascii="仿宋" w:hAnsi="仿宋" w:eastAsia="仿宋" w:cs="仿宋"/>
          <w:spacing w:val="0"/>
          <w:kern w:val="0"/>
          <w:sz w:val="32"/>
          <w:szCs w:val="32"/>
        </w:rPr>
        <w:t>0</w:t>
      </w:r>
      <w:r>
        <w:rPr>
          <w:rFonts w:hint="eastAsia" w:ascii="仿宋" w:hAnsi="仿宋" w:eastAsia="仿宋" w:cs="仿宋"/>
          <w:spacing w:val="0"/>
          <w:kern w:val="0"/>
          <w:sz w:val="32"/>
          <w:szCs w:val="32"/>
          <w:lang w:val="en-US" w:eastAsia="zh-CN"/>
        </w:rPr>
        <w:t>.00万元持平</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highlight w:val="none"/>
        </w:rPr>
        <w:t>比上年决算数增加0万元，增长0%</w:t>
      </w:r>
      <w:r>
        <w:rPr>
          <w:rFonts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本单位没有购置公务用车及运行费支出。其中：</w:t>
      </w:r>
    </w:p>
    <w:p>
      <w:pPr>
        <w:pStyle w:val="28"/>
        <w:widowControl/>
        <w:spacing w:before="100" w:after="100" w:line="600" w:lineRule="atLeast"/>
        <w:ind w:left="0" w:right="0" w:firstLine="704"/>
        <w:jc w:val="left"/>
        <w:rPr>
          <w:rFonts w:hint="default" w:ascii="仿宋" w:hAnsi="仿宋" w:eastAsia="仿宋" w:cs="仿宋"/>
          <w:spacing w:val="0"/>
          <w:kern w:val="0"/>
          <w:sz w:val="32"/>
          <w:szCs w:val="32"/>
          <w:lang w:val="en-US" w:eastAsia="zh-CN"/>
        </w:rPr>
      </w:pPr>
      <w:r>
        <w:rPr>
          <w:rFonts w:ascii="仿宋" w:hAnsi="仿宋" w:eastAsia="仿宋" w:cs="仿宋"/>
          <w:spacing w:val="0"/>
          <w:kern w:val="0"/>
          <w:sz w:val="32"/>
          <w:szCs w:val="32"/>
        </w:rPr>
        <w:t>公务用车购置费支出0</w:t>
      </w:r>
      <w:r>
        <w:rPr>
          <w:rFonts w:hint="eastAsia" w:ascii="仿宋" w:hAnsi="仿宋" w:eastAsia="仿宋" w:cs="仿宋"/>
          <w:spacing w:val="0"/>
          <w:kern w:val="0"/>
          <w:sz w:val="32"/>
          <w:szCs w:val="32"/>
          <w:lang w:val="en-US" w:eastAsia="zh-CN"/>
        </w:rPr>
        <w:t>.00</w:t>
      </w:r>
      <w:r>
        <w:rPr>
          <w:rFonts w:ascii="仿宋" w:hAnsi="仿宋" w:eastAsia="仿宋" w:cs="仿宋"/>
          <w:spacing w:val="0"/>
          <w:kern w:val="0"/>
          <w:sz w:val="32"/>
          <w:szCs w:val="32"/>
        </w:rPr>
        <w:t>万元，</w:t>
      </w:r>
      <w:r>
        <w:rPr>
          <w:rFonts w:hint="eastAsia" w:ascii="仿宋" w:hAnsi="仿宋" w:eastAsia="仿宋" w:cs="仿宋"/>
          <w:spacing w:val="0"/>
          <w:kern w:val="0"/>
          <w:sz w:val="32"/>
          <w:szCs w:val="32"/>
          <w:lang w:val="en-US" w:eastAsia="zh-CN"/>
        </w:rPr>
        <w:t>与全年预算</w:t>
      </w:r>
      <w:r>
        <w:rPr>
          <w:rFonts w:ascii="仿宋" w:hAnsi="仿宋" w:eastAsia="仿宋" w:cs="仿宋"/>
          <w:spacing w:val="0"/>
          <w:kern w:val="0"/>
          <w:sz w:val="32"/>
          <w:szCs w:val="32"/>
        </w:rPr>
        <w:t>0</w:t>
      </w:r>
      <w:r>
        <w:rPr>
          <w:rFonts w:hint="eastAsia" w:ascii="仿宋" w:hAnsi="仿宋" w:eastAsia="仿宋" w:cs="仿宋"/>
          <w:spacing w:val="0"/>
          <w:kern w:val="0"/>
          <w:sz w:val="32"/>
          <w:szCs w:val="32"/>
          <w:lang w:val="en-US" w:eastAsia="zh-CN"/>
        </w:rPr>
        <w:t>.00万元持平，</w:t>
      </w:r>
      <w:r>
        <w:rPr>
          <w:rFonts w:hint="eastAsia" w:ascii="仿宋" w:hAnsi="仿宋" w:eastAsia="仿宋" w:cs="仿宋"/>
          <w:spacing w:val="0"/>
          <w:kern w:val="0"/>
          <w:sz w:val="32"/>
          <w:szCs w:val="32"/>
          <w:highlight w:val="none"/>
        </w:rPr>
        <w:t>比上年决算数增加0万元，增长0%</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2024年公务用车购置0辆，</w:t>
      </w:r>
      <w:r>
        <w:rPr>
          <w:rFonts w:ascii="仿宋" w:hAnsi="仿宋" w:eastAsia="仿宋" w:cs="仿宋"/>
          <w:spacing w:val="0"/>
          <w:kern w:val="0"/>
          <w:sz w:val="32"/>
          <w:szCs w:val="32"/>
          <w:highlight w:val="none"/>
        </w:rPr>
        <w:t>主要是</w:t>
      </w:r>
      <w:r>
        <w:rPr>
          <w:rFonts w:hint="eastAsia" w:ascii="仿宋" w:hAnsi="仿宋" w:eastAsia="仿宋" w:cs="仿宋"/>
          <w:spacing w:val="0"/>
          <w:kern w:val="0"/>
          <w:sz w:val="32"/>
          <w:szCs w:val="32"/>
          <w:highlight w:val="none"/>
          <w:lang w:val="en-US" w:eastAsia="zh-CN"/>
        </w:rPr>
        <w:t>本单位没有购置公务用车。</w:t>
      </w:r>
    </w:p>
    <w:p>
      <w:pPr>
        <w:pStyle w:val="28"/>
        <w:widowControl/>
        <w:spacing w:before="100" w:after="100" w:line="600" w:lineRule="atLeast"/>
        <w:ind w:left="0" w:right="0" w:firstLine="704"/>
        <w:jc w:val="left"/>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公务用车运行费支出0</w:t>
      </w:r>
      <w:r>
        <w:rPr>
          <w:rFonts w:hint="eastAsia" w:ascii="仿宋" w:hAnsi="仿宋" w:eastAsia="仿宋" w:cs="仿宋"/>
          <w:spacing w:val="0"/>
          <w:kern w:val="0"/>
          <w:sz w:val="32"/>
          <w:szCs w:val="32"/>
          <w:lang w:val="en-US" w:eastAsia="zh-CN"/>
        </w:rPr>
        <w:t>.00</w:t>
      </w:r>
      <w:r>
        <w:rPr>
          <w:rFonts w:ascii="仿宋" w:hAnsi="仿宋" w:eastAsia="仿宋" w:cs="仿宋"/>
          <w:spacing w:val="0"/>
          <w:kern w:val="0"/>
          <w:sz w:val="32"/>
          <w:szCs w:val="32"/>
        </w:rPr>
        <w:t>万元，</w:t>
      </w:r>
      <w:r>
        <w:rPr>
          <w:rFonts w:hint="eastAsia" w:ascii="仿宋" w:hAnsi="仿宋" w:eastAsia="仿宋" w:cs="仿宋"/>
          <w:spacing w:val="0"/>
          <w:kern w:val="0"/>
          <w:sz w:val="32"/>
          <w:szCs w:val="32"/>
          <w:lang w:val="en-US" w:eastAsia="zh-CN"/>
        </w:rPr>
        <w:t>与全年预算</w:t>
      </w:r>
      <w:r>
        <w:rPr>
          <w:rFonts w:ascii="仿宋" w:hAnsi="仿宋" w:eastAsia="仿宋" w:cs="仿宋"/>
          <w:spacing w:val="0"/>
          <w:kern w:val="0"/>
          <w:sz w:val="32"/>
          <w:szCs w:val="32"/>
        </w:rPr>
        <w:t>0</w:t>
      </w:r>
      <w:r>
        <w:rPr>
          <w:rFonts w:hint="eastAsia" w:ascii="仿宋" w:hAnsi="仿宋" w:eastAsia="仿宋" w:cs="仿宋"/>
          <w:spacing w:val="0"/>
          <w:kern w:val="0"/>
          <w:sz w:val="32"/>
          <w:szCs w:val="32"/>
          <w:lang w:val="en-US" w:eastAsia="zh-CN"/>
        </w:rPr>
        <w:t>.00万元持平</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highlight w:val="none"/>
        </w:rPr>
        <w:t>比上年决算数增加0万元，增长0%</w:t>
      </w:r>
      <w:r>
        <w:rPr>
          <w:rFonts w:hint="eastAsia" w:ascii="仿宋" w:hAnsi="仿宋" w:eastAsia="仿宋" w:cs="仿宋"/>
          <w:spacing w:val="0"/>
          <w:kern w:val="0"/>
          <w:sz w:val="32"/>
          <w:szCs w:val="32"/>
          <w:lang w:val="en-US" w:eastAsia="zh-CN"/>
        </w:rPr>
        <w:t>，主要是本单位没有公务用车运行费支出。</w:t>
      </w:r>
      <w:r>
        <w:rPr>
          <w:rFonts w:ascii="仿宋" w:hAnsi="仿宋" w:eastAsia="仿宋" w:cs="仿宋"/>
          <w:spacing w:val="0"/>
          <w:kern w:val="0"/>
          <w:sz w:val="32"/>
          <w:szCs w:val="32"/>
        </w:rPr>
        <w:t>截至2024年12月31日，本单位公务用车保有量为0 辆</w:t>
      </w:r>
      <w:r>
        <w:rPr>
          <w:rFonts w:hint="eastAsia" w:ascii="仿宋" w:hAnsi="仿宋" w:eastAsia="仿宋" w:cs="仿宋"/>
          <w:spacing w:val="0"/>
          <w:kern w:val="0"/>
          <w:sz w:val="32"/>
          <w:szCs w:val="32"/>
          <w:lang w:eastAsia="zh-CN"/>
        </w:rPr>
        <w:t>。</w:t>
      </w:r>
    </w:p>
    <w:p>
      <w:pPr>
        <w:pStyle w:val="28"/>
        <w:widowControl/>
        <w:spacing w:before="100" w:after="100" w:line="600" w:lineRule="atLeast"/>
        <w:ind w:left="0" w:right="0" w:firstLine="704"/>
        <w:jc w:val="left"/>
        <w:rPr>
          <w:rFonts w:hint="eastAsia" w:ascii="仿宋" w:hAnsi="仿宋" w:eastAsia="仿宋" w:cs="仿宋"/>
          <w:spacing w:val="0"/>
          <w:kern w:val="0"/>
          <w:sz w:val="32"/>
          <w:szCs w:val="32"/>
          <w:highlight w:val="yellow"/>
          <w:lang w:eastAsia="zh-CN"/>
        </w:rPr>
      </w:pPr>
      <w:r>
        <w:rPr>
          <w:rFonts w:ascii="仿宋" w:hAnsi="仿宋" w:eastAsia="仿宋" w:cs="仿宋"/>
          <w:spacing w:val="0"/>
          <w:kern w:val="0"/>
          <w:sz w:val="32"/>
          <w:szCs w:val="32"/>
        </w:rPr>
        <w:t>（三）公务接待费支出0</w:t>
      </w:r>
      <w:r>
        <w:rPr>
          <w:rFonts w:hint="eastAsia" w:ascii="仿宋" w:hAnsi="仿宋" w:eastAsia="仿宋" w:cs="仿宋"/>
          <w:spacing w:val="0"/>
          <w:kern w:val="0"/>
          <w:sz w:val="32"/>
          <w:szCs w:val="32"/>
          <w:lang w:val="en-US" w:eastAsia="zh-CN"/>
        </w:rPr>
        <w:t>.00</w:t>
      </w:r>
      <w:r>
        <w:rPr>
          <w:rFonts w:ascii="仿宋" w:hAnsi="仿宋" w:eastAsia="仿宋" w:cs="仿宋"/>
          <w:spacing w:val="0"/>
          <w:kern w:val="0"/>
          <w:sz w:val="32"/>
          <w:szCs w:val="32"/>
        </w:rPr>
        <w:t>万元，</w:t>
      </w:r>
      <w:r>
        <w:rPr>
          <w:rFonts w:hint="eastAsia" w:ascii="仿宋" w:hAnsi="仿宋" w:eastAsia="仿宋" w:cs="仿宋"/>
          <w:spacing w:val="0"/>
          <w:kern w:val="0"/>
          <w:sz w:val="32"/>
          <w:szCs w:val="32"/>
          <w:lang w:val="en-US" w:eastAsia="zh-CN"/>
        </w:rPr>
        <w:t>与全年预算</w:t>
      </w:r>
      <w:r>
        <w:rPr>
          <w:rFonts w:ascii="仿宋" w:hAnsi="仿宋" w:eastAsia="仿宋" w:cs="仿宋"/>
          <w:spacing w:val="0"/>
          <w:kern w:val="0"/>
          <w:sz w:val="32"/>
          <w:szCs w:val="32"/>
        </w:rPr>
        <w:t>0</w:t>
      </w:r>
      <w:r>
        <w:rPr>
          <w:rFonts w:hint="eastAsia" w:ascii="仿宋" w:hAnsi="仿宋" w:eastAsia="仿宋" w:cs="仿宋"/>
          <w:spacing w:val="0"/>
          <w:kern w:val="0"/>
          <w:sz w:val="32"/>
          <w:szCs w:val="32"/>
          <w:lang w:val="en-US" w:eastAsia="zh-CN"/>
        </w:rPr>
        <w:t>.00万元持平，</w:t>
      </w:r>
      <w:r>
        <w:rPr>
          <w:rFonts w:hint="eastAsia" w:ascii="仿宋" w:hAnsi="仿宋" w:eastAsia="仿宋" w:cs="仿宋"/>
          <w:spacing w:val="0"/>
          <w:kern w:val="0"/>
          <w:sz w:val="32"/>
          <w:szCs w:val="32"/>
          <w:highlight w:val="none"/>
        </w:rPr>
        <w:t>比上年决算数增加0万元，增长0%</w:t>
      </w: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lang w:val="en-US" w:eastAsia="zh-CN"/>
        </w:rPr>
        <w:t>主要是本单位无公务接待活动。累计接待0批次、0人次。</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01" w:name="_Toc256000025"/>
      <w:bookmarkStart w:id="102" w:name="_Toc256000056"/>
      <w:bookmarkStart w:id="103" w:name="_Toc256000087"/>
      <w:bookmarkStart w:id="104" w:name="_Toc256000118"/>
      <w:r>
        <w:rPr>
          <w:rFonts w:ascii="黑体" w:hAnsi="黑体" w:eastAsia="黑体" w:cs="黑体"/>
          <w:b/>
          <w:spacing w:val="0"/>
        </w:rPr>
        <w:t>八、预算绩效情况说明</w:t>
      </w:r>
      <w:bookmarkEnd w:id="101"/>
      <w:bookmarkEnd w:id="102"/>
      <w:bookmarkEnd w:id="103"/>
      <w:bookmarkEnd w:id="104"/>
    </w:p>
    <w:p>
      <w:pPr>
        <w:pStyle w:val="28"/>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highlight w:val="none"/>
        </w:rPr>
        <w:t>根据预算绩效管理要求，本单位组织对2024年度</w:t>
      </w:r>
      <w:r>
        <w:rPr>
          <w:rFonts w:hint="eastAsia" w:ascii="仿宋" w:hAnsi="仿宋" w:eastAsia="仿宋" w:cs="仿宋"/>
          <w:spacing w:val="0"/>
          <w:kern w:val="0"/>
          <w:sz w:val="32"/>
          <w:szCs w:val="32"/>
          <w:highlight w:val="none"/>
          <w:lang w:val="en-US" w:eastAsia="zh-CN"/>
        </w:rPr>
        <w:t>1</w:t>
      </w:r>
      <w:r>
        <w:rPr>
          <w:rFonts w:ascii="仿宋" w:hAnsi="仿宋" w:eastAsia="仿宋" w:cs="仿宋"/>
          <w:spacing w:val="0"/>
          <w:kern w:val="0"/>
          <w:sz w:val="32"/>
          <w:szCs w:val="32"/>
          <w:highlight w:val="none"/>
        </w:rPr>
        <w:t>个项目实施单位自评，</w:t>
      </w:r>
      <w:r>
        <w:rPr>
          <w:rFonts w:hint="eastAsia" w:ascii="仿宋" w:hAnsi="仿宋" w:eastAsia="仿宋" w:cs="仿宋"/>
          <w:spacing w:val="0"/>
          <w:kern w:val="0"/>
          <w:sz w:val="32"/>
          <w:szCs w:val="32"/>
          <w:highlight w:val="none"/>
          <w:lang w:val="en-US" w:eastAsia="zh-CN"/>
        </w:rPr>
        <w:t>项目名称为</w:t>
      </w:r>
      <w:r>
        <w:rPr>
          <w:rFonts w:hint="eastAsia" w:ascii="仿宋" w:hAnsi="仿宋" w:eastAsia="仿宋" w:cs="仿宋"/>
          <w:spacing w:val="0"/>
          <w:kern w:val="0"/>
          <w:sz w:val="32"/>
          <w:szCs w:val="32"/>
          <w:highlight w:val="none"/>
        </w:rPr>
        <w:t>义务教育阶段家庭经济困难学生营养餐补助</w:t>
      </w:r>
      <w:r>
        <w:rPr>
          <w:rFonts w:ascii="仿宋" w:hAnsi="仿宋" w:eastAsia="仿宋" w:cs="仿宋"/>
          <w:spacing w:val="0"/>
          <w:kern w:val="0"/>
          <w:sz w:val="32"/>
          <w:szCs w:val="32"/>
          <w:highlight w:val="none"/>
        </w:rPr>
        <w:t>，财政拨款资金共计</w:t>
      </w:r>
      <w:r>
        <w:rPr>
          <w:rFonts w:hint="eastAsia" w:ascii="仿宋" w:hAnsi="仿宋" w:eastAsia="仿宋" w:cs="仿宋"/>
          <w:spacing w:val="0"/>
          <w:kern w:val="0"/>
          <w:sz w:val="32"/>
          <w:szCs w:val="32"/>
          <w:highlight w:val="none"/>
          <w:lang w:val="en-US" w:eastAsia="zh-CN"/>
        </w:rPr>
        <w:t>0.588</w:t>
      </w:r>
      <w:r>
        <w:rPr>
          <w:rFonts w:ascii="仿宋" w:hAnsi="仿宋" w:eastAsia="仿宋" w:cs="仿宋"/>
          <w:spacing w:val="0"/>
          <w:kern w:val="0"/>
          <w:sz w:val="32"/>
          <w:szCs w:val="32"/>
          <w:highlight w:val="none"/>
        </w:rPr>
        <w:t>万元。（《项目支出绩效自评表》详见附件）</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05" w:name="_Toc256000119"/>
      <w:bookmarkStart w:id="106" w:name="_Toc256000088"/>
      <w:bookmarkStart w:id="107" w:name="_Toc256000057"/>
      <w:bookmarkStart w:id="108" w:name="_Toc256000026"/>
      <w:r>
        <w:rPr>
          <w:rFonts w:ascii="黑体" w:hAnsi="黑体" w:eastAsia="黑体" w:cs="黑体"/>
          <w:b/>
          <w:spacing w:val="0"/>
        </w:rPr>
        <w:t>九、其他重要事项说明</w:t>
      </w:r>
      <w:bookmarkEnd w:id="105"/>
      <w:bookmarkEnd w:id="106"/>
      <w:bookmarkEnd w:id="107"/>
      <w:bookmarkEnd w:id="108"/>
    </w:p>
    <w:p>
      <w:pPr>
        <w:pStyle w:val="28"/>
        <w:widowControl/>
        <w:spacing w:before="100" w:after="100" w:line="600" w:lineRule="atLeast"/>
        <w:ind w:left="0" w:right="0" w:firstLine="643"/>
        <w:jc w:val="left"/>
        <w:rPr>
          <w:rStyle w:val="30"/>
          <w:rFonts w:ascii="楷体" w:hAnsi="楷体" w:eastAsia="楷体" w:cs="楷体"/>
          <w:b/>
          <w:bCs/>
          <w:spacing w:val="0"/>
          <w:kern w:val="0"/>
          <w:sz w:val="32"/>
          <w:szCs w:val="32"/>
        </w:rPr>
      </w:pPr>
      <w:r>
        <w:rPr>
          <w:rStyle w:val="30"/>
          <w:rFonts w:ascii="楷体" w:hAnsi="楷体" w:eastAsia="楷体" w:cs="楷体"/>
          <w:b/>
          <w:bCs/>
          <w:spacing w:val="0"/>
          <w:kern w:val="0"/>
          <w:sz w:val="32"/>
          <w:szCs w:val="32"/>
        </w:rPr>
        <w:t>（一）机关运行经费 </w:t>
      </w:r>
    </w:p>
    <w:p>
      <w:pPr>
        <w:pStyle w:val="28"/>
        <w:widowControl/>
        <w:spacing w:before="100" w:after="100" w:line="600" w:lineRule="atLeast"/>
        <w:ind w:left="0" w:right="0" w:firstLine="704"/>
        <w:jc w:val="left"/>
        <w:rPr>
          <w:rFonts w:hint="eastAsia" w:ascii="仿宋" w:hAnsi="仿宋" w:eastAsia="仿宋" w:cs="仿宋"/>
          <w:spacing w:val="0"/>
          <w:kern w:val="0"/>
          <w:sz w:val="32"/>
          <w:szCs w:val="32"/>
          <w:highlight w:val="none"/>
          <w:lang w:eastAsia="zh-CN"/>
        </w:rPr>
      </w:pPr>
      <w:r>
        <w:rPr>
          <w:rFonts w:hint="eastAsia" w:ascii="仿宋" w:hAnsi="仿宋" w:eastAsia="仿宋" w:cs="仿宋"/>
          <w:spacing w:val="0"/>
          <w:kern w:val="0"/>
          <w:sz w:val="32"/>
          <w:szCs w:val="32"/>
          <w:highlight w:val="none"/>
        </w:rPr>
        <w:t>2024年度机关运行经费支出0万元，比上年决算数增加0万元，增长0%</w:t>
      </w:r>
      <w:r>
        <w:rPr>
          <w:rFonts w:hint="eastAsia" w:ascii="仿宋" w:hAnsi="仿宋" w:eastAsia="仿宋" w:cs="仿宋"/>
          <w:spacing w:val="0"/>
          <w:kern w:val="0"/>
          <w:sz w:val="32"/>
          <w:szCs w:val="32"/>
          <w:highlight w:val="none"/>
          <w:lang w:eastAsia="zh-CN"/>
        </w:rPr>
        <w:t>。</w:t>
      </w:r>
    </w:p>
    <w:p>
      <w:pPr>
        <w:pStyle w:val="28"/>
        <w:widowControl/>
        <w:spacing w:before="100" w:after="100" w:line="600" w:lineRule="atLeast"/>
        <w:ind w:left="0" w:right="0" w:firstLine="704"/>
        <w:jc w:val="left"/>
        <w:rPr>
          <w:rFonts w:hint="eastAsia" w:ascii="仿宋" w:hAnsi="仿宋" w:eastAsia="仿宋" w:cs="仿宋"/>
          <w:spacing w:val="0"/>
          <w:kern w:val="0"/>
          <w:sz w:val="32"/>
          <w:szCs w:val="32"/>
          <w:highlight w:val="none"/>
        </w:rPr>
      </w:pPr>
      <w:r>
        <w:rPr>
          <w:rFonts w:hint="eastAsia" w:ascii="仿宋" w:hAnsi="仿宋" w:eastAsia="仿宋" w:cs="仿宋"/>
          <w:spacing w:val="0"/>
          <w:kern w:val="0"/>
          <w:sz w:val="32"/>
          <w:szCs w:val="32"/>
          <w:highlight w:val="none"/>
        </w:rPr>
        <w:t>本单位为事业单位</w:t>
      </w:r>
      <w:r>
        <w:rPr>
          <w:rFonts w:hint="eastAsia" w:ascii="仿宋" w:hAnsi="仿宋" w:eastAsia="仿宋" w:cs="仿宋"/>
          <w:spacing w:val="0"/>
          <w:kern w:val="0"/>
          <w:sz w:val="32"/>
          <w:szCs w:val="32"/>
          <w:highlight w:val="none"/>
          <w:lang w:eastAsia="zh-CN"/>
        </w:rPr>
        <w:t>，</w:t>
      </w:r>
      <w:r>
        <w:rPr>
          <w:rFonts w:hint="eastAsia" w:ascii="仿宋" w:hAnsi="仿宋" w:eastAsia="仿宋" w:cs="仿宋"/>
          <w:spacing w:val="0"/>
          <w:kern w:val="0"/>
          <w:sz w:val="32"/>
          <w:szCs w:val="32"/>
          <w:highlight w:val="none"/>
        </w:rPr>
        <w:t>没有机关运行经费</w:t>
      </w:r>
      <w:r>
        <w:rPr>
          <w:rFonts w:ascii="仿宋" w:hAnsi="仿宋" w:eastAsia="仿宋" w:cs="仿宋"/>
          <w:spacing w:val="0"/>
          <w:kern w:val="0"/>
          <w:sz w:val="32"/>
          <w:szCs w:val="32"/>
          <w:highlight w:val="none"/>
        </w:rPr>
        <w:t>。</w:t>
      </w:r>
    </w:p>
    <w:p>
      <w:pPr>
        <w:pStyle w:val="28"/>
        <w:widowControl/>
        <w:spacing w:before="100" w:after="100" w:line="600" w:lineRule="atLeast"/>
        <w:ind w:left="0" w:right="0" w:firstLine="643"/>
        <w:jc w:val="left"/>
        <w:rPr>
          <w:rFonts w:ascii="Times New Roman" w:hAnsi="Times New Roman" w:eastAsia="Times New Roman" w:cs="Times New Roman"/>
          <w:kern w:val="0"/>
          <w:sz w:val="24"/>
        </w:rPr>
      </w:pPr>
      <w:r>
        <w:rPr>
          <w:rStyle w:val="30"/>
          <w:rFonts w:ascii="楷体" w:hAnsi="楷体" w:eastAsia="楷体" w:cs="楷体"/>
          <w:b/>
          <w:bCs/>
          <w:spacing w:val="0"/>
          <w:kern w:val="0"/>
          <w:sz w:val="32"/>
          <w:szCs w:val="32"/>
        </w:rPr>
        <w:t>（二）政府采购情况</w:t>
      </w:r>
    </w:p>
    <w:p>
      <w:pPr>
        <w:pStyle w:val="28"/>
        <w:widowControl/>
        <w:spacing w:before="100" w:after="100" w:line="600" w:lineRule="atLeast"/>
        <w:ind w:left="0" w:right="0" w:firstLine="704"/>
        <w:jc w:val="left"/>
        <w:rPr>
          <w:rFonts w:hint="eastAsia" w:ascii="仿宋" w:hAnsi="仿宋" w:eastAsia="仿宋" w:cs="仿宋"/>
          <w:spacing w:val="0"/>
          <w:kern w:val="0"/>
          <w:sz w:val="32"/>
          <w:szCs w:val="32"/>
          <w:highlight w:val="none"/>
        </w:rPr>
      </w:pPr>
      <w:r>
        <w:rPr>
          <w:rFonts w:hint="eastAsia" w:ascii="仿宋" w:hAnsi="仿宋" w:eastAsia="仿宋" w:cs="仿宋"/>
          <w:spacing w:val="0"/>
          <w:kern w:val="0"/>
          <w:sz w:val="32"/>
          <w:szCs w:val="32"/>
          <w:highlight w:val="none"/>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highlight w:val="none"/>
          <w:lang w:val="en-US" w:eastAsia="zh-CN"/>
        </w:rPr>
        <w:t>0</w:t>
      </w:r>
      <w:r>
        <w:rPr>
          <w:rFonts w:hint="eastAsia" w:ascii="仿宋" w:hAnsi="仿宋" w:eastAsia="仿宋" w:cs="仿宋"/>
          <w:spacing w:val="0"/>
          <w:kern w:val="0"/>
          <w:sz w:val="32"/>
          <w:szCs w:val="32"/>
          <w:highlight w:val="none"/>
        </w:rPr>
        <w:t>%，工程采购授予中小企业合同金额占工程支出金额的</w:t>
      </w:r>
      <w:r>
        <w:rPr>
          <w:rFonts w:hint="eastAsia" w:ascii="仿宋" w:hAnsi="仿宋" w:eastAsia="仿宋" w:cs="仿宋"/>
          <w:spacing w:val="0"/>
          <w:kern w:val="0"/>
          <w:sz w:val="32"/>
          <w:szCs w:val="32"/>
          <w:highlight w:val="none"/>
          <w:lang w:val="en-US" w:eastAsia="zh-CN"/>
        </w:rPr>
        <w:t>0</w:t>
      </w:r>
      <w:r>
        <w:rPr>
          <w:rFonts w:hint="eastAsia" w:ascii="仿宋" w:hAnsi="仿宋" w:eastAsia="仿宋" w:cs="仿宋"/>
          <w:spacing w:val="0"/>
          <w:kern w:val="0"/>
          <w:sz w:val="32"/>
          <w:szCs w:val="32"/>
          <w:highlight w:val="none"/>
        </w:rPr>
        <w:t>%，服务采购授予中小企业合同金额占服务支出金额的</w:t>
      </w:r>
      <w:r>
        <w:rPr>
          <w:rFonts w:hint="eastAsia" w:ascii="仿宋" w:hAnsi="仿宋" w:eastAsia="仿宋" w:cs="仿宋"/>
          <w:spacing w:val="0"/>
          <w:kern w:val="0"/>
          <w:sz w:val="32"/>
          <w:szCs w:val="32"/>
          <w:highlight w:val="none"/>
          <w:lang w:val="en-US" w:eastAsia="zh-CN"/>
        </w:rPr>
        <w:t>0</w:t>
      </w:r>
      <w:r>
        <w:rPr>
          <w:rFonts w:hint="eastAsia" w:ascii="仿宋" w:hAnsi="仿宋" w:eastAsia="仿宋" w:cs="仿宋"/>
          <w:spacing w:val="0"/>
          <w:kern w:val="0"/>
          <w:sz w:val="32"/>
          <w:szCs w:val="32"/>
          <w:highlight w:val="none"/>
        </w:rPr>
        <w:t>%</w:t>
      </w:r>
      <w:r>
        <w:rPr>
          <w:rFonts w:ascii="仿宋" w:hAnsi="仿宋" w:eastAsia="仿宋" w:cs="仿宋"/>
          <w:spacing w:val="0"/>
          <w:kern w:val="0"/>
          <w:sz w:val="32"/>
          <w:szCs w:val="32"/>
        </w:rPr>
        <w:t>。  </w:t>
      </w:r>
    </w:p>
    <w:p>
      <w:pPr>
        <w:pStyle w:val="28"/>
        <w:widowControl/>
        <w:spacing w:before="100" w:after="100" w:line="600" w:lineRule="atLeast"/>
        <w:ind w:left="0" w:right="0" w:firstLine="704"/>
        <w:jc w:val="left"/>
        <w:rPr>
          <w:rFonts w:hint="eastAsia" w:ascii="仿宋" w:hAnsi="仿宋" w:eastAsia="仿宋" w:cs="仿宋"/>
          <w:spacing w:val="0"/>
          <w:kern w:val="0"/>
          <w:sz w:val="32"/>
          <w:szCs w:val="32"/>
          <w:highlight w:val="none"/>
        </w:rPr>
      </w:pPr>
      <w:r>
        <w:rPr>
          <w:rFonts w:hint="eastAsia" w:ascii="仿宋" w:hAnsi="仿宋" w:eastAsia="仿宋" w:cs="仿宋"/>
          <w:spacing w:val="0"/>
          <w:kern w:val="0"/>
          <w:sz w:val="32"/>
          <w:szCs w:val="32"/>
          <w:highlight w:val="none"/>
        </w:rPr>
        <w:t>本单位2024年度没有政府采购支出</w:t>
      </w:r>
      <w:r>
        <w:rPr>
          <w:rFonts w:ascii="仿宋" w:hAnsi="仿宋" w:eastAsia="仿宋" w:cs="仿宋"/>
          <w:spacing w:val="0"/>
          <w:kern w:val="0"/>
          <w:sz w:val="32"/>
          <w:szCs w:val="32"/>
        </w:rPr>
        <w:t>。</w:t>
      </w:r>
    </w:p>
    <w:p>
      <w:pPr>
        <w:pStyle w:val="28"/>
        <w:widowControl/>
        <w:spacing w:before="100" w:after="100" w:line="600" w:lineRule="atLeast"/>
        <w:ind w:left="0" w:right="0" w:firstLine="707"/>
        <w:jc w:val="left"/>
        <w:rPr>
          <w:rFonts w:ascii="Times New Roman" w:hAnsi="Times New Roman" w:eastAsia="Times New Roman" w:cs="Times New Roman"/>
          <w:kern w:val="0"/>
          <w:sz w:val="24"/>
        </w:rPr>
      </w:pPr>
      <w:r>
        <w:rPr>
          <w:rStyle w:val="30"/>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28"/>
        <w:widowControl/>
        <w:spacing w:before="100" w:after="100" w:line="600" w:lineRule="atLeast"/>
        <w:ind w:left="0" w:right="0" w:firstLine="704"/>
        <w:jc w:val="left"/>
        <w:rPr>
          <w:rFonts w:ascii="仿宋" w:hAnsi="仿宋" w:eastAsia="仿宋" w:cs="仿宋"/>
          <w:spacing w:val="0"/>
          <w:kern w:val="0"/>
          <w:sz w:val="32"/>
          <w:szCs w:val="32"/>
        </w:rPr>
      </w:pPr>
      <w:r>
        <w:rPr>
          <w:rFonts w:ascii="仿宋" w:hAnsi="仿宋" w:eastAsia="仿宋" w:cs="仿宋"/>
          <w:spacing w:val="0"/>
          <w:kern w:val="0"/>
          <w:sz w:val="32"/>
          <w:szCs w:val="32"/>
        </w:rPr>
        <w:t xml:space="preserve">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   </w:t>
      </w: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36"/>
          <w:szCs w:val="36"/>
        </w:rPr>
      </w:pPr>
    </w:p>
    <w:p>
      <w:pPr>
        <w:pStyle w:val="3"/>
        <w:keepNext w:val="0"/>
        <w:keepLines w:val="0"/>
        <w:spacing w:before="100" w:after="100" w:line="240" w:lineRule="auto"/>
        <w:ind w:left="0" w:right="0" w:firstLine="0" w:firstLineChars="0"/>
        <w:jc w:val="center"/>
        <w:rPr>
          <w:rFonts w:ascii="黑体" w:hAnsi="黑体" w:eastAsia="黑体" w:cs="黑体"/>
          <w:b/>
          <w:spacing w:val="0"/>
          <w:sz w:val="36"/>
          <w:szCs w:val="36"/>
        </w:rPr>
      </w:pPr>
      <w:bookmarkStart w:id="109" w:name="_Toc256000089"/>
      <w:bookmarkStart w:id="110" w:name="_Toc256000027"/>
      <w:bookmarkStart w:id="111" w:name="_Toc256000058"/>
      <w:bookmarkStart w:id="112" w:name="_Toc256000120"/>
    </w:p>
    <w:p>
      <w:pPr>
        <w:pStyle w:val="3"/>
        <w:keepNext w:val="0"/>
        <w:keepLines w:val="0"/>
        <w:spacing w:before="100" w:after="100" w:line="240" w:lineRule="auto"/>
        <w:ind w:left="0" w:right="0" w:firstLine="0" w:firstLineChars="0"/>
        <w:jc w:val="center"/>
        <w:rPr>
          <w:rFonts w:ascii="黑体" w:hAnsi="黑体" w:eastAsia="黑体" w:cs="黑体"/>
          <w:b/>
          <w:spacing w:val="0"/>
          <w:sz w:val="36"/>
          <w:szCs w:val="36"/>
        </w:rPr>
      </w:pPr>
    </w:p>
    <w:p>
      <w:pPr>
        <w:pStyle w:val="3"/>
        <w:keepNext w:val="0"/>
        <w:keepLines w:val="0"/>
        <w:spacing w:before="100" w:after="100" w:line="240" w:lineRule="auto"/>
        <w:ind w:left="0" w:right="0" w:firstLine="0" w:firstLineChars="0"/>
        <w:jc w:val="center"/>
        <w:rPr>
          <w:rFonts w:ascii="黑体" w:hAnsi="黑体" w:eastAsia="黑体" w:cs="黑体"/>
          <w:b/>
          <w:spacing w:val="0"/>
          <w:sz w:val="36"/>
          <w:szCs w:val="36"/>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44"/>
          <w:szCs w:val="44"/>
        </w:rPr>
      </w:pPr>
      <w:r>
        <w:rPr>
          <w:rFonts w:ascii="黑体" w:hAnsi="黑体" w:eastAsia="黑体" w:cs="黑体"/>
          <w:b/>
          <w:spacing w:val="0"/>
          <w:sz w:val="44"/>
          <w:szCs w:val="44"/>
        </w:rPr>
        <w:t>第四部分</w:t>
      </w:r>
      <w:bookmarkEnd w:id="109"/>
      <w:bookmarkEnd w:id="110"/>
      <w:bookmarkEnd w:id="111"/>
      <w:bookmarkEnd w:id="112"/>
      <w:bookmarkStart w:id="113" w:name="_Toc256000059"/>
      <w:bookmarkStart w:id="114" w:name="_Toc256000090"/>
      <w:bookmarkStart w:id="115" w:name="_Toc256000121"/>
      <w:bookmarkStart w:id="116" w:name="_Toc256000028"/>
      <w:r>
        <w:rPr>
          <w:rFonts w:hint="eastAsia" w:ascii="黑体" w:hAnsi="黑体" w:eastAsia="黑体" w:cs="黑体"/>
          <w:b/>
          <w:spacing w:val="0"/>
          <w:sz w:val="44"/>
          <w:szCs w:val="44"/>
          <w:lang w:val="en-US" w:eastAsia="zh-CN"/>
        </w:rPr>
        <w:t xml:space="preserve"> </w:t>
      </w:r>
      <w:r>
        <w:rPr>
          <w:rFonts w:ascii="黑体" w:hAnsi="黑体" w:eastAsia="黑体" w:cs="黑体"/>
          <w:b/>
          <w:spacing w:val="0"/>
          <w:sz w:val="44"/>
          <w:szCs w:val="44"/>
        </w:rPr>
        <w:t>名词解释</w:t>
      </w:r>
      <w:bookmarkEnd w:id="113"/>
      <w:bookmarkEnd w:id="114"/>
      <w:bookmarkEnd w:id="115"/>
      <w:bookmarkEnd w:id="116"/>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center"/>
        <w:rPr>
          <w:rFonts w:ascii="Times New Roman" w:hAnsi="Times New Roman" w:eastAsia="Times New Roman" w:cs="Times New Roman"/>
          <w:kern w:val="0"/>
          <w:sz w:val="24"/>
        </w:rPr>
      </w:pPr>
    </w:p>
    <w:p>
      <w:pPr>
        <w:pStyle w:val="3"/>
        <w:keepNext w:val="0"/>
        <w:keepLines w:val="0"/>
        <w:spacing w:before="299" w:after="299" w:line="240" w:lineRule="auto"/>
        <w:ind w:firstLine="0" w:firstLineChars="0"/>
        <w:jc w:val="center"/>
        <w:rPr>
          <w:rFonts w:ascii="黑体" w:hAnsi="黑体" w:eastAsia="黑体" w:cs="黑体"/>
          <w:b/>
          <w:sz w:val="36"/>
          <w:szCs w:val="36"/>
        </w:rPr>
      </w:pPr>
      <w:bookmarkStart w:id="117" w:name="_Toc256000091"/>
      <w:bookmarkStart w:id="118" w:name="_Toc256000029"/>
      <w:bookmarkStart w:id="119" w:name="_Toc256000122"/>
      <w:bookmarkStart w:id="120" w:name="_Toc256000060"/>
    </w:p>
    <w:p>
      <w:pPr>
        <w:pStyle w:val="3"/>
        <w:keepNext w:val="0"/>
        <w:keepLines w:val="0"/>
        <w:spacing w:before="299" w:after="299" w:line="240" w:lineRule="auto"/>
        <w:ind w:firstLine="0" w:firstLineChars="0"/>
        <w:jc w:val="center"/>
        <w:rPr>
          <w:rFonts w:ascii="黑体" w:hAnsi="黑体" w:eastAsia="黑体" w:cs="黑体"/>
          <w:b/>
          <w:sz w:val="36"/>
          <w:szCs w:val="36"/>
        </w:rPr>
      </w:pPr>
    </w:p>
    <w:p>
      <w:pPr>
        <w:pStyle w:val="3"/>
        <w:keepNext w:val="0"/>
        <w:keepLines w:val="0"/>
        <w:spacing w:before="299" w:after="299" w:line="240" w:lineRule="auto"/>
        <w:ind w:firstLine="0" w:firstLineChars="0"/>
        <w:jc w:val="both"/>
        <w:rPr>
          <w:rFonts w:ascii="黑体" w:hAnsi="黑体" w:eastAsia="黑体" w:cs="黑体"/>
          <w:b/>
          <w:sz w:val="36"/>
          <w:szCs w:val="36"/>
        </w:rPr>
      </w:pPr>
    </w:p>
    <w:p>
      <w:pPr>
        <w:pStyle w:val="3"/>
        <w:keepNext w:val="0"/>
        <w:keepLines w:val="0"/>
        <w:spacing w:before="299" w:after="299" w:line="240" w:lineRule="auto"/>
        <w:ind w:firstLine="0" w:firstLineChars="0"/>
        <w:jc w:val="center"/>
        <w:rPr>
          <w:rFonts w:ascii="Times New Roman" w:hAnsi="Times New Roman" w:eastAsia="Times New Roman" w:cs="Times New Roman"/>
          <w:b/>
          <w:bCs/>
          <w:kern w:val="0"/>
          <w:sz w:val="44"/>
          <w:szCs w:val="44"/>
        </w:rPr>
      </w:pPr>
      <w:r>
        <w:rPr>
          <w:rFonts w:ascii="黑体" w:hAnsi="黑体" w:eastAsia="黑体" w:cs="黑体"/>
          <w:b/>
          <w:sz w:val="44"/>
          <w:szCs w:val="44"/>
        </w:rPr>
        <w:t>第五部分</w:t>
      </w:r>
      <w:bookmarkEnd w:id="117"/>
      <w:bookmarkEnd w:id="118"/>
      <w:bookmarkEnd w:id="119"/>
      <w:bookmarkEnd w:id="120"/>
      <w:bookmarkStart w:id="121" w:name="_Toc256000092"/>
      <w:bookmarkStart w:id="122" w:name="_Toc256000030"/>
      <w:bookmarkStart w:id="123" w:name="_Toc256000061"/>
      <w:bookmarkStart w:id="124" w:name="_Toc256000123"/>
      <w:r>
        <w:rPr>
          <w:rFonts w:hint="eastAsia" w:ascii="黑体" w:hAnsi="黑体" w:eastAsia="黑体" w:cs="黑体"/>
          <w:b/>
          <w:sz w:val="44"/>
          <w:szCs w:val="44"/>
          <w:lang w:val="en-US" w:eastAsia="zh-CN"/>
        </w:rPr>
        <w:t xml:space="preserve">  </w:t>
      </w:r>
      <w:r>
        <w:rPr>
          <w:rFonts w:ascii="黑体" w:hAnsi="黑体" w:eastAsia="黑体" w:cs="黑体"/>
          <w:b/>
          <w:sz w:val="44"/>
          <w:szCs w:val="44"/>
        </w:rPr>
        <w:t>附件</w:t>
      </w:r>
      <w:bookmarkEnd w:id="121"/>
      <w:bookmarkEnd w:id="122"/>
      <w:bookmarkEnd w:id="123"/>
      <w:bookmarkEnd w:id="124"/>
    </w:p>
    <w:tbl>
      <w:tblPr>
        <w:tblStyle w:val="22"/>
        <w:tblpPr w:leftFromText="180" w:rightFromText="180" w:vertAnchor="text" w:horzAnchor="page" w:tblpX="855" w:tblpY="296"/>
        <w:tblOverlap w:val="never"/>
        <w:tblW w:w="102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7"/>
        <w:gridCol w:w="404"/>
        <w:gridCol w:w="1584"/>
        <w:gridCol w:w="1891"/>
        <w:gridCol w:w="730"/>
        <w:gridCol w:w="721"/>
        <w:gridCol w:w="852"/>
        <w:gridCol w:w="824"/>
        <w:gridCol w:w="786"/>
        <w:gridCol w:w="731"/>
        <w:gridCol w:w="13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0" w:hRule="atLeast"/>
        </w:trPr>
        <w:tc>
          <w:tcPr>
            <w:tcW w:w="10268"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10268"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77" w:hRule="atLeast"/>
        </w:trPr>
        <w:tc>
          <w:tcPr>
            <w:tcW w:w="2335" w:type="dxa"/>
            <w:gridSpan w:val="3"/>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预算单位（盖章）：                                                                                                  </w:t>
            </w:r>
          </w:p>
        </w:tc>
        <w:tc>
          <w:tcPr>
            <w:tcW w:w="3342" w:type="dxa"/>
            <w:gridSpan w:val="3"/>
            <w:tcBorders>
              <w:top w:val="nil"/>
              <w:left w:val="nil"/>
              <w:bottom w:val="single" w:color="000000" w:sz="4" w:space="0"/>
              <w:right w:val="nil"/>
            </w:tcBorders>
            <w:shd w:val="clear" w:color="auto" w:fill="auto"/>
            <w:noWrap/>
            <w:vAlign w:val="center"/>
          </w:tcPr>
          <w:p>
            <w:pPr>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福建省厦门双十中学湖里分校</w:t>
            </w:r>
          </w:p>
        </w:tc>
        <w:tc>
          <w:tcPr>
            <w:tcW w:w="852"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824"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786"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2129" w:type="dxa"/>
            <w:gridSpan w:val="2"/>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751"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项目名称</w:t>
            </w:r>
          </w:p>
        </w:tc>
        <w:tc>
          <w:tcPr>
            <w:tcW w:w="158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义务教育阶段家庭经济困难学生营养餐补助</w:t>
            </w:r>
          </w:p>
        </w:tc>
        <w:tc>
          <w:tcPr>
            <w:tcW w:w="1891" w:type="dxa"/>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730" w:type="dxa"/>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721" w:type="dxa"/>
            <w:tcBorders>
              <w:top w:val="single" w:color="000000" w:sz="4" w:space="0"/>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自评年度</w:t>
            </w:r>
          </w:p>
        </w:tc>
        <w:tc>
          <w:tcPr>
            <w:tcW w:w="373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7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主管部门</w:t>
            </w:r>
          </w:p>
        </w:tc>
        <w:tc>
          <w:tcPr>
            <w:tcW w:w="4926"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湖里区教育局</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实施单位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福建省厦门双十中学湖里分校</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73" w:hRule="atLeast"/>
        </w:trPr>
        <w:tc>
          <w:tcPr>
            <w:tcW w:w="7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年度预算</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执行情况</w:t>
            </w: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c>
          <w:tcPr>
            <w:tcW w:w="1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年初预算数</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已调整数</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调整后</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预算数</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全年执行数</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执行率</w:t>
            </w:r>
          </w:p>
        </w:tc>
        <w:tc>
          <w:tcPr>
            <w:tcW w:w="786"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设置分值</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得分</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7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年度资金总额</w:t>
            </w:r>
          </w:p>
        </w:tc>
        <w:tc>
          <w:tcPr>
            <w:tcW w:w="189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rPr>
                <w:rFonts w:hint="eastAsia" w:ascii="宋体" w:hAnsi="宋体" w:eastAsia="宋体" w:cs="宋体"/>
                <w:i w:val="0"/>
                <w:iCs w:val="0"/>
                <w:color w:val="000000"/>
                <w:sz w:val="15"/>
                <w:szCs w:val="15"/>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jc w:val="center"/>
              <w:rPr>
                <w:rFonts w:hint="eastAsia" w:ascii="宋体" w:hAnsi="宋体" w:eastAsia="宋体" w:cs="宋体"/>
                <w:i w:val="0"/>
                <w:iCs w:val="0"/>
                <w:color w:val="000000"/>
                <w:sz w:val="15"/>
                <w:szCs w:val="15"/>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0.588</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0.348</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5.92%</w:t>
            </w:r>
          </w:p>
        </w:tc>
        <w:tc>
          <w:tcPr>
            <w:tcW w:w="786"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73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无（2024年9月秋季新开办）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7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其中：当年财政拨款</w:t>
            </w:r>
          </w:p>
        </w:tc>
        <w:tc>
          <w:tcPr>
            <w:tcW w:w="189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rPr>
                <w:rFonts w:hint="eastAsia" w:ascii="宋体" w:hAnsi="宋体" w:eastAsia="宋体" w:cs="宋体"/>
                <w:i w:val="0"/>
                <w:iCs w:val="0"/>
                <w:color w:val="000000"/>
                <w:sz w:val="15"/>
                <w:szCs w:val="15"/>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jc w:val="center"/>
              <w:rPr>
                <w:rFonts w:hint="eastAsia" w:ascii="宋体" w:hAnsi="宋体" w:eastAsia="宋体" w:cs="宋体"/>
                <w:i w:val="0"/>
                <w:iCs w:val="0"/>
                <w:color w:val="000000"/>
                <w:sz w:val="15"/>
                <w:szCs w:val="15"/>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0.588</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0.348</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5.92%</w:t>
            </w:r>
          </w:p>
        </w:tc>
        <w:tc>
          <w:tcPr>
            <w:tcW w:w="786"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无（2024年9月秋季新开办）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7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 xml:space="preserve">     上年结转资金</w:t>
            </w:r>
          </w:p>
        </w:tc>
        <w:tc>
          <w:tcPr>
            <w:tcW w:w="1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786"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7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 xml:space="preserve">     其他资金</w:t>
            </w:r>
          </w:p>
        </w:tc>
        <w:tc>
          <w:tcPr>
            <w:tcW w:w="1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786"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年度</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总体</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目标</w:t>
            </w:r>
          </w:p>
        </w:tc>
        <w:tc>
          <w:tcPr>
            <w:tcW w:w="53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预期目标</w:t>
            </w:r>
          </w:p>
        </w:tc>
        <w:tc>
          <w:tcPr>
            <w:tcW w:w="45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2" w:hRule="atLeast"/>
        </w:trPr>
        <w:tc>
          <w:tcPr>
            <w:tcW w:w="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533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2024年完成春、秋两季关于我区义务教育阶段公办校（学校提供午餐）家庭经济困难学生营养餐补助对象审核及资金下拨。</w:t>
            </w:r>
          </w:p>
        </w:tc>
        <w:tc>
          <w:tcPr>
            <w:tcW w:w="459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2024年完成春、秋两季关于我区义务教育阶段公办校（学校提供午餐）</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91" w:hRule="atLeast"/>
        </w:trPr>
        <w:tc>
          <w:tcPr>
            <w:tcW w:w="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533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459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2" w:hRule="atLeast"/>
        </w:trPr>
        <w:tc>
          <w:tcPr>
            <w:tcW w:w="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c>
          <w:tcPr>
            <w:tcW w:w="4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一级指标</w:t>
            </w: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二级指标</w:t>
            </w:r>
          </w:p>
        </w:tc>
        <w:tc>
          <w:tcPr>
            <w:tcW w:w="1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三级指标</w:t>
            </w:r>
          </w:p>
        </w:tc>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指标类型</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绩效</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目标值</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实际完成值</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完成比例</w:t>
            </w:r>
          </w:p>
        </w:tc>
        <w:tc>
          <w:tcPr>
            <w:tcW w:w="786"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设置分值</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得分</w:t>
            </w:r>
          </w:p>
        </w:tc>
        <w:tc>
          <w:tcPr>
            <w:tcW w:w="1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绩</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效</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指</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标</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完</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成</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情</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况</w:t>
            </w:r>
          </w:p>
        </w:tc>
        <w:tc>
          <w:tcPr>
            <w:tcW w:w="40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产出指标</w:t>
            </w: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数量指标</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审核义务教育阶段</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阶段受助学生</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72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852"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10.00%</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73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无（2024年9月秋季新开办）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5"/>
                <w:szCs w:val="15"/>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数量指标</w:t>
            </w:r>
          </w:p>
        </w:tc>
        <w:tc>
          <w:tcPr>
            <w:tcW w:w="1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全年营养餐补助人数</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72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852"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10.00%</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73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无（2024年9月秋季新开办）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5"/>
                <w:szCs w:val="15"/>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成本指标</w:t>
            </w:r>
          </w:p>
        </w:tc>
        <w:tc>
          <w:tcPr>
            <w:tcW w:w="1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营养餐发放标准</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6/餐</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6/餐</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100.00%</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无（2024年9月秋季新开办）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4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5"/>
                <w:szCs w:val="15"/>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时效指标</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义务教育困难生资</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助资金下拨及时率</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100.00%</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无（2024年9月秋季新开办）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2" w:hRule="atLeast"/>
        </w:trPr>
        <w:tc>
          <w:tcPr>
            <w:tcW w:w="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满意度</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指标</w:t>
            </w:r>
          </w:p>
        </w:tc>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服务对象满意度指标</w:t>
            </w:r>
          </w:p>
        </w:tc>
        <w:tc>
          <w:tcPr>
            <w:tcW w:w="1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受资助对象满意度</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定量</w:t>
            </w:r>
          </w:p>
        </w:tc>
        <w:tc>
          <w:tcPr>
            <w:tcW w:w="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100.00%</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731"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无（2024年9月秋季新开办）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6" w:hRule="atLeast"/>
        </w:trPr>
        <w:tc>
          <w:tcPr>
            <w:tcW w:w="735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总分</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1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48" w:hRule="atLeast"/>
        </w:trPr>
        <w:tc>
          <w:tcPr>
            <w:tcW w:w="1026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   综合确定，准确反映项目的产出和效益。</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0"/>
    </w:tbl>
    <w:p>
      <w:pPr>
        <w:keepNext w:val="0"/>
        <w:keepLines w:val="0"/>
        <w:pageBreakBefore w:val="0"/>
        <w:widowControl w:val="0"/>
        <w:tabs>
          <w:tab w:val="left" w:pos="8415"/>
        </w:tabs>
        <w:kinsoku/>
        <w:wordWrap/>
        <w:overflowPunct/>
        <w:topLinePunct w:val="0"/>
        <w:autoSpaceDE/>
        <w:autoSpaceDN/>
        <w:bidi w:val="0"/>
        <w:adjustRightInd/>
        <w:snapToGrid/>
        <w:textAlignment w:val="auto"/>
      </w:pPr>
    </w:p>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10" w:type="default"/>
      <w:pgSz w:w="11906" w:h="16838"/>
      <w:pgMar w:top="567" w:right="1083" w:bottom="567"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_GB2312">
    <w:altName w:val="Times New Roman"/>
    <w:panose1 w:val="00000000000000000000"/>
    <w:charset w:val="00"/>
    <w:family w:val="roman"/>
    <w:pitch w:val="default"/>
    <w:sig w:usb0="00000000" w:usb1="00000000" w:usb2="00000000" w:usb3="00000000" w:csb0="0000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13</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23</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28</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30</w:t>
    </w:r>
    <w:r>
      <w:rPr>
        <w:rFonts w:ascii="宋体" w:hAnsi="宋体" w:eastAsia="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42</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FE0BEC"/>
    <w:multiLevelType w:val="singleLevel"/>
    <w:tmpl w:val="ECFE0BEC"/>
    <w:lvl w:ilvl="0" w:tentative="0">
      <w:start w:val="1"/>
      <w:numFmt w:val="chineseCounting"/>
      <w:suff w:val="nothing"/>
      <w:lvlText w:val="（%1）"/>
      <w:lvlJc w:val="left"/>
      <w:rPr>
        <w:rFonts w:hint="eastAsia"/>
      </w:rPr>
    </w:lvl>
  </w:abstractNum>
  <w:abstractNum w:abstractNumId="1">
    <w:nsid w:val="3DDD8887"/>
    <w:multiLevelType w:val="singleLevel"/>
    <w:tmpl w:val="3DDD8887"/>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C5EE4"/>
    <w:rsid w:val="02A02D27"/>
    <w:rsid w:val="0321400D"/>
    <w:rsid w:val="0BA73F8A"/>
    <w:rsid w:val="0DDA6184"/>
    <w:rsid w:val="0F3E7A45"/>
    <w:rsid w:val="0FB83603"/>
    <w:rsid w:val="16534A94"/>
    <w:rsid w:val="18273A1C"/>
    <w:rsid w:val="18A230A3"/>
    <w:rsid w:val="198C1D89"/>
    <w:rsid w:val="1BC5039F"/>
    <w:rsid w:val="1DCB4E4A"/>
    <w:rsid w:val="1DDC45B8"/>
    <w:rsid w:val="207E4955"/>
    <w:rsid w:val="217575A6"/>
    <w:rsid w:val="27047532"/>
    <w:rsid w:val="294D4765"/>
    <w:rsid w:val="29912BFB"/>
    <w:rsid w:val="2C4E2ECE"/>
    <w:rsid w:val="31FA5FE9"/>
    <w:rsid w:val="33064502"/>
    <w:rsid w:val="33115DBD"/>
    <w:rsid w:val="345618A1"/>
    <w:rsid w:val="367B5207"/>
    <w:rsid w:val="37765730"/>
    <w:rsid w:val="3D5A0C19"/>
    <w:rsid w:val="3E8649A0"/>
    <w:rsid w:val="41074BBC"/>
    <w:rsid w:val="439118C8"/>
    <w:rsid w:val="467C1C64"/>
    <w:rsid w:val="485D29BF"/>
    <w:rsid w:val="487D6CF9"/>
    <w:rsid w:val="4AEB3B3F"/>
    <w:rsid w:val="4DBF3147"/>
    <w:rsid w:val="4DF25957"/>
    <w:rsid w:val="52283E9B"/>
    <w:rsid w:val="53EF055A"/>
    <w:rsid w:val="55AF2380"/>
    <w:rsid w:val="570861EB"/>
    <w:rsid w:val="586E02D0"/>
    <w:rsid w:val="58BB475E"/>
    <w:rsid w:val="58F75FAB"/>
    <w:rsid w:val="5C610F85"/>
    <w:rsid w:val="5D7E7207"/>
    <w:rsid w:val="60B371C8"/>
    <w:rsid w:val="616539DD"/>
    <w:rsid w:val="63C2750E"/>
    <w:rsid w:val="65053D6A"/>
    <w:rsid w:val="666F1DE3"/>
    <w:rsid w:val="67042BD4"/>
    <w:rsid w:val="6951757E"/>
    <w:rsid w:val="69E84DCE"/>
    <w:rsid w:val="6B4B5CDE"/>
    <w:rsid w:val="6BC3301D"/>
    <w:rsid w:val="6C423AF6"/>
    <w:rsid w:val="70F1359C"/>
    <w:rsid w:val="7379166A"/>
    <w:rsid w:val="777032C5"/>
    <w:rsid w:val="78B5771A"/>
    <w:rsid w:val="78BA0FF9"/>
    <w:rsid w:val="791D12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3">
    <w:name w:val="heading 2"/>
    <w:basedOn w:val="4"/>
    <w:next w:val="4"/>
    <w:qFormat/>
    <w:uiPriority w:val="0"/>
    <w:pPr>
      <w:keepNext/>
      <w:keepLines/>
      <w:spacing w:before="260" w:after="260" w:line="416" w:lineRule="auto"/>
      <w:outlineLvl w:val="1"/>
    </w:pPr>
    <w:rPr>
      <w:rFonts w:ascii="Arial" w:hAnsi="Arial" w:eastAsia="仿宋"/>
      <w:bCs/>
      <w:sz w:val="32"/>
      <w:szCs w:val="32"/>
    </w:rPr>
  </w:style>
  <w:style w:type="paragraph" w:styleId="5">
    <w:name w:val="heading 3"/>
    <w:basedOn w:val="4"/>
    <w:next w:val="4"/>
    <w:link w:val="27"/>
    <w:qFormat/>
    <w:uiPriority w:val="0"/>
    <w:pPr>
      <w:keepNext/>
      <w:keepLines/>
      <w:spacing w:before="260" w:after="260" w:line="416" w:lineRule="auto"/>
      <w:outlineLvl w:val="2"/>
    </w:pPr>
    <w:rPr>
      <w:rFonts w:eastAsia="仿宋"/>
      <w:bCs/>
      <w:sz w:val="32"/>
      <w:szCs w:val="32"/>
    </w:rPr>
  </w:style>
  <w:style w:type="paragraph" w:styleId="6">
    <w:name w:val="heading 4"/>
    <w:basedOn w:val="4"/>
    <w:next w:val="4"/>
    <w:link w:val="23"/>
    <w:qFormat/>
    <w:uiPriority w:val="0"/>
    <w:pPr>
      <w:keepNext/>
      <w:keepLines/>
      <w:spacing w:before="280" w:after="290" w:line="376" w:lineRule="auto"/>
      <w:outlineLvl w:val="3"/>
    </w:pPr>
    <w:rPr>
      <w:rFonts w:ascii="Cambria" w:hAnsi="Cambria" w:eastAsia="仿宋"/>
      <w:bCs/>
      <w:sz w:val="32"/>
      <w:szCs w:val="28"/>
    </w:rPr>
  </w:style>
  <w:style w:type="character" w:default="1" w:styleId="19">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4">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qFormat/>
    <w:uiPriority w:val="0"/>
    <w:pPr>
      <w:ind w:left="840"/>
      <w:jc w:val="left"/>
    </w:pPr>
    <w:rPr>
      <w:sz w:val="20"/>
      <w:szCs w:val="20"/>
    </w:rPr>
  </w:style>
  <w:style w:type="paragraph" w:styleId="10">
    <w:name w:val="toc 3"/>
    <w:next w:val="5"/>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1">
    <w:name w:val="toc 8"/>
    <w:basedOn w:val="1"/>
    <w:next w:val="1"/>
    <w:qFormat/>
    <w:uiPriority w:val="0"/>
    <w:pPr>
      <w:ind w:left="1470"/>
      <w:jc w:val="left"/>
    </w:pPr>
    <w:rPr>
      <w:sz w:val="20"/>
      <w:szCs w:val="20"/>
    </w:rPr>
  </w:style>
  <w:style w:type="paragraph" w:styleId="12">
    <w:name w:val="footer"/>
    <w:basedOn w:val="1"/>
    <w:link w:val="25"/>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next w:val="4"/>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next w:val="4"/>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8">
    <w:name w:val="toc 9"/>
    <w:basedOn w:val="1"/>
    <w:next w:val="1"/>
    <w:qFormat/>
    <w:uiPriority w:val="0"/>
    <w:pPr>
      <w:ind w:left="1680"/>
      <w:jc w:val="left"/>
    </w:pPr>
    <w:rPr>
      <w:sz w:val="20"/>
      <w:szCs w:val="20"/>
    </w:rPr>
  </w:style>
  <w:style w:type="character" w:styleId="20">
    <w:name w:val="page number"/>
    <w:basedOn w:val="19"/>
    <w:qFormat/>
    <w:uiPriority w:val="0"/>
  </w:style>
  <w:style w:type="character" w:styleId="21">
    <w:name w:val="Hyperlink"/>
    <w:qFormat/>
    <w:uiPriority w:val="0"/>
    <w:rPr>
      <w:rFonts w:ascii="宋体" w:hAnsi="宋体" w:eastAsia="仿宋" w:cs="Times New Roman"/>
      <w:kern w:val="2"/>
      <w:sz w:val="32"/>
      <w:szCs w:val="32"/>
      <w:lang w:val="en-US" w:eastAsia="zh-CN" w:bidi="ar-SA"/>
    </w:rPr>
  </w:style>
  <w:style w:type="character" w:customStyle="1" w:styleId="23">
    <w:name w:val="标题 4 字符"/>
    <w:basedOn w:val="19"/>
    <w:link w:val="6"/>
    <w:qFormat/>
    <w:uiPriority w:val="0"/>
    <w:rPr>
      <w:rFonts w:ascii="Cambria" w:hAnsi="Cambria" w:eastAsia="仿宋"/>
      <w:bCs/>
      <w:kern w:val="2"/>
      <w:sz w:val="32"/>
      <w:szCs w:val="28"/>
    </w:rPr>
  </w:style>
  <w:style w:type="character" w:customStyle="1" w:styleId="24">
    <w:name w:val="无间隔 字符"/>
    <w:link w:val="4"/>
    <w:qFormat/>
    <w:locked/>
    <w:uiPriority w:val="0"/>
    <w:rPr>
      <w:rFonts w:eastAsia="仿宋_GB2312"/>
      <w:sz w:val="30"/>
      <w:szCs w:val="22"/>
      <w:lang w:bidi="ar-SA"/>
    </w:rPr>
  </w:style>
  <w:style w:type="character" w:customStyle="1" w:styleId="25">
    <w:name w:val="页脚 字符"/>
    <w:basedOn w:val="19"/>
    <w:link w:val="12"/>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字符"/>
    <w:basedOn w:val="19"/>
    <w:link w:val="5"/>
    <w:qFormat/>
    <w:uiPriority w:val="0"/>
    <w:rPr>
      <w:rFonts w:eastAsia="仿宋"/>
      <w:bCs/>
      <w:kern w:val="2"/>
      <w:sz w:val="32"/>
      <w:szCs w:val="32"/>
    </w:rPr>
  </w:style>
  <w:style w:type="paragraph" w:customStyle="1" w:styleId="28">
    <w:name w:val="MsoNormal"/>
    <w:basedOn w:val="1"/>
    <w:qFormat/>
    <w:uiPriority w:val="0"/>
  </w:style>
  <w:style w:type="paragraph" w:customStyle="1" w:styleId="29">
    <w:name w:val="p"/>
    <w:basedOn w:val="1"/>
    <w:qFormat/>
    <w:uiPriority w:val="0"/>
  </w:style>
  <w:style w:type="character" w:customStyle="1" w:styleId="30">
    <w:name w:val="15"/>
    <w:basedOn w:val="19"/>
    <w:qFormat/>
    <w:uiPriority w:val="0"/>
  </w:style>
  <w:style w:type="paragraph" w:customStyle="1" w:styleId="31">
    <w:name w:val="正文-公1"/>
    <w:basedOn w:val="32"/>
    <w:next w:val="1"/>
    <w:qFormat/>
    <w:uiPriority w:val="0"/>
    <w:pPr>
      <w:ind w:firstLine="200" w:firstLineChars="200"/>
    </w:pPr>
  </w:style>
  <w:style w:type="paragraph" w:customStyle="1" w:styleId="32">
    <w:name w:val="正文 New New New New New New New New New New New New New New New New New New New New New New New New New New New New New New New New New New New New New New New New New New New New New New New New New New New New New New New New New New New New New New Ne"/>
    <w:next w:val="31"/>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10072</Words>
  <Characters>11965</Characters>
  <Lines>1</Lines>
  <Paragraphs>1</Paragraphs>
  <TotalTime>0</TotalTime>
  <ScaleCrop>false</ScaleCrop>
  <LinksUpToDate>false</LinksUpToDate>
  <CharactersWithSpaces>12959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2025-09-16T04:48:08Z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97CF8E9790D64862A5DF6372CD0C19D3_13</vt:lpwstr>
  </property>
  <property fmtid="{D5CDD505-2E9C-101B-9397-08002B2CF9AE}" pid="3" name="KSOProductBuildVer">
    <vt:lpwstr>2052-11.8.2.8053</vt:lpwstr>
  </property>
  <property fmtid="{D5CDD505-2E9C-101B-9397-08002B2CF9AE}" pid="4" name="KSOTemplateDocerSaveRecord">
    <vt:lpwstr>eyJoZGlkIjoiMTU1NjIxNTVjNTg0NGZlZjdhNTMyYTU0ZjRiYmZmNWUiLCJ1c2VySWQiOiIyMzM1MzI4MTkifQ==</vt:lpwstr>
  </property>
</Properties>
</file>