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5" w:lineRule="exact"/>
        <w:jc w:val="center"/>
        <w:rPr>
          <w:rFonts w:hint="eastAsia" w:ascii="黑体" w:hAnsi="黑体" w:eastAsia="黑体"/>
          <w:sz w:val="30"/>
        </w:rPr>
      </w:pPr>
      <w:r>
        <w:rPr>
          <w:rFonts w:hint="eastAsia" w:ascii="方正小标宋简体" w:hAnsi="方正小标宋简体" w:eastAsia="方正小标宋简体"/>
          <w:sz w:val="44"/>
        </w:rPr>
        <w:t>2026年度厦门市湖里幼儿园单位预算</w:t>
      </w:r>
    </w:p>
    <w:p>
      <w:pPr>
        <w:spacing w:line="525" w:lineRule="exact"/>
        <w:jc w:val="center"/>
        <w:rPr>
          <w:rFonts w:hint="eastAsia" w:ascii="黑体" w:hAnsi="黑体" w:eastAsia="黑体"/>
          <w:sz w:val="30"/>
        </w:rPr>
      </w:pPr>
    </w:p>
    <w:p>
      <w:pPr>
        <w:spacing w:line="525" w:lineRule="exact"/>
        <w:jc w:val="center"/>
        <w:rPr>
          <w:rFonts w:hint="eastAsia" w:ascii="黑体" w:hAnsi="黑体" w:eastAsia="黑体"/>
          <w:sz w:val="32"/>
        </w:rPr>
      </w:pPr>
      <w:r>
        <w:rPr>
          <w:rFonts w:hint="eastAsia" w:ascii="黑体" w:hAnsi="黑体" w:eastAsia="黑体"/>
          <w:sz w:val="32"/>
        </w:rPr>
        <w:t>目　　录</w:t>
      </w:r>
    </w:p>
    <w:p>
      <w:pPr>
        <w:spacing w:line="555" w:lineRule="exact"/>
        <w:jc w:val="both"/>
        <w:rPr>
          <w:rFonts w:hint="eastAsia" w:ascii="仿宋_GB2312" w:hAnsi="仿宋_GB2312" w:eastAsia="仿宋_GB2312" w:cs="仿宋_GB2312"/>
          <w:sz w:val="32"/>
          <w:szCs w:val="32"/>
        </w:rPr>
      </w:pPr>
      <w:r>
        <w:rPr>
          <w:rFonts w:hint="eastAsia"/>
        </w:rPr>
        <w:t>　</w:t>
      </w:r>
      <w:r>
        <w:rPr>
          <w:rFonts w:hint="eastAsia" w:ascii="仿宋_GB2312" w:hAnsi="仿宋_GB2312" w:eastAsia="仿宋_GB2312" w:cs="仿宋_GB2312"/>
          <w:sz w:val="32"/>
          <w:szCs w:val="32"/>
        </w:rPr>
        <w:t>　</w:t>
      </w:r>
      <w:r>
        <w:rPr>
          <w:rFonts w:hint="eastAsia" w:ascii="黑体" w:hAnsi="黑体" w:eastAsia="黑体" w:cs="黑体"/>
          <w:sz w:val="32"/>
          <w:szCs w:val="32"/>
        </w:rPr>
        <w:t>第一部分   单位概况</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一、单位主要职责</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二、单位基本情况</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三、单位主要工作任务</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w:t>
      </w:r>
      <w:r>
        <w:rPr>
          <w:rFonts w:hint="eastAsia" w:ascii="黑体" w:hAnsi="黑体" w:eastAsia="黑体" w:cs="黑体"/>
          <w:sz w:val="32"/>
          <w:szCs w:val="32"/>
        </w:rPr>
        <w:t>第二部分   2026年单位预算说明</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一、2026年单位预算收支总体情况</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二、一般公共预算财政拨款支出预算情况</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三、政府性基金预算财政拨款支出情况</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四、“三公”经费财政拨款预算情况</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五、其他重要事项的情况说明</w:t>
      </w:r>
    </w:p>
    <w:p>
      <w:pPr>
        <w:spacing w:line="555" w:lineRule="exact"/>
        <w:jc w:val="both"/>
        <w:rPr>
          <w:rFonts w:hint="eastAsia" w:ascii="黑体" w:hAnsi="黑体" w:eastAsia="黑体" w:cs="黑体"/>
          <w:sz w:val="32"/>
          <w:szCs w:val="32"/>
        </w:rPr>
      </w:pPr>
      <w:r>
        <w:rPr>
          <w:rFonts w:hint="eastAsia" w:ascii="仿宋_GB2312" w:hAnsi="仿宋_GB2312" w:eastAsia="仿宋_GB2312" w:cs="仿宋_GB2312"/>
          <w:sz w:val="32"/>
          <w:szCs w:val="32"/>
        </w:rPr>
        <w:t>　　</w:t>
      </w:r>
      <w:r>
        <w:rPr>
          <w:rFonts w:hint="eastAsia" w:ascii="黑体" w:hAnsi="黑体" w:eastAsia="黑体" w:cs="黑体"/>
          <w:sz w:val="32"/>
          <w:szCs w:val="32"/>
        </w:rPr>
        <w:t>第三部分   名词解释</w:t>
      </w:r>
    </w:p>
    <w:p>
      <w:pPr>
        <w:spacing w:line="555" w:lineRule="exact"/>
        <w:jc w:val="both"/>
        <w:rPr>
          <w:rFonts w:hint="eastAsia" w:ascii="仿宋_GB2312" w:hAnsi="仿宋_GB2312" w:eastAsia="仿宋_GB2312" w:cs="仿宋_GB2312"/>
          <w:sz w:val="32"/>
          <w:szCs w:val="32"/>
        </w:rPr>
      </w:pPr>
      <w:r>
        <w:rPr>
          <w:rFonts w:hint="eastAsia" w:ascii="黑体" w:hAnsi="黑体" w:eastAsia="黑体" w:cs="黑体"/>
          <w:sz w:val="32"/>
          <w:szCs w:val="32"/>
        </w:rPr>
        <w:t>　　第四部分   2026年单位预算附表</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一、部门收支预算总体情况表</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二、部门收入预算总体情况表</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三、部门支出预算总体情况表</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四、财政拨款收支预算总体情况表</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五、 一般公共预算支出情况表</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六、一般公共预算基本支出情况表（经济分类款级科目）</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七、一般公共预算“三公”经费支出情况表</w:t>
      </w:r>
    </w:p>
    <w:p>
      <w:pPr>
        <w:spacing w:line="555" w:lineRule="exact"/>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八、政府性基金预算支出情况表</w:t>
      </w:r>
    </w:p>
    <w:p>
      <w:pPr>
        <w:spacing w:line="555" w:lineRule="exact"/>
        <w:ind w:firstLine="640" w:firstLineChars="200"/>
        <w:jc w:val="both"/>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九、区对镇（街）转移支付支出预算表</w:t>
      </w:r>
    </w:p>
    <w:p>
      <w:pPr>
        <w:pStyle w:val="4"/>
        <w:ind w:left="0" w:leftChars="0" w:firstLine="640" w:firstLineChars="200"/>
        <w:jc w:val="both"/>
        <w:rPr>
          <w:rFonts w:hint="eastAsia"/>
        </w:rPr>
      </w:pPr>
      <w:r>
        <w:rPr>
          <w:rFonts w:hint="eastAsia" w:ascii="仿宋_GB2312" w:hAnsi="仿宋_GB2312" w:eastAsia="仿宋_GB2312" w:cs="仿宋_GB2312"/>
          <w:b w:val="0"/>
          <w:color w:val="000000"/>
          <w:sz w:val="32"/>
          <w:szCs w:val="32"/>
          <w:lang w:eastAsia="zh-CN"/>
        </w:rPr>
        <w:t>十、</w:t>
      </w:r>
      <w:r>
        <w:rPr>
          <w:rFonts w:hint="eastAsia" w:ascii="仿宋_GB2312" w:hAnsi="仿宋_GB2312" w:eastAsia="仿宋_GB2312" w:cs="仿宋_GB2312"/>
          <w:b w:val="0"/>
          <w:color w:val="000000"/>
          <w:sz w:val="32"/>
          <w:szCs w:val="32"/>
        </w:rPr>
        <w:t>二级项目绩效目标表</w:t>
      </w:r>
    </w:p>
    <w:p>
      <w:pPr>
        <w:spacing w:line="555" w:lineRule="exact"/>
        <w:ind w:left="20"/>
        <w:jc w:val="center"/>
        <w:rPr>
          <w:rFonts w:hint="eastAsia" w:ascii="黑体" w:hAnsi="黑体" w:eastAsia="黑体"/>
          <w:sz w:val="32"/>
        </w:rPr>
      </w:pPr>
      <w:r>
        <w:rPr>
          <w:rFonts w:hint="eastAsia" w:ascii="黑体" w:hAnsi="黑体" w:eastAsia="黑体"/>
          <w:sz w:val="32"/>
        </w:rPr>
        <w:t>第一部分  单位概况</w:t>
      </w:r>
    </w:p>
    <w:p>
      <w:pPr>
        <w:spacing w:line="555" w:lineRule="exact"/>
        <w:jc w:val="both"/>
        <w:rPr>
          <w:rFonts w:hint="eastAsia" w:ascii="仿宋_GB2312" w:hAnsi="仿宋_GB2312" w:eastAsia="仿宋_GB2312"/>
          <w:sz w:val="32"/>
        </w:rPr>
      </w:pPr>
      <w:r>
        <w:rPr>
          <w:rFonts w:hint="eastAsia" w:ascii="黑体" w:hAnsi="黑体" w:eastAsia="黑体"/>
          <w:sz w:val="32"/>
        </w:rPr>
        <w:t>　　一、单位主要职责</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厦门市湖里幼儿园的主要职责是：</w:t>
      </w:r>
    </w:p>
    <w:p>
      <w:pPr>
        <w:spacing w:line="540" w:lineRule="exact"/>
        <w:ind w:firstLine="640" w:firstLineChars="200"/>
        <w:jc w:val="both"/>
        <w:rPr>
          <w:rFonts w:hint="eastAsia" w:ascii="仿宋_GB2312" w:hAnsi="仿宋_GB2312" w:eastAsia="仿宋_GB2312"/>
          <w:color w:val="auto"/>
          <w:sz w:val="32"/>
        </w:rPr>
      </w:pPr>
      <w:r>
        <w:rPr>
          <w:rFonts w:hint="eastAsia" w:ascii="仿宋_GB2312" w:hAnsi="仿宋_GB2312" w:eastAsia="仿宋_GB2312"/>
          <w:color w:val="auto"/>
          <w:sz w:val="32"/>
        </w:rPr>
        <w:t>（一）认真贯彻执行党和国家的有关法律法规、方针、政策，坚持依法办园，立德树人，执行上级主管部门的指示和决定。</w:t>
      </w:r>
    </w:p>
    <w:p>
      <w:pPr>
        <w:spacing w:line="555" w:lineRule="exact"/>
        <w:jc w:val="both"/>
        <w:rPr>
          <w:rFonts w:hint="eastAsia" w:ascii="仿宋_GB2312" w:hAnsi="仿宋_GB2312" w:eastAsia="仿宋_GB2312"/>
          <w:color w:val="auto"/>
          <w:sz w:val="32"/>
        </w:rPr>
      </w:pPr>
      <w:r>
        <w:rPr>
          <w:rFonts w:hint="eastAsia" w:ascii="仿宋_GB2312" w:hAnsi="仿宋_GB2312" w:eastAsia="仿宋_GB2312"/>
          <w:color w:val="auto"/>
          <w:sz w:val="32"/>
        </w:rPr>
        <w:t>　　（二）实行保育和教育相结合的原则，对幼儿实施体、智、德、美诸方面全面发展的教育，促进其身心和谐发展。</w:t>
      </w:r>
    </w:p>
    <w:p>
      <w:pPr>
        <w:spacing w:line="555" w:lineRule="exact"/>
        <w:ind w:firstLine="640"/>
        <w:jc w:val="both"/>
        <w:rPr>
          <w:rFonts w:hint="eastAsia" w:ascii="仿宋_GB2312" w:hAnsi="仿宋_GB2312" w:eastAsia="仿宋_GB2312"/>
          <w:color w:val="auto"/>
          <w:sz w:val="32"/>
        </w:rPr>
      </w:pPr>
      <w:r>
        <w:rPr>
          <w:rFonts w:hint="eastAsia" w:ascii="仿宋_GB2312" w:hAnsi="仿宋_GB2312" w:eastAsia="仿宋_GB2312"/>
          <w:color w:val="auto"/>
          <w:sz w:val="32"/>
        </w:rPr>
        <w:t>（三）为儿童提供健康安全、丰富多彩的生活和活动环境，合理组织幼儿一日生活活动和其他活动。</w:t>
      </w:r>
    </w:p>
    <w:p>
      <w:pPr>
        <w:spacing w:line="555" w:lineRule="exact"/>
        <w:ind w:firstLine="640" w:firstLineChars="200"/>
        <w:jc w:val="both"/>
        <w:rPr>
          <w:rFonts w:hint="eastAsia" w:ascii="黑体" w:hAnsi="黑体" w:eastAsia="黑体"/>
          <w:sz w:val="32"/>
        </w:rPr>
      </w:pPr>
      <w:r>
        <w:rPr>
          <w:rFonts w:hint="eastAsia" w:ascii="仿宋_GB2312" w:hAnsi="仿宋_GB2312" w:eastAsia="仿宋_GB2312"/>
          <w:color w:val="auto"/>
          <w:sz w:val="32"/>
        </w:rPr>
        <w:t>（四）贯彻幼儿教育法规、传播科学教育理念、开展教育科学研究、培训师资，发挥省示范性幼儿园的示范、辐射作用。</w:t>
      </w:r>
    </w:p>
    <w:p>
      <w:pPr>
        <w:spacing w:line="555" w:lineRule="exact"/>
        <w:jc w:val="both"/>
        <w:rPr>
          <w:rFonts w:hint="eastAsia" w:ascii="仿宋_GB2312" w:hAnsi="仿宋_GB2312" w:eastAsia="仿宋_GB2312"/>
          <w:sz w:val="32"/>
        </w:rPr>
      </w:pPr>
      <w:r>
        <w:rPr>
          <w:rFonts w:hint="eastAsia" w:ascii="黑体" w:hAnsi="黑体" w:eastAsia="黑体"/>
          <w:sz w:val="32"/>
        </w:rPr>
        <w:t>　　二、单位基本情况</w:t>
      </w:r>
    </w:p>
    <w:p>
      <w:pPr>
        <w:spacing w:line="555" w:lineRule="exact"/>
        <w:jc w:val="both"/>
        <w:rPr>
          <w:rFonts w:hint="eastAsia" w:ascii="仿宋_GB2312" w:hAnsi="仿宋_GB2312" w:eastAsia="仿宋_GB2312"/>
          <w:sz w:val="24"/>
          <w:lang w:val="en-US" w:eastAsia="zh-CN"/>
        </w:rPr>
      </w:pPr>
      <w:r>
        <w:rPr>
          <w:rFonts w:hint="eastAsia" w:ascii="仿宋_GB2312" w:hAnsi="仿宋_GB2312" w:eastAsia="仿宋_GB2312"/>
          <w:sz w:val="32"/>
        </w:rPr>
        <w:t>　　厦门市湖里幼儿园内设</w:t>
      </w:r>
      <w:r>
        <w:rPr>
          <w:rFonts w:hint="eastAsia" w:ascii="仿宋_GB2312" w:hAnsi="仿宋_GB2312" w:eastAsia="仿宋_GB2312"/>
          <w:color w:val="auto"/>
          <w:sz w:val="32"/>
          <w:lang w:val="en-US" w:eastAsia="zh-CN"/>
        </w:rPr>
        <w:t>2</w:t>
      </w:r>
      <w:r>
        <w:rPr>
          <w:rFonts w:hint="eastAsia" w:ascii="仿宋_GB2312" w:hAnsi="仿宋_GB2312" w:eastAsia="仿宋_GB2312"/>
          <w:sz w:val="32"/>
        </w:rPr>
        <w:t>个处室/科室，包括</w:t>
      </w:r>
      <w:r>
        <w:rPr>
          <w:rFonts w:hint="eastAsia" w:ascii="仿宋_GB2312" w:hAnsi="仿宋_GB2312" w:eastAsia="仿宋_GB2312"/>
          <w:sz w:val="24"/>
        </w:rPr>
        <w:t>：</w:t>
      </w:r>
      <w:r>
        <w:rPr>
          <w:rFonts w:hint="eastAsia" w:ascii="仿宋_GB2312" w:hAnsi="??_GB2312" w:eastAsia="仿宋_GB2312"/>
          <w:color w:val="auto"/>
          <w:sz w:val="32"/>
        </w:rPr>
        <w:t>园长办公室和总务科</w:t>
      </w:r>
      <w:r>
        <w:rPr>
          <w:rFonts w:hint="eastAsia" w:ascii="仿宋_GB2312" w:hAnsi="??_GB2312" w:eastAsia="仿宋_GB2312"/>
          <w:color w:val="auto"/>
          <w:sz w:val="32"/>
          <w:lang w:eastAsia="zh-CN"/>
        </w:rPr>
        <w:t>。</w:t>
      </w:r>
    </w:p>
    <w:p>
      <w:pPr>
        <w:spacing w:line="555" w:lineRule="exact"/>
        <w:jc w:val="both"/>
        <w:rPr>
          <w:rFonts w:hint="eastAsia" w:ascii="仿宋_GB2312" w:hAnsi="仿宋_GB2312" w:eastAsia="仿宋_GB2312"/>
          <w:sz w:val="32"/>
        </w:rPr>
      </w:pPr>
      <w:r>
        <w:rPr>
          <w:rFonts w:hint="eastAsia" w:ascii="黑体" w:hAnsi="黑体" w:eastAsia="黑体"/>
          <w:sz w:val="32"/>
        </w:rPr>
        <w:t>　　三、单位主要工作任务</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2026年，厦门市湖里幼儿园主要任务是：</w:t>
      </w:r>
      <w:r>
        <w:rPr>
          <w:rFonts w:hint="eastAsia" w:ascii="仿宋_GB2312" w:eastAsia="仿宋_GB2312"/>
          <w:color w:val="auto"/>
          <w:sz w:val="32"/>
        </w:rPr>
        <w:t>为学龄前儿童提供保</w:t>
      </w:r>
      <w:r>
        <w:rPr>
          <w:rFonts w:hint="eastAsia" w:ascii="仿宋_GB2312" w:hAnsi="仿宋_GB2312" w:eastAsia="仿宋_GB2312"/>
          <w:color w:val="auto"/>
          <w:sz w:val="32"/>
        </w:rPr>
        <w:t>育教育服务</w:t>
      </w:r>
      <w:r>
        <w:rPr>
          <w:rFonts w:hint="eastAsia" w:ascii="仿宋_GB2312" w:hAnsi="仿宋_GB2312" w:eastAsia="仿宋_GB2312"/>
          <w:sz w:val="32"/>
        </w:rPr>
        <w:t>。围绕上述任务，重点抓好以下工作：</w:t>
      </w:r>
    </w:p>
    <w:p>
      <w:pPr>
        <w:numPr>
          <w:ilvl w:val="0"/>
          <w:numId w:val="1"/>
        </w:numPr>
        <w:spacing w:line="555" w:lineRule="exact"/>
        <w:ind w:left="640" w:leftChars="0" w:firstLine="0" w:firstLineChars="0"/>
        <w:jc w:val="both"/>
        <w:rPr>
          <w:rFonts w:hint="default" w:ascii="仿宋_GB2312" w:hAnsi="仿宋_GB2312" w:eastAsia="仿宋_GB2312"/>
          <w:sz w:val="32"/>
          <w:szCs w:val="22"/>
          <w:lang w:val="en-US" w:eastAsia="zh-CN"/>
        </w:rPr>
      </w:pPr>
      <w:r>
        <w:rPr>
          <w:rFonts w:hint="default" w:ascii="仿宋_GB2312" w:hAnsi="仿宋_GB2312" w:eastAsia="仿宋_GB2312"/>
          <w:sz w:val="32"/>
          <w:szCs w:val="22"/>
          <w:lang w:val="en-US" w:eastAsia="zh-CN"/>
        </w:rPr>
        <w:t>在园本课程实践方面：</w:t>
      </w:r>
    </w:p>
    <w:p>
      <w:pPr>
        <w:numPr>
          <w:ilvl w:val="0"/>
          <w:numId w:val="0"/>
        </w:numPr>
        <w:spacing w:line="555" w:lineRule="exact"/>
        <w:ind w:firstLine="640" w:firstLineChars="200"/>
        <w:jc w:val="both"/>
        <w:rPr>
          <w:rFonts w:hint="eastAsia" w:ascii="仿宋_GB2312" w:hAnsi="仿宋_GB2312" w:eastAsia="仿宋_GB2312"/>
          <w:sz w:val="32"/>
          <w:szCs w:val="22"/>
          <w:lang w:val="en-US" w:eastAsia="zh-CN"/>
        </w:rPr>
      </w:pPr>
      <w:r>
        <w:rPr>
          <w:rFonts w:hint="eastAsia" w:ascii="仿宋_GB2312" w:hAnsi="仿宋_GB2312" w:eastAsia="仿宋_GB2312"/>
          <w:sz w:val="32"/>
          <w:szCs w:val="22"/>
          <w:lang w:val="en-US" w:eastAsia="zh-CN"/>
        </w:rPr>
        <w:t>1.</w:t>
      </w:r>
      <w:r>
        <w:rPr>
          <w:rFonts w:hint="default" w:ascii="仿宋_GB2312" w:hAnsi="仿宋_GB2312" w:eastAsia="仿宋_GB2312"/>
          <w:sz w:val="32"/>
          <w:szCs w:val="22"/>
          <w:lang w:val="en-US" w:eastAsia="zh-CN"/>
        </w:rPr>
        <w:t>立足儿童立场，深化了</w:t>
      </w:r>
      <w:r>
        <w:rPr>
          <w:rFonts w:hint="eastAsia" w:ascii="仿宋_GB2312" w:hAnsi="仿宋_GB2312" w:eastAsia="仿宋_GB2312"/>
          <w:sz w:val="32"/>
          <w:szCs w:val="22"/>
          <w:lang w:val="en-US" w:eastAsia="zh-CN"/>
        </w:rPr>
        <w:t>解</w:t>
      </w:r>
      <w:r>
        <w:rPr>
          <w:rFonts w:hint="default" w:ascii="仿宋_GB2312" w:hAnsi="仿宋_GB2312" w:eastAsia="仿宋_GB2312"/>
          <w:sz w:val="32"/>
          <w:szCs w:val="22"/>
          <w:lang w:val="en-US" w:eastAsia="zh-CN"/>
        </w:rPr>
        <w:t>本课程建设</w:t>
      </w:r>
      <w:r>
        <w:rPr>
          <w:rFonts w:hint="eastAsia" w:ascii="仿宋_GB2312" w:hAnsi="仿宋_GB2312" w:eastAsia="仿宋_GB2312"/>
          <w:sz w:val="32"/>
          <w:szCs w:val="22"/>
          <w:lang w:val="en-US" w:eastAsia="zh-CN"/>
        </w:rPr>
        <w:t>。</w:t>
      </w:r>
    </w:p>
    <w:p>
      <w:pPr>
        <w:numPr>
          <w:ilvl w:val="0"/>
          <w:numId w:val="0"/>
        </w:numPr>
        <w:spacing w:line="555" w:lineRule="exact"/>
        <w:ind w:firstLine="640" w:firstLineChars="200"/>
        <w:jc w:val="both"/>
        <w:rPr>
          <w:rFonts w:hint="default" w:ascii="仿宋_GB2312" w:hAnsi="仿宋_GB2312" w:eastAsia="仿宋_GB2312"/>
          <w:sz w:val="32"/>
          <w:szCs w:val="22"/>
          <w:lang w:val="en-US"/>
        </w:rPr>
      </w:pPr>
      <w:r>
        <w:rPr>
          <w:rFonts w:hint="eastAsia" w:ascii="仿宋_GB2312" w:hAnsi="仿宋_GB2312" w:eastAsia="仿宋_GB2312"/>
          <w:sz w:val="32"/>
          <w:szCs w:val="22"/>
          <w:lang w:val="en-US" w:eastAsia="zh-CN"/>
        </w:rPr>
        <w:t>2.</w:t>
      </w:r>
      <w:r>
        <w:rPr>
          <w:rFonts w:hint="default" w:ascii="仿宋_GB2312" w:hAnsi="仿宋_GB2312" w:eastAsia="仿宋_GB2312"/>
          <w:sz w:val="32"/>
          <w:szCs w:val="22"/>
          <w:lang w:val="en-US" w:eastAsia="zh-CN"/>
        </w:rPr>
        <w:t>践行双《指南》精神，优化了</w:t>
      </w:r>
      <w:r>
        <w:rPr>
          <w:rFonts w:hint="eastAsia" w:ascii="仿宋_GB2312" w:hAnsi="仿宋_GB2312" w:eastAsia="仿宋_GB2312"/>
          <w:sz w:val="32"/>
          <w:szCs w:val="22"/>
          <w:lang w:val="en-US" w:eastAsia="zh-CN"/>
        </w:rPr>
        <w:t>解</w:t>
      </w:r>
      <w:r>
        <w:rPr>
          <w:rFonts w:hint="default" w:ascii="仿宋_GB2312" w:hAnsi="仿宋_GB2312" w:eastAsia="仿宋_GB2312"/>
          <w:sz w:val="32"/>
          <w:szCs w:val="22"/>
          <w:lang w:val="en-US" w:eastAsia="zh-CN"/>
        </w:rPr>
        <w:t>园本运动课程</w:t>
      </w:r>
      <w:r>
        <w:rPr>
          <w:rFonts w:hint="eastAsia" w:ascii="仿宋_GB2312" w:hAnsi="仿宋_GB2312" w:eastAsia="仿宋_GB2312"/>
          <w:sz w:val="32"/>
          <w:szCs w:val="22"/>
          <w:lang w:val="en-US" w:eastAsia="zh-CN"/>
        </w:rPr>
        <w:t>。</w:t>
      </w:r>
    </w:p>
    <w:p>
      <w:pPr>
        <w:spacing w:line="555" w:lineRule="exact"/>
        <w:ind w:firstLine="640"/>
        <w:jc w:val="both"/>
        <w:rPr>
          <w:rFonts w:hint="eastAsia" w:ascii="仿宋_GB2312" w:hAnsi="仿宋_GB2312" w:eastAsia="仿宋_GB2312"/>
          <w:sz w:val="32"/>
          <w:szCs w:val="22"/>
          <w:lang w:val="en-US" w:eastAsia="zh-CN"/>
        </w:rPr>
      </w:pPr>
      <w:r>
        <w:rPr>
          <w:rFonts w:hint="eastAsia" w:ascii="仿宋_GB2312" w:hAnsi="仿宋_GB2312" w:eastAsia="仿宋_GB2312"/>
          <w:sz w:val="32"/>
          <w:szCs w:val="22"/>
        </w:rPr>
        <w:t>（二）</w:t>
      </w:r>
      <w:r>
        <w:rPr>
          <w:rFonts w:hint="eastAsia" w:ascii="仿宋_GB2312" w:hAnsi="仿宋_GB2312" w:eastAsia="仿宋_GB2312"/>
          <w:sz w:val="32"/>
          <w:szCs w:val="22"/>
          <w:lang w:val="en-US" w:eastAsia="zh-CN"/>
        </w:rPr>
        <w:t>在课改实验园研究方面：</w:t>
      </w:r>
    </w:p>
    <w:p>
      <w:pPr>
        <w:spacing w:line="555" w:lineRule="exact"/>
        <w:ind w:firstLine="640"/>
        <w:jc w:val="both"/>
        <w:rPr>
          <w:rFonts w:hint="default" w:ascii="仿宋_GB2312" w:hAnsi="仿宋_GB2312" w:eastAsia="仿宋_GB2312"/>
          <w:sz w:val="32"/>
          <w:szCs w:val="22"/>
          <w:lang w:val="en-US"/>
        </w:rPr>
      </w:pPr>
      <w:r>
        <w:rPr>
          <w:rFonts w:hint="default" w:ascii="仿宋_GB2312" w:hAnsi="仿宋_GB2312" w:eastAsia="仿宋_GB2312"/>
          <w:sz w:val="32"/>
          <w:szCs w:val="22"/>
          <w:lang w:val="en-US" w:eastAsia="zh-CN"/>
        </w:rPr>
        <w:t>基于观察解读，提升游戏组织质量</w:t>
      </w:r>
      <w:r>
        <w:rPr>
          <w:rFonts w:hint="eastAsia" w:ascii="仿宋_GB2312" w:hAnsi="仿宋_GB2312" w:eastAsia="仿宋_GB2312"/>
          <w:sz w:val="32"/>
          <w:szCs w:val="22"/>
          <w:lang w:val="en-US" w:eastAsia="zh-CN"/>
        </w:rPr>
        <w:t>。</w:t>
      </w:r>
    </w:p>
    <w:p>
      <w:pPr>
        <w:numPr>
          <w:ilvl w:val="0"/>
          <w:numId w:val="0"/>
        </w:numPr>
        <w:spacing w:line="555" w:lineRule="exact"/>
        <w:ind w:left="640" w:leftChars="0"/>
        <w:jc w:val="both"/>
        <w:rPr>
          <w:rFonts w:hint="default" w:ascii="仿宋_GB2312" w:hAnsi="仿宋_GB2312" w:eastAsia="仿宋_GB2312"/>
          <w:sz w:val="32"/>
          <w:szCs w:val="22"/>
          <w:lang w:val="en-US" w:eastAsia="zh-CN"/>
        </w:rPr>
      </w:pPr>
      <w:r>
        <w:rPr>
          <w:rFonts w:hint="eastAsia" w:ascii="仿宋_GB2312" w:hAnsi="仿宋_GB2312" w:eastAsia="仿宋_GB2312"/>
          <w:sz w:val="32"/>
          <w:szCs w:val="22"/>
        </w:rPr>
        <w:t>（</w:t>
      </w:r>
      <w:r>
        <w:rPr>
          <w:rFonts w:hint="eastAsia" w:ascii="仿宋_GB2312" w:hAnsi="仿宋_GB2312" w:eastAsia="仿宋_GB2312"/>
          <w:sz w:val="32"/>
          <w:szCs w:val="22"/>
          <w:lang w:eastAsia="zh-CN"/>
        </w:rPr>
        <w:t>三</w:t>
      </w:r>
      <w:r>
        <w:rPr>
          <w:rFonts w:hint="eastAsia" w:ascii="仿宋_GB2312" w:hAnsi="仿宋_GB2312" w:eastAsia="仿宋_GB2312"/>
          <w:sz w:val="32"/>
          <w:szCs w:val="22"/>
        </w:rPr>
        <w:t>）</w:t>
      </w:r>
      <w:r>
        <w:rPr>
          <w:rFonts w:hint="default" w:ascii="仿宋_GB2312" w:hAnsi="仿宋_GB2312" w:eastAsia="仿宋_GB2312"/>
          <w:sz w:val="32"/>
          <w:szCs w:val="22"/>
          <w:lang w:val="en-US" w:eastAsia="zh-CN"/>
        </w:rPr>
        <w:t>在幼小衔接工作方面：</w:t>
      </w:r>
    </w:p>
    <w:p>
      <w:pPr>
        <w:numPr>
          <w:ilvl w:val="0"/>
          <w:numId w:val="0"/>
        </w:numPr>
        <w:spacing w:line="555" w:lineRule="exact"/>
        <w:ind w:firstLine="640" w:firstLineChars="200"/>
        <w:jc w:val="both"/>
        <w:rPr>
          <w:rFonts w:hint="default" w:ascii="仿宋_GB2312" w:hAnsi="仿宋_GB2312" w:eastAsia="仿宋_GB2312"/>
          <w:sz w:val="32"/>
          <w:szCs w:val="22"/>
          <w:lang w:val="en-US" w:eastAsia="zh-CN"/>
        </w:rPr>
      </w:pPr>
      <w:r>
        <w:rPr>
          <w:rFonts w:hint="eastAsia" w:ascii="仿宋_GB2312" w:hAnsi="仿宋_GB2312" w:eastAsia="仿宋_GB2312"/>
          <w:sz w:val="32"/>
          <w:szCs w:val="22"/>
          <w:lang w:val="en-US" w:eastAsia="zh-CN"/>
        </w:rPr>
        <w:t>1.</w:t>
      </w:r>
      <w:r>
        <w:rPr>
          <w:rFonts w:hint="default" w:ascii="仿宋_GB2312" w:hAnsi="仿宋_GB2312" w:eastAsia="仿宋_GB2312"/>
          <w:sz w:val="32"/>
          <w:szCs w:val="22"/>
          <w:lang w:val="en-US" w:eastAsia="zh-CN"/>
        </w:rPr>
        <w:t>积极携手小学，开展联合教研活动，聚焦“幼小衔接视域下幼儿园集中教学活动的设计与组织”</w:t>
      </w:r>
      <w:r>
        <w:rPr>
          <w:rFonts w:hint="eastAsia" w:ascii="仿宋_GB2312" w:hAnsi="仿宋_GB2312" w:eastAsia="仿宋_GB2312"/>
          <w:sz w:val="32"/>
          <w:szCs w:val="22"/>
          <w:lang w:val="en-US" w:eastAsia="zh-CN"/>
        </w:rPr>
        <w:t>进行研讨</w:t>
      </w:r>
      <w:r>
        <w:rPr>
          <w:rFonts w:hint="default" w:ascii="仿宋_GB2312" w:hAnsi="仿宋_GB2312" w:eastAsia="仿宋_GB2312"/>
          <w:sz w:val="32"/>
          <w:szCs w:val="22"/>
          <w:lang w:val="en-US" w:eastAsia="zh-CN"/>
        </w:rPr>
        <w:t>。</w:t>
      </w:r>
    </w:p>
    <w:p>
      <w:pPr>
        <w:numPr>
          <w:ilvl w:val="0"/>
          <w:numId w:val="0"/>
        </w:numPr>
        <w:spacing w:line="555" w:lineRule="exact"/>
        <w:ind w:firstLine="640" w:firstLineChars="200"/>
        <w:jc w:val="both"/>
        <w:rPr>
          <w:rFonts w:hint="eastAsia" w:ascii="仿宋_GB2312" w:hAnsi="仿宋_GB2312" w:eastAsia="仿宋_GB2312"/>
          <w:sz w:val="32"/>
          <w:szCs w:val="22"/>
          <w:lang w:val="en-US" w:eastAsia="zh-CN"/>
        </w:rPr>
      </w:pPr>
      <w:r>
        <w:rPr>
          <w:rFonts w:hint="eastAsia" w:ascii="仿宋_GB2312" w:hAnsi="仿宋_GB2312" w:eastAsia="仿宋_GB2312"/>
          <w:sz w:val="32"/>
          <w:szCs w:val="22"/>
          <w:lang w:val="en-US" w:eastAsia="zh-CN"/>
        </w:rPr>
        <w:t>2.</w:t>
      </w:r>
      <w:r>
        <w:rPr>
          <w:rFonts w:hint="default" w:ascii="仿宋_GB2312" w:hAnsi="仿宋_GB2312" w:eastAsia="仿宋_GB2312"/>
          <w:sz w:val="32"/>
          <w:szCs w:val="22"/>
          <w:lang w:val="en-US" w:eastAsia="zh-CN"/>
        </w:rPr>
        <w:t>以绘本为载体，系统开展幼小衔接心理准备实践研究，探索绘本活动组织策略。</w:t>
      </w:r>
    </w:p>
    <w:p>
      <w:pPr>
        <w:spacing w:line="555" w:lineRule="exact"/>
        <w:jc w:val="both"/>
        <w:rPr>
          <w:rFonts w:hint="eastAsia" w:ascii="仿宋_GB2312" w:hAnsi="仿宋_GB2312" w:eastAsia="仿宋_GB2312"/>
          <w:sz w:val="32"/>
        </w:rPr>
      </w:pPr>
    </w:p>
    <w:p>
      <w:pPr>
        <w:spacing w:line="555" w:lineRule="exact"/>
        <w:jc w:val="center"/>
        <w:rPr>
          <w:rFonts w:hint="eastAsia" w:ascii="黑体" w:hAnsi="黑体" w:eastAsia="黑体"/>
          <w:sz w:val="32"/>
        </w:rPr>
      </w:pPr>
      <w:r>
        <w:rPr>
          <w:rFonts w:hint="eastAsia" w:ascii="黑体" w:hAnsi="黑体" w:eastAsia="黑体"/>
          <w:sz w:val="32"/>
        </w:rPr>
        <w:t>第二部分  2026年单位预算说明</w:t>
      </w:r>
    </w:p>
    <w:p>
      <w:pPr>
        <w:spacing w:line="555" w:lineRule="exact"/>
        <w:jc w:val="both"/>
        <w:rPr>
          <w:rFonts w:hint="eastAsia" w:ascii="仿宋_GB2312" w:hAnsi="仿宋_GB2312" w:eastAsia="仿宋_GB2312"/>
          <w:sz w:val="32"/>
        </w:rPr>
      </w:pPr>
      <w:r>
        <w:rPr>
          <w:rFonts w:hint="eastAsia" w:ascii="黑体" w:hAnsi="黑体" w:eastAsia="黑体"/>
          <w:sz w:val="32"/>
        </w:rPr>
        <w:t>　　一、2026年单位预算收支总体情况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根据预算管理的有关规定，单位的全部收入和支出均纳入部门预算管理。</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（一）厦门市湖里幼儿园2026年收入预算为1,224.60万元，比2025年预算数增加84.61万元，增长7.42％，具体情况如下：</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1.财政拨款收入1,224.60万元，其中一般公共预算拨款收入1,224.60万元，政府性基金拨款收入0.00万元，国有资本经营预算拨款收入0.00万元；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2.财政专户管理资金收入0.00万元；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3.事业收入0.00万元；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4.事业单位经营收入0.00万元；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5.上级补助收入0.00万元；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6.附属单位上缴收入0.00万元；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7.其他收入0.00万元；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8.上年结转结余0.00万元。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（二）厦门市湖里幼儿园2026年支出预算为1,224.60万元（不含市对区转移支付项目），比2025年预算数增加84.61万元，增长7.42％，具体情况如下：</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1.财政拨款基本支出1,224.60万元，其中，人员支出750.35万元，公用支出474.26万元；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2.财政拨款项目支出0.00万元；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3.非财政拨款支出0.00万元。</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（三）厦门市湖里幼儿园2026年区对镇（街）转移支付项目预算为</w:t>
      </w:r>
      <w:r>
        <w:rPr>
          <w:rFonts w:hint="eastAsia" w:ascii="仿宋_GB2312" w:hAnsi="仿宋_GB2312" w:eastAsia="仿宋_GB2312"/>
          <w:sz w:val="32"/>
          <w:lang w:val="en-US" w:eastAsia="zh-CN"/>
        </w:rPr>
        <w:t>0.00</w:t>
      </w:r>
      <w:r>
        <w:rPr>
          <w:rFonts w:hint="eastAsia" w:ascii="仿宋_GB2312" w:hAnsi="仿宋_GB2312" w:eastAsia="仿宋_GB2312"/>
          <w:sz w:val="32"/>
        </w:rPr>
        <w:t>万元。</w:t>
      </w:r>
    </w:p>
    <w:p>
      <w:pPr>
        <w:spacing w:line="555" w:lineRule="exact"/>
        <w:jc w:val="both"/>
        <w:rPr>
          <w:rFonts w:hint="eastAsia" w:ascii="仿宋_GB2312" w:hAnsi="仿宋_GB2312" w:eastAsia="仿宋_GB2312"/>
          <w:sz w:val="32"/>
        </w:rPr>
      </w:pPr>
      <w:r>
        <w:rPr>
          <w:rFonts w:hint="eastAsia" w:ascii="黑体" w:hAnsi="黑体" w:eastAsia="黑体"/>
          <w:sz w:val="32"/>
        </w:rPr>
        <w:t>　　二、一般公共预算财政拨款支出预算情况</w:t>
      </w:r>
    </w:p>
    <w:p>
      <w:pPr>
        <w:spacing w:line="555" w:lineRule="exact"/>
        <w:jc w:val="both"/>
        <w:rPr>
          <w:rFonts w:hint="eastAsia" w:ascii="仿宋_GB2312" w:hAnsi="仿宋_GB2312" w:eastAsia="仿宋_GB2312"/>
          <w:sz w:val="32"/>
        </w:rPr>
      </w:pPr>
      <w:r>
        <w:rPr>
          <w:rFonts w:hint="eastAsia" w:ascii="仿宋_GB2312" w:hAnsi="仿宋_GB2312" w:eastAsia="仿宋_GB2312"/>
          <w:sz w:val="32"/>
        </w:rPr>
        <w:t>　　2026年度一般公共预算支出1,224.60万元（不含市对区转移支付项目），比2025年预算数增加84.61万元，增长7.42%，主要是由于</w:t>
      </w:r>
      <w:r>
        <w:rPr>
          <w:rFonts w:hint="eastAsia" w:ascii="仿宋_GB2312" w:hAnsi="仿宋_GB2312" w:eastAsia="仿宋_GB2312"/>
          <w:sz w:val="32"/>
          <w:lang w:eastAsia="zh-CN"/>
        </w:rPr>
        <w:t>教师人数和</w:t>
      </w:r>
      <w:r>
        <w:rPr>
          <w:rFonts w:hint="eastAsia" w:ascii="仿宋_GB2312" w:hAnsi="仿宋_GB2312" w:eastAsia="仿宋_GB2312"/>
          <w:color w:val="auto"/>
          <w:sz w:val="32"/>
        </w:rPr>
        <w:t>幼儿</w:t>
      </w:r>
      <w:r>
        <w:rPr>
          <w:rFonts w:hint="eastAsia" w:ascii="仿宋_GB2312" w:hAnsi="仿宋_GB2312" w:eastAsia="仿宋_GB2312"/>
          <w:color w:val="auto"/>
          <w:sz w:val="32"/>
          <w:lang w:eastAsia="zh-CN"/>
        </w:rPr>
        <w:t>人</w:t>
      </w:r>
      <w:r>
        <w:rPr>
          <w:rFonts w:hint="eastAsia" w:ascii="仿宋_GB2312" w:hAnsi="仿宋_GB2312" w:eastAsia="仿宋_GB2312"/>
          <w:color w:val="auto"/>
          <w:sz w:val="32"/>
        </w:rPr>
        <w:t>数</w:t>
      </w:r>
      <w:r>
        <w:rPr>
          <w:rFonts w:hint="eastAsia" w:ascii="仿宋_GB2312" w:hAnsi="仿宋_GB2312" w:eastAsia="仿宋_GB2312"/>
          <w:color w:val="auto"/>
          <w:sz w:val="32"/>
          <w:lang w:eastAsia="zh-CN"/>
        </w:rPr>
        <w:t>增加</w:t>
      </w:r>
      <w:r>
        <w:rPr>
          <w:rFonts w:hint="eastAsia" w:ascii="仿宋_GB2312" w:hAnsi="仿宋_GB2312" w:eastAsia="仿宋_GB2312"/>
          <w:sz w:val="32"/>
        </w:rPr>
        <w:t>。支出项目(按项级科目分类统计)包括：</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1.教育支出（类）普通教育（款）学前教育（项）1,044.18万元。主要用于</w:t>
      </w:r>
      <w:r>
        <w:rPr>
          <w:rFonts w:hint="eastAsia" w:ascii="仿宋_GB2312" w:eastAsia="仿宋_GB2312"/>
          <w:color w:val="auto"/>
          <w:sz w:val="32"/>
        </w:rPr>
        <w:t>学前教育教学</w:t>
      </w:r>
      <w:r>
        <w:rPr>
          <w:rFonts w:hint="eastAsia" w:ascii="仿宋_GB2312" w:hAnsi="仿宋_GB2312" w:eastAsia="仿宋_GB2312"/>
          <w:sz w:val="32"/>
        </w:rPr>
        <w:t>支出。</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2.社会保障和就业支出（类）行政事业单位养老支出（款）事业单位离退休（项）65.54万元。主要用于</w:t>
      </w:r>
      <w:r>
        <w:rPr>
          <w:rFonts w:hint="eastAsia" w:ascii="仿宋_GB2312" w:eastAsia="仿宋_GB2312"/>
          <w:color w:val="auto"/>
          <w:sz w:val="32"/>
        </w:rPr>
        <w:t>事业单位退休</w:t>
      </w:r>
      <w:r>
        <w:rPr>
          <w:rFonts w:hint="eastAsia" w:ascii="仿宋_GB2312" w:eastAsia="仿宋_GB2312"/>
          <w:color w:val="auto"/>
          <w:sz w:val="32"/>
          <w:lang w:eastAsia="zh-CN"/>
        </w:rPr>
        <w:t>费用</w:t>
      </w:r>
      <w:r>
        <w:rPr>
          <w:rFonts w:hint="eastAsia" w:ascii="仿宋_GB2312" w:hAnsi="仿宋_GB2312" w:eastAsia="仿宋_GB2312"/>
          <w:sz w:val="32"/>
        </w:rPr>
        <w:t>支出。</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3.社会保障和就业支出（类）行政事业单位养老支出（款）机关事业单位基本养老保险缴费支出（项）53.51万元。主要用于</w:t>
      </w:r>
      <w:r>
        <w:rPr>
          <w:rFonts w:hint="eastAsia" w:ascii="仿宋_GB2312" w:eastAsia="仿宋_GB2312"/>
          <w:color w:val="auto"/>
          <w:sz w:val="32"/>
        </w:rPr>
        <w:t>事业单位基本养老保险缴费</w:t>
      </w:r>
      <w:r>
        <w:rPr>
          <w:rFonts w:hint="eastAsia" w:ascii="仿宋_GB2312" w:hAnsi="仿宋_GB2312" w:eastAsia="仿宋_GB2312"/>
          <w:sz w:val="32"/>
        </w:rPr>
        <w:t>支出。</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4.社会保障和就业支出（类）行政事业单位养老支出（款）机关事业单位职业年金缴费支出（项）26.76万元。主要用于</w:t>
      </w:r>
      <w:r>
        <w:rPr>
          <w:rFonts w:hint="eastAsia" w:ascii="仿宋_GB2312" w:hAnsi="仿宋_GB2312" w:eastAsia="仿宋_GB2312"/>
          <w:color w:val="auto"/>
          <w:sz w:val="32"/>
        </w:rPr>
        <w:t>事业单位职业年金缴费</w:t>
      </w:r>
      <w:r>
        <w:rPr>
          <w:rFonts w:hint="eastAsia" w:ascii="仿宋_GB2312" w:hAnsi="仿宋_GB2312" w:eastAsia="仿宋_GB2312"/>
          <w:sz w:val="32"/>
        </w:rPr>
        <w:t>支出。</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5.卫生健康支出（类）行政事业单位医疗（款）事业单位医疗（项）22.91万元。主要用于</w:t>
      </w:r>
      <w:r>
        <w:rPr>
          <w:rFonts w:hint="eastAsia" w:ascii="仿宋_GB2312" w:eastAsia="仿宋_GB2312"/>
          <w:color w:val="auto"/>
          <w:sz w:val="32"/>
        </w:rPr>
        <w:t>事业单位医疗</w:t>
      </w:r>
      <w:r>
        <w:rPr>
          <w:rFonts w:hint="eastAsia" w:ascii="仿宋_GB2312" w:hAnsi="仿宋_GB2312" w:eastAsia="仿宋_GB2312"/>
          <w:sz w:val="32"/>
        </w:rPr>
        <w:t>支出。</w:t>
      </w:r>
    </w:p>
    <w:p>
      <w:pPr>
        <w:spacing w:line="555" w:lineRule="exact"/>
        <w:ind w:left="20"/>
        <w:jc w:val="both"/>
        <w:rPr>
          <w:rFonts w:hint="eastAsia" w:ascii="仿宋_GB2312" w:hAnsi="仿宋_GB2312" w:eastAsia="仿宋_GB2312"/>
          <w:sz w:val="32"/>
        </w:rPr>
      </w:pPr>
      <w:r>
        <w:rPr>
          <w:rFonts w:hint="eastAsia" w:ascii="仿宋_GB2312" w:hAnsi="仿宋_GB2312" w:eastAsia="仿宋_GB2312"/>
          <w:sz w:val="32"/>
        </w:rPr>
        <w:t>　　6.卫生健康支出（类）行政事业单位医疗（款）其他行政事业单位医疗支出（项）11.71万元。主要用于其他行政</w:t>
      </w:r>
      <w:r>
        <w:rPr>
          <w:rFonts w:hint="eastAsia" w:ascii="仿宋_GB2312" w:eastAsia="仿宋_GB2312"/>
          <w:color w:val="auto"/>
          <w:sz w:val="32"/>
        </w:rPr>
        <w:t>事业单位医疗</w:t>
      </w:r>
      <w:r>
        <w:rPr>
          <w:rFonts w:hint="eastAsia" w:ascii="仿宋_GB2312" w:hAnsi="仿宋_GB2312" w:eastAsia="仿宋_GB2312"/>
          <w:sz w:val="32"/>
        </w:rPr>
        <w:t>支出。</w:t>
      </w:r>
    </w:p>
    <w:p>
      <w:pPr>
        <w:spacing w:line="555" w:lineRule="exact"/>
        <w:jc w:val="both"/>
        <w:rPr>
          <w:rFonts w:hint="eastAsia" w:ascii="仿宋_GB2312" w:hAnsi="仿宋_GB2312" w:eastAsia="仿宋_GB2312"/>
          <w:sz w:val="32"/>
        </w:rPr>
      </w:pPr>
      <w:r>
        <w:rPr>
          <w:rFonts w:hint="eastAsia" w:ascii="黑体" w:hAnsi="黑体" w:eastAsia="黑体"/>
          <w:sz w:val="32"/>
        </w:rPr>
        <w:t>　　三、政府性基金预算财政拨款支出情况</w:t>
      </w:r>
    </w:p>
    <w:p>
      <w:pPr>
        <w:spacing w:line="555" w:lineRule="exact"/>
        <w:ind w:firstLine="640" w:firstLineChars="200"/>
        <w:jc w:val="both"/>
        <w:rPr>
          <w:rFonts w:hint="eastAsia" w:ascii="仿宋_GB2312" w:hAnsi="仿宋_GB2312" w:eastAsia="仿宋_GB2312"/>
          <w:sz w:val="32"/>
        </w:rPr>
      </w:pPr>
      <w:r>
        <w:rPr>
          <w:rFonts w:hint="eastAsia" w:ascii="仿宋_GB2312" w:hAnsi="仿宋_GB2312" w:eastAsia="仿宋_GB2312"/>
          <w:sz w:val="32"/>
        </w:rPr>
        <w:t>2026年度政府性基金支出0.00万元（不含市对区转移支付项目），比2025年预算数增加0.00万元，增长0%</w:t>
      </w:r>
      <w:r>
        <w:rPr>
          <w:rFonts w:hint="eastAsia" w:ascii="仿宋_GB2312" w:hAnsi="仿宋_GB2312" w:eastAsia="仿宋_GB2312"/>
          <w:sz w:val="32"/>
          <w:lang w:eastAsia="zh-CN"/>
        </w:rPr>
        <w:t>。</w:t>
      </w:r>
      <w:bookmarkStart w:id="0" w:name="_GoBack"/>
      <w:bookmarkEnd w:id="0"/>
      <w:r>
        <w:rPr>
          <w:rFonts w:hint="eastAsia" w:ascii="仿宋_GB2312" w:hAnsi="仿宋_GB2312" w:eastAsia="仿宋_GB2312"/>
          <w:color w:val="auto"/>
          <w:sz w:val="32"/>
        </w:rPr>
        <w:t>主要</w:t>
      </w:r>
      <w:r>
        <w:rPr>
          <w:rFonts w:hint="eastAsia" w:ascii="仿宋_GB2312" w:hAnsi="仿宋_GB2312" w:eastAsia="仿宋_GB2312"/>
          <w:color w:val="auto"/>
          <w:sz w:val="32"/>
          <w:lang w:eastAsia="zh-CN"/>
        </w:rPr>
        <w:t>原因</w:t>
      </w:r>
      <w:r>
        <w:rPr>
          <w:rFonts w:hint="eastAsia" w:ascii="仿宋_GB2312" w:hAnsi="仿宋_GB2312" w:eastAsia="仿宋_GB2312"/>
          <w:color w:val="auto"/>
          <w:sz w:val="32"/>
        </w:rPr>
        <w:t>是</w:t>
      </w:r>
      <w:r>
        <w:rPr>
          <w:rFonts w:hint="eastAsia" w:ascii="仿宋_GB2312" w:hAnsi="仿宋_GB2312" w:eastAsia="仿宋_GB2312"/>
          <w:color w:val="auto"/>
          <w:sz w:val="32"/>
          <w:lang w:val="en-US" w:eastAsia="zh-CN"/>
        </w:rPr>
        <w:t>2026</w:t>
      </w:r>
      <w:r>
        <w:rPr>
          <w:rFonts w:hint="eastAsia" w:ascii="仿宋" w:hAnsi="仿宋" w:eastAsia="仿宋"/>
          <w:color w:val="auto"/>
          <w:sz w:val="32"/>
          <w:lang w:val="en-US" w:eastAsia="zh-CN"/>
        </w:rPr>
        <w:t>年度本单位没有政府性基金预算支出安排。</w:t>
      </w:r>
    </w:p>
    <w:p>
      <w:pPr>
        <w:spacing w:line="555" w:lineRule="exact"/>
        <w:jc w:val="both"/>
        <w:rPr>
          <w:rFonts w:hint="eastAsia" w:ascii="仿宋_GB2312" w:hAnsi="仿宋_GB2312" w:eastAsia="仿宋_GB2312"/>
          <w:sz w:val="32"/>
        </w:rPr>
      </w:pPr>
      <w:r>
        <w:rPr>
          <w:rFonts w:hint="eastAsia" w:ascii="黑体" w:hAnsi="黑体" w:eastAsia="黑体"/>
          <w:sz w:val="32"/>
        </w:rPr>
        <w:t>　　四、“三公”经费财政拨款预算情况</w:t>
      </w:r>
    </w:p>
    <w:p>
      <w:pPr>
        <w:spacing w:line="555" w:lineRule="exact"/>
        <w:ind w:firstLine="640" w:firstLineChars="200"/>
        <w:jc w:val="both"/>
        <w:rPr>
          <w:rFonts w:hint="eastAsia" w:ascii="仿宋_GB2312" w:hAnsi="仿宋_GB2312" w:eastAsia="仿宋_GB2312"/>
          <w:sz w:val="32"/>
        </w:rPr>
      </w:pPr>
      <w:r>
        <w:rPr>
          <w:rFonts w:hint="eastAsia" w:ascii="仿宋_GB2312" w:hAnsi="仿宋_GB2312" w:eastAsia="仿宋_GB2312"/>
          <w:sz w:val="32"/>
        </w:rPr>
        <w:t>厦门市湖里幼儿园单位2026年“三公”经费财政拨款预算数为0.00万元，其中：因公出国（境）经费0.00万元，公务接待费0.00万元，公务用车购置及运行费0.00万元。具体情况如下：</w:t>
      </w:r>
    </w:p>
    <w:p>
      <w:pPr>
        <w:spacing w:line="560" w:lineRule="exact"/>
        <w:ind w:firstLine="640" w:firstLineChars="200"/>
        <w:jc w:val="both"/>
        <w:rPr>
          <w:rFonts w:hint="eastAsia" w:ascii="仿宋_GB2312" w:hAnsi="仿宋_GB2312" w:eastAsia="仿宋_GB2312"/>
          <w:sz w:val="32"/>
        </w:rPr>
      </w:pPr>
      <w:r>
        <w:rPr>
          <w:rFonts w:hint="eastAsia" w:ascii="楷体_GB2312" w:hAnsi="楷体_GB2312" w:eastAsia="楷体_GB2312"/>
          <w:sz w:val="32"/>
        </w:rPr>
        <w:t>（一）因公出国（境）经费</w:t>
      </w:r>
    </w:p>
    <w:p>
      <w:pPr>
        <w:spacing w:line="560" w:lineRule="exact"/>
        <w:jc w:val="both"/>
        <w:rPr>
          <w:rFonts w:hint="eastAsia" w:ascii="楷体" w:hAnsi="楷体" w:eastAsia="楷体"/>
          <w:sz w:val="32"/>
        </w:rPr>
      </w:pPr>
      <w:r>
        <w:rPr>
          <w:rFonts w:hint="eastAsia" w:ascii="仿宋_GB2312" w:hAnsi="仿宋_GB2312" w:eastAsia="仿宋_GB2312"/>
          <w:sz w:val="32"/>
        </w:rPr>
        <w:t>　　202</w:t>
      </w:r>
      <w:r>
        <w:rPr>
          <w:rFonts w:hint="eastAsia" w:ascii="仿宋_GB2312" w:hAnsi="仿宋_GB2312" w:eastAsia="仿宋_GB2312"/>
          <w:sz w:val="32"/>
          <w:lang w:val="en-US" w:eastAsia="zh-CN"/>
        </w:rPr>
        <w:t>6</w:t>
      </w:r>
      <w:r>
        <w:rPr>
          <w:rFonts w:hint="eastAsia" w:ascii="仿宋_GB2312" w:hAnsi="仿宋_GB2312" w:eastAsia="仿宋_GB2312"/>
          <w:sz w:val="32"/>
        </w:rPr>
        <w:t>年预算安排0.00万元。</w:t>
      </w:r>
      <w:r>
        <w:rPr>
          <w:rFonts w:hint="eastAsia" w:ascii="仿宋_GB2312" w:hAnsi="??_GB2312" w:eastAsia="仿宋_GB2312"/>
          <w:color w:val="auto"/>
          <w:sz w:val="32"/>
        </w:rPr>
        <w:t>与上年预算相比下降0%，</w:t>
      </w:r>
      <w:r>
        <w:rPr>
          <w:rFonts w:hint="eastAsia" w:ascii="仿宋_GB2312" w:hAnsi="仿宋_GB2312" w:eastAsia="仿宋_GB2312"/>
          <w:color w:val="auto"/>
          <w:sz w:val="32"/>
        </w:rPr>
        <w:t>主要</w:t>
      </w:r>
      <w:r>
        <w:rPr>
          <w:rFonts w:hint="eastAsia" w:ascii="仿宋_GB2312" w:hAnsi="仿宋_GB2312" w:eastAsia="仿宋_GB2312"/>
          <w:color w:val="auto"/>
          <w:sz w:val="32"/>
          <w:lang w:eastAsia="zh-CN"/>
        </w:rPr>
        <w:t>原因是本</w:t>
      </w:r>
      <w:r>
        <w:rPr>
          <w:rFonts w:hint="eastAsia" w:ascii="仿宋" w:hAnsi="仿宋" w:eastAsia="仿宋"/>
          <w:color w:val="auto"/>
          <w:sz w:val="32"/>
          <w:lang w:val="en-US" w:eastAsia="zh-CN"/>
        </w:rPr>
        <w:t>年度无安排因公出国（境）活动，没有编制预算</w:t>
      </w:r>
      <w:r>
        <w:rPr>
          <w:rFonts w:hint="eastAsia" w:ascii="仿宋_GB2312" w:hAnsi="仿宋_GB2312" w:eastAsia="仿宋_GB2312"/>
          <w:color w:val="auto"/>
          <w:sz w:val="32"/>
        </w:rPr>
        <w:t>。</w:t>
      </w:r>
    </w:p>
    <w:p>
      <w:pPr>
        <w:spacing w:line="560" w:lineRule="exact"/>
        <w:jc w:val="both"/>
        <w:rPr>
          <w:rFonts w:hint="eastAsia" w:ascii="仿宋_GB2312" w:hAnsi="仿宋_GB2312" w:eastAsia="仿宋_GB2312"/>
          <w:sz w:val="32"/>
        </w:rPr>
      </w:pPr>
      <w:r>
        <w:rPr>
          <w:rFonts w:hint="eastAsia" w:ascii="楷体_GB2312" w:hAnsi="楷体_GB2312" w:eastAsia="楷体_GB2312"/>
          <w:sz w:val="32"/>
        </w:rPr>
        <w:t>　　（二）公务接待费</w:t>
      </w:r>
    </w:p>
    <w:p>
      <w:pPr>
        <w:spacing w:line="560" w:lineRule="exact"/>
        <w:jc w:val="both"/>
        <w:rPr>
          <w:rFonts w:hint="eastAsia" w:ascii="仿宋_GB2312" w:hAnsi="仿宋_GB2312" w:eastAsia="仿宋_GB2312"/>
          <w:sz w:val="32"/>
        </w:rPr>
      </w:pPr>
      <w:r>
        <w:rPr>
          <w:rFonts w:hint="eastAsia" w:ascii="仿宋_GB2312" w:hAnsi="仿宋_GB2312" w:eastAsia="仿宋_GB2312"/>
          <w:sz w:val="32"/>
        </w:rPr>
        <w:t>　　202</w:t>
      </w:r>
      <w:r>
        <w:rPr>
          <w:rFonts w:hint="eastAsia" w:ascii="仿宋_GB2312" w:hAnsi="仿宋_GB2312" w:eastAsia="仿宋_GB2312"/>
          <w:sz w:val="32"/>
          <w:lang w:val="en-US" w:eastAsia="zh-CN"/>
        </w:rPr>
        <w:t>6</w:t>
      </w:r>
      <w:r>
        <w:rPr>
          <w:rFonts w:hint="eastAsia" w:ascii="仿宋_GB2312" w:hAnsi="仿宋_GB2312" w:eastAsia="仿宋_GB2312"/>
          <w:sz w:val="32"/>
        </w:rPr>
        <w:t>年预算安排0.00万元。</w:t>
      </w:r>
      <w:r>
        <w:rPr>
          <w:rFonts w:hint="eastAsia" w:ascii="仿宋_GB2312" w:hAnsi="??_GB2312" w:eastAsia="仿宋_GB2312"/>
          <w:color w:val="auto"/>
          <w:sz w:val="32"/>
        </w:rPr>
        <w:t>与上年预算相比下降0%，主要原因是:</w:t>
      </w:r>
      <w:r>
        <w:rPr>
          <w:rFonts w:hint="eastAsia" w:ascii="仿宋" w:hAnsi="仿宋" w:eastAsia="仿宋"/>
          <w:color w:val="auto"/>
          <w:sz w:val="32"/>
        </w:rPr>
        <w:t xml:space="preserve"> </w:t>
      </w:r>
      <w:r>
        <w:rPr>
          <w:rFonts w:hint="eastAsia" w:ascii="仿宋" w:hAnsi="仿宋" w:eastAsia="仿宋"/>
          <w:color w:val="auto"/>
          <w:sz w:val="32"/>
          <w:lang w:val="en-US" w:eastAsia="zh-CN"/>
        </w:rPr>
        <w:t>本年度无安排公务接待活动，没有编制预算。</w:t>
      </w:r>
    </w:p>
    <w:p>
      <w:pPr>
        <w:spacing w:line="560" w:lineRule="exact"/>
        <w:jc w:val="both"/>
        <w:rPr>
          <w:rFonts w:hint="eastAsia" w:ascii="仿宋_GB2312" w:hAnsi="仿宋_GB2312" w:eastAsia="仿宋_GB2312"/>
          <w:sz w:val="32"/>
        </w:rPr>
      </w:pPr>
      <w:r>
        <w:rPr>
          <w:rFonts w:hint="eastAsia" w:ascii="楷体_GB2312" w:hAnsi="楷体_GB2312" w:eastAsia="楷体_GB2312"/>
          <w:sz w:val="32"/>
        </w:rPr>
        <w:t>　　（三）公务用车购置及运行费</w:t>
      </w:r>
    </w:p>
    <w:p>
      <w:pPr>
        <w:spacing w:line="555" w:lineRule="exact"/>
        <w:jc w:val="both"/>
        <w:rPr>
          <w:rFonts w:hint="eastAsia" w:eastAsia="宋体"/>
          <w:lang w:eastAsia="zh-CN"/>
        </w:rPr>
      </w:pPr>
      <w:r>
        <w:rPr>
          <w:rFonts w:hint="eastAsia" w:ascii="仿宋_GB2312" w:hAnsi="仿宋_GB2312" w:eastAsia="仿宋_GB2312"/>
          <w:sz w:val="32"/>
        </w:rPr>
        <w:t>　　20</w:t>
      </w:r>
      <w:r>
        <w:rPr>
          <w:rFonts w:hint="eastAsia" w:ascii="仿宋_GB2312" w:hAnsi="仿宋_GB2312" w:eastAsia="仿宋_GB2312"/>
          <w:sz w:val="32"/>
          <w:lang w:val="en-US" w:eastAsia="zh-CN"/>
        </w:rPr>
        <w:t>26</w:t>
      </w:r>
      <w:r>
        <w:rPr>
          <w:rFonts w:hint="eastAsia" w:ascii="仿宋_GB2312" w:hAnsi="仿宋_GB2312" w:eastAsia="仿宋_GB2312"/>
          <w:sz w:val="32"/>
        </w:rPr>
        <w:t>年预算安排0.00万元，</w:t>
      </w:r>
      <w:r>
        <w:rPr>
          <w:rFonts w:hint="eastAsia" w:ascii="仿宋_GB2312" w:hAnsi="仿宋_GB2312" w:eastAsia="仿宋_GB2312"/>
          <w:color w:val="auto"/>
          <w:sz w:val="32"/>
        </w:rPr>
        <w:t>其中：公务用车运行费0.00万元；公务用车购置费0.00万元。</w:t>
      </w:r>
      <w:r>
        <w:rPr>
          <w:rFonts w:hint="eastAsia" w:ascii="仿宋_GB2312" w:hAnsi="??_GB2312" w:eastAsia="仿宋_GB2312"/>
          <w:color w:val="auto"/>
          <w:sz w:val="32"/>
        </w:rPr>
        <w:t>与上年预算相比下降0%，主要原因是:</w:t>
      </w:r>
      <w:r>
        <w:rPr>
          <w:rFonts w:hint="eastAsia" w:ascii="仿宋_GB2312" w:hAnsi="仿宋" w:eastAsia="仿宋_GB2312"/>
          <w:color w:val="auto"/>
          <w:sz w:val="32"/>
        </w:rPr>
        <w:t xml:space="preserve"> </w:t>
      </w:r>
      <w:r>
        <w:rPr>
          <w:rFonts w:hint="eastAsia" w:ascii="仿宋" w:hAnsi="仿宋" w:eastAsia="仿宋"/>
          <w:color w:val="auto"/>
          <w:sz w:val="32"/>
          <w:lang w:val="en-US" w:eastAsia="zh-CN"/>
        </w:rPr>
        <w:t>本年度没有</w:t>
      </w:r>
      <w:r>
        <w:rPr>
          <w:rFonts w:hint="eastAsia" w:ascii="仿宋_GB2312" w:hAnsi="仿宋_GB2312" w:eastAsia="仿宋_GB2312"/>
          <w:color w:val="auto"/>
          <w:sz w:val="32"/>
        </w:rPr>
        <w:t>公务用车购置及运行费</w:t>
      </w:r>
      <w:r>
        <w:rPr>
          <w:rFonts w:hint="eastAsia" w:ascii="仿宋" w:hAnsi="仿宋" w:eastAsia="仿宋"/>
          <w:color w:val="auto"/>
          <w:sz w:val="32"/>
          <w:lang w:val="en-US" w:eastAsia="zh-CN"/>
        </w:rPr>
        <w:t>预算</w:t>
      </w:r>
      <w:r>
        <w:rPr>
          <w:rFonts w:hint="eastAsia" w:ascii="仿宋_GB2312" w:hAnsi="仿宋_GB2312" w:eastAsia="仿宋_GB2312"/>
          <w:sz w:val="32"/>
        </w:rPr>
        <w:t>。</w:t>
      </w:r>
    </w:p>
    <w:p>
      <w:pPr>
        <w:spacing w:line="555" w:lineRule="exact"/>
        <w:jc w:val="both"/>
        <w:rPr>
          <w:rFonts w:hint="eastAsia" w:ascii="华文仿宋" w:hAnsi="华文仿宋" w:eastAsia="华文仿宋"/>
          <w:sz w:val="32"/>
        </w:rPr>
      </w:pPr>
      <w:r>
        <w:rPr>
          <w:rFonts w:hint="eastAsia" w:ascii="黑体" w:hAnsi="黑体" w:eastAsia="黑体"/>
          <w:sz w:val="32"/>
        </w:rPr>
        <w:t>　　五、其他重要事项的情况说明</w:t>
      </w:r>
    </w:p>
    <w:p>
      <w:pPr>
        <w:spacing w:line="555" w:lineRule="exact"/>
        <w:jc w:val="both"/>
        <w:rPr>
          <w:rFonts w:hint="eastAsia" w:ascii="仿宋_GB2312" w:hAnsi="仿宋_GB2312" w:eastAsia="仿宋_GB2312"/>
          <w:sz w:val="32"/>
        </w:rPr>
      </w:pPr>
      <w:r>
        <w:rPr>
          <w:rFonts w:hint="eastAsia" w:ascii="华文仿宋" w:hAnsi="华文仿宋" w:eastAsia="华文仿宋"/>
          <w:sz w:val="32"/>
        </w:rPr>
        <w:t>　　</w:t>
      </w:r>
      <w:r>
        <w:rPr>
          <w:rFonts w:hint="eastAsia" w:ascii="楷体" w:hAnsi="楷体" w:eastAsia="楷体"/>
          <w:sz w:val="32"/>
        </w:rPr>
        <w:t>（一）机关运行经费</w:t>
      </w:r>
    </w:p>
    <w:p>
      <w:pPr>
        <w:spacing w:line="560" w:lineRule="exact"/>
        <w:ind w:firstLine="640" w:firstLineChars="200"/>
        <w:jc w:val="both"/>
        <w:rPr>
          <w:rFonts w:hint="eastAsia" w:ascii="华文仿宋" w:hAnsi="华文仿宋" w:eastAsia="华文仿宋"/>
          <w:sz w:val="32"/>
        </w:rPr>
      </w:pPr>
      <w:r>
        <w:rPr>
          <w:rFonts w:hint="eastAsia" w:ascii="仿宋_GB2312" w:hAnsi="仿宋_GB2312" w:eastAsia="仿宋_GB2312"/>
          <w:sz w:val="32"/>
        </w:rPr>
        <w:t>2026年厦门市湖里幼儿园的机关运行经费财政拨款预算</w:t>
      </w:r>
      <w:r>
        <w:rPr>
          <w:rFonts w:hint="eastAsia" w:ascii="仿宋_GB2312" w:hAnsi="仿宋_GB2312" w:eastAsia="仿宋_GB2312"/>
          <w:sz w:val="32"/>
          <w:lang w:val="en-US" w:eastAsia="zh-CN"/>
        </w:rPr>
        <w:t>0</w:t>
      </w:r>
      <w:r>
        <w:rPr>
          <w:rFonts w:hint="eastAsia" w:ascii="仿宋_GB2312" w:hAnsi="仿宋_GB2312" w:eastAsia="仿宋_GB2312"/>
          <w:sz w:val="32"/>
        </w:rPr>
        <w:t>万元，比2025年预算减少（增加）</w:t>
      </w:r>
      <w:r>
        <w:rPr>
          <w:rFonts w:hint="eastAsia" w:ascii="仿宋_GB2312" w:hAnsi="仿宋_GB2312" w:eastAsia="仿宋_GB2312"/>
          <w:color w:val="auto"/>
          <w:sz w:val="32"/>
          <w:lang w:val="en-US" w:eastAsia="zh-CN"/>
        </w:rPr>
        <w:t>0</w:t>
      </w:r>
      <w:r>
        <w:rPr>
          <w:rFonts w:hint="eastAsia" w:ascii="仿宋_GB2312" w:hAnsi="仿宋_GB2312" w:eastAsia="仿宋_GB2312"/>
          <w:color w:val="auto"/>
          <w:sz w:val="32"/>
        </w:rPr>
        <w:t>万元，下降（增长）</w:t>
      </w:r>
      <w:r>
        <w:rPr>
          <w:rFonts w:hint="eastAsia" w:ascii="仿宋_GB2312" w:hAnsi="仿宋_GB2312" w:eastAsia="仿宋_GB2312"/>
          <w:color w:val="auto"/>
          <w:sz w:val="32"/>
          <w:lang w:val="en-US" w:eastAsia="zh-CN"/>
        </w:rPr>
        <w:t>0</w:t>
      </w:r>
      <w:r>
        <w:rPr>
          <w:rFonts w:hint="eastAsia" w:ascii="仿宋_GB2312" w:hAnsi="仿宋_GB2312" w:eastAsia="仿宋_GB2312"/>
          <w:sz w:val="32"/>
        </w:rPr>
        <w:t>%。</w:t>
      </w:r>
      <w:r>
        <w:rPr>
          <w:rFonts w:hint="eastAsia" w:ascii="仿宋_GB2312" w:hAnsi="仿宋_GB2312" w:eastAsia="仿宋_GB2312"/>
          <w:sz w:val="32"/>
          <w:lang w:eastAsia="zh-CN"/>
        </w:rPr>
        <w:t>主要原因</w:t>
      </w:r>
      <w:r>
        <w:rPr>
          <w:rFonts w:hint="eastAsia" w:ascii="仿宋_GB2312" w:hAnsi="仿宋_GB2312" w:eastAsia="仿宋_GB2312"/>
          <w:sz w:val="32"/>
        </w:rPr>
        <w:t>:本</w:t>
      </w:r>
      <w:r>
        <w:rPr>
          <w:rFonts w:hint="eastAsia" w:ascii="仿宋_GB2312" w:hAnsi="仿宋_GB2312" w:eastAsia="仿宋_GB2312"/>
          <w:sz w:val="32"/>
          <w:lang w:eastAsia="zh-CN"/>
        </w:rPr>
        <w:t>单位</w:t>
      </w:r>
      <w:r>
        <w:rPr>
          <w:rFonts w:hint="eastAsia" w:ascii="仿宋" w:hAnsi="仿宋" w:eastAsia="仿宋"/>
          <w:color w:val="auto"/>
          <w:sz w:val="32"/>
        </w:rPr>
        <w:t>为事业单位，</w:t>
      </w:r>
      <w:r>
        <w:rPr>
          <w:rFonts w:hint="eastAsia" w:ascii="仿宋" w:hAnsi="仿宋" w:eastAsia="仿宋"/>
          <w:color w:val="auto"/>
          <w:sz w:val="32"/>
          <w:lang w:val="en-US" w:eastAsia="zh-CN"/>
        </w:rPr>
        <w:t>2026年</w:t>
      </w:r>
      <w:r>
        <w:rPr>
          <w:rFonts w:hint="eastAsia" w:ascii="仿宋" w:hAnsi="仿宋" w:eastAsia="仿宋"/>
          <w:color w:val="auto"/>
          <w:sz w:val="32"/>
        </w:rPr>
        <w:t>没有机关运行经费</w:t>
      </w:r>
      <w:r>
        <w:rPr>
          <w:rFonts w:hint="eastAsia" w:ascii="仿宋" w:hAnsi="仿宋" w:eastAsia="仿宋"/>
          <w:color w:val="auto"/>
          <w:sz w:val="32"/>
          <w:lang w:eastAsia="zh-CN"/>
        </w:rPr>
        <w:t>预算</w:t>
      </w:r>
      <w:r>
        <w:rPr>
          <w:rFonts w:hint="eastAsia" w:ascii="仿宋_GB2312" w:hAnsi="仿宋_GB2312" w:eastAsia="仿宋_GB2312"/>
          <w:sz w:val="32"/>
        </w:rPr>
        <w:t>。</w:t>
      </w:r>
    </w:p>
    <w:p>
      <w:pPr>
        <w:pStyle w:val="8"/>
        <w:ind w:firstLine="640"/>
        <w:jc w:val="both"/>
        <w:rPr>
          <w:rFonts w:hint="eastAsia"/>
        </w:rPr>
      </w:pPr>
    </w:p>
    <w:p>
      <w:pPr>
        <w:spacing w:line="555" w:lineRule="exact"/>
        <w:jc w:val="both"/>
        <w:rPr>
          <w:rFonts w:hint="eastAsia" w:ascii="仿宋_GB2312" w:hAnsi="仿宋_GB2312" w:eastAsia="仿宋_GB2312"/>
          <w:sz w:val="32"/>
        </w:rPr>
      </w:pPr>
      <w:r>
        <w:rPr>
          <w:rFonts w:hint="eastAsia" w:ascii="华文仿宋" w:hAnsi="华文仿宋" w:eastAsia="华文仿宋"/>
          <w:sz w:val="32"/>
        </w:rPr>
        <w:t>　　</w:t>
      </w:r>
      <w:r>
        <w:rPr>
          <w:rFonts w:hint="eastAsia" w:ascii="楷体" w:hAnsi="楷体" w:eastAsia="楷体"/>
          <w:sz w:val="32"/>
        </w:rPr>
        <w:t>（二）政府采购情况</w:t>
      </w:r>
    </w:p>
    <w:p>
      <w:pPr>
        <w:spacing w:line="555" w:lineRule="exact"/>
        <w:ind w:firstLine="640"/>
        <w:jc w:val="both"/>
        <w:rPr>
          <w:rFonts w:hint="default"/>
        </w:rPr>
      </w:pPr>
      <w:r>
        <w:rPr>
          <w:rFonts w:hint="eastAsia" w:ascii="仿宋_GB2312" w:hAnsi="仿宋_GB2312" w:eastAsia="仿宋_GB2312"/>
          <w:sz w:val="32"/>
        </w:rPr>
        <w:t>2026年厦门市湖里幼儿园政府采购预算总额0.00万元，其中：政府采购货物预算0.00万元，政府采购工程预算0.00万元，政府采购服务预算0.00万元。</w:t>
      </w:r>
      <w:r>
        <w:rPr>
          <w:rFonts w:hint="eastAsia" w:ascii="仿宋_GB2312" w:hAnsi="仿宋_GB2312" w:eastAsia="仿宋_GB2312"/>
          <w:sz w:val="32"/>
          <w:lang w:eastAsia="zh-CN"/>
        </w:rPr>
        <w:t>主要原因</w:t>
      </w:r>
      <w:r>
        <w:rPr>
          <w:rFonts w:hint="eastAsia" w:ascii="仿宋_GB2312" w:hAnsi="仿宋_GB2312" w:eastAsia="仿宋_GB2312"/>
          <w:sz w:val="32"/>
        </w:rPr>
        <w:t>:本</w:t>
      </w:r>
      <w:r>
        <w:rPr>
          <w:rFonts w:hint="eastAsia" w:ascii="仿宋_GB2312" w:hAnsi="仿宋_GB2312" w:eastAsia="仿宋_GB2312"/>
          <w:sz w:val="32"/>
          <w:lang w:eastAsia="zh-CN"/>
        </w:rPr>
        <w:t>单位</w:t>
      </w:r>
      <w:r>
        <w:rPr>
          <w:rFonts w:hint="eastAsia" w:ascii="仿宋" w:hAnsi="仿宋" w:eastAsia="仿宋"/>
          <w:color w:val="auto"/>
          <w:sz w:val="32"/>
          <w:lang w:val="en-US" w:eastAsia="zh-CN"/>
        </w:rPr>
        <w:t>2026年</w:t>
      </w:r>
      <w:r>
        <w:rPr>
          <w:rFonts w:hint="eastAsia" w:ascii="仿宋" w:hAnsi="仿宋" w:eastAsia="仿宋"/>
          <w:color w:val="auto"/>
          <w:sz w:val="32"/>
        </w:rPr>
        <w:t>没有</w:t>
      </w:r>
      <w:r>
        <w:rPr>
          <w:rFonts w:hint="eastAsia" w:ascii="仿宋" w:hAnsi="仿宋" w:eastAsia="仿宋"/>
          <w:color w:val="auto"/>
          <w:sz w:val="32"/>
          <w:lang w:eastAsia="zh-CN"/>
        </w:rPr>
        <w:t>政府采购预算安排</w:t>
      </w:r>
      <w:r>
        <w:rPr>
          <w:rFonts w:hint="eastAsia" w:ascii="仿宋_GB2312" w:hAnsi="仿宋_GB2312" w:eastAsia="仿宋_GB2312"/>
          <w:sz w:val="32"/>
        </w:rPr>
        <w:t>。</w:t>
      </w:r>
    </w:p>
    <w:p>
      <w:pPr>
        <w:spacing w:line="555" w:lineRule="exact"/>
        <w:jc w:val="both"/>
        <w:rPr>
          <w:rFonts w:hint="eastAsia" w:ascii="仿宋_GB2312" w:hAnsi="仿宋_GB2312" w:eastAsia="仿宋_GB2312"/>
          <w:sz w:val="32"/>
        </w:rPr>
      </w:pPr>
      <w:r>
        <w:rPr>
          <w:rFonts w:hint="eastAsia" w:ascii="Dialog" w:hAnsi="Dialog" w:eastAsia="仿宋_GB2312"/>
          <w:sz w:val="32"/>
        </w:rPr>
        <w:t>　　</w:t>
      </w:r>
      <w:r>
        <w:rPr>
          <w:rFonts w:hint="eastAsia" w:ascii="楷体" w:hAnsi="楷体" w:eastAsia="楷体"/>
          <w:sz w:val="32"/>
        </w:rPr>
        <w:t>（三）国有资产占有使用情况</w:t>
      </w:r>
    </w:p>
    <w:p>
      <w:pPr>
        <w:spacing w:line="555" w:lineRule="exact"/>
        <w:ind w:firstLine="640"/>
        <w:jc w:val="both"/>
        <w:rPr>
          <w:rFonts w:hint="eastAsia"/>
        </w:rPr>
      </w:pPr>
      <w:r>
        <w:rPr>
          <w:rFonts w:hint="eastAsia" w:ascii="仿宋_GB2312" w:hAnsi="仿宋_GB2312" w:eastAsia="仿宋_GB2312"/>
          <w:sz w:val="32"/>
        </w:rPr>
        <w:t>截至2025年12月31日，厦门市湖里幼儿园所属各预算单位共有车辆</w:t>
      </w:r>
      <w:r>
        <w:rPr>
          <w:rFonts w:hint="eastAsia" w:ascii="仿宋_GB2312" w:hAnsi="仿宋_GB2312" w:eastAsia="仿宋_GB2312"/>
          <w:color w:val="auto"/>
          <w:sz w:val="32"/>
          <w:lang w:val="en-US" w:eastAsia="zh-CN"/>
        </w:rPr>
        <w:t>0</w:t>
      </w:r>
      <w:r>
        <w:rPr>
          <w:rFonts w:hint="eastAsia" w:ascii="仿宋_GB2312" w:hAnsi="仿宋_GB2312" w:eastAsia="仿宋_GB2312"/>
          <w:color w:val="auto"/>
          <w:sz w:val="32"/>
        </w:rPr>
        <w:t>辆，单位价值100万元以上设备</w:t>
      </w:r>
      <w:r>
        <w:rPr>
          <w:rFonts w:hint="eastAsia" w:ascii="仿宋_GB2312" w:hAnsi="仿宋_GB2312" w:eastAsia="仿宋_GB2312"/>
          <w:color w:val="auto"/>
          <w:sz w:val="32"/>
          <w:lang w:val="en-US" w:eastAsia="zh-CN"/>
        </w:rPr>
        <w:t>0</w:t>
      </w:r>
      <w:r>
        <w:rPr>
          <w:rFonts w:hint="eastAsia" w:ascii="仿宋_GB2312" w:hAnsi="仿宋_GB2312" w:eastAsia="仿宋_GB2312"/>
          <w:sz w:val="32"/>
        </w:rPr>
        <w:t>台（套）。</w:t>
      </w:r>
      <w:r>
        <w:rPr>
          <w:rFonts w:hint="eastAsia" w:ascii="仿宋_GB2312" w:hAnsi="仿宋_GB2312" w:eastAsia="仿宋_GB2312"/>
          <w:sz w:val="32"/>
          <w:lang w:eastAsia="zh-CN"/>
        </w:rPr>
        <w:t>说明：本单位没有国有资产占有使用情况</w:t>
      </w:r>
      <w:r>
        <w:rPr>
          <w:rFonts w:hint="eastAsia" w:ascii="仿宋_GB2312" w:hAnsi="仿宋_GB2312" w:eastAsia="仿宋_GB2312"/>
          <w:sz w:val="32"/>
        </w:rPr>
        <w:t>。</w:t>
      </w:r>
    </w:p>
    <w:p>
      <w:pPr>
        <w:spacing w:line="555" w:lineRule="exact"/>
        <w:jc w:val="both"/>
        <w:rPr>
          <w:rFonts w:hint="eastAsia" w:ascii="仿宋_GB2312" w:hAnsi="仿宋_GB2312" w:eastAsia="仿宋_GB2312"/>
          <w:sz w:val="32"/>
        </w:rPr>
      </w:pPr>
      <w:r>
        <w:rPr>
          <w:rFonts w:hint="eastAsia" w:ascii="Dialog" w:hAnsi="Dialog" w:eastAsia="仿宋_GB2312"/>
          <w:sz w:val="32"/>
        </w:rPr>
        <w:t>　　</w:t>
      </w:r>
      <w:r>
        <w:rPr>
          <w:rFonts w:hint="eastAsia" w:ascii="楷体" w:hAnsi="楷体" w:eastAsia="楷体"/>
          <w:sz w:val="32"/>
        </w:rPr>
        <w:t>（四）绩效目标设置情况</w:t>
      </w:r>
    </w:p>
    <w:p>
      <w:pPr>
        <w:spacing w:line="555" w:lineRule="exact"/>
        <w:ind w:firstLine="640" w:firstLineChars="200"/>
        <w:jc w:val="both"/>
        <w:rPr>
          <w:rFonts w:hint="eastAsia" w:ascii="仿宋_GB2312" w:hAnsi="仿宋_GB2312" w:eastAsia="仿宋_GB2312"/>
          <w:sz w:val="32"/>
        </w:rPr>
      </w:pPr>
      <w:r>
        <w:rPr>
          <w:rFonts w:hint="eastAsia" w:ascii="仿宋_GB2312" w:hAnsi="仿宋_GB2312" w:eastAsia="仿宋_GB2312"/>
          <w:sz w:val="32"/>
        </w:rPr>
        <w:t>厦门市湖里幼儿园2026年实行绩效目标管理的二级项目0个，涉及一般公共预算拨款0.00万元、政府性基金预算拨款0.00万元。</w:t>
      </w:r>
      <w:r>
        <w:rPr>
          <w:rFonts w:hint="eastAsia" w:ascii="仿宋" w:hAnsi="仿宋" w:eastAsia="仿宋"/>
          <w:sz w:val="32"/>
          <w:lang w:eastAsia="zh-CN"/>
        </w:rPr>
        <w:t>说明：</w:t>
      </w:r>
      <w:r>
        <w:rPr>
          <w:rFonts w:hint="eastAsia" w:ascii="仿宋_GB2312" w:hAnsi="仿宋_GB2312" w:eastAsia="仿宋_GB2312"/>
          <w:color w:val="auto"/>
          <w:sz w:val="32"/>
          <w:lang w:val="en-US" w:eastAsia="zh-CN"/>
        </w:rPr>
        <w:t>2026年</w:t>
      </w:r>
      <w:r>
        <w:rPr>
          <w:rFonts w:hint="eastAsia" w:ascii="FangSong_GB2312" w:hAnsi="FangSong_GB2312" w:eastAsia="FangSong_GB2312"/>
          <w:color w:val="auto"/>
          <w:sz w:val="32"/>
          <w:lang w:eastAsia="zh-CN"/>
        </w:rPr>
        <w:t>本单位没有项目预算安排</w:t>
      </w:r>
      <w:r>
        <w:rPr>
          <w:rFonts w:hint="eastAsia" w:ascii="仿宋_GB2312" w:hAnsi="仿宋_GB2312" w:eastAsia="仿宋_GB2312"/>
          <w:sz w:val="32"/>
        </w:rPr>
        <w:t>。</w:t>
      </w:r>
    </w:p>
    <w:p>
      <w:pPr>
        <w:pStyle w:val="2"/>
        <w:ind w:left="0" w:leftChars="0" w:firstLine="0" w:firstLineChars="0"/>
        <w:rPr>
          <w:rFonts w:hint="eastAsia"/>
        </w:rPr>
      </w:pPr>
    </w:p>
    <w:p>
      <w:pPr>
        <w:spacing w:line="555" w:lineRule="exact"/>
        <w:ind w:left="20"/>
        <w:jc w:val="center"/>
        <w:rPr>
          <w:rFonts w:hint="eastAsia" w:ascii="楷体_GB2312" w:hAnsi="楷体_GB2312" w:eastAsia="楷体_GB2312"/>
          <w:sz w:val="32"/>
        </w:rPr>
      </w:pPr>
      <w:r>
        <w:rPr>
          <w:rFonts w:hint="eastAsia" w:ascii="黑体" w:hAnsi="黑体" w:eastAsia="黑体"/>
          <w:sz w:val="32"/>
        </w:rPr>
        <w:t>第三部分  名词解释</w:t>
      </w:r>
    </w:p>
    <w:p>
      <w:pPr>
        <w:spacing w:line="555" w:lineRule="exact"/>
        <w:ind w:firstLine="640" w:firstLineChars="200"/>
        <w:jc w:val="both"/>
        <w:rPr>
          <w:rFonts w:hint="default" w:ascii="楷体_GB2312" w:hAnsi="楷体_GB2312" w:eastAsia="楷体_GB2312"/>
          <w:sz w:val="32"/>
        </w:rPr>
      </w:pPr>
      <w:r>
        <w:rPr>
          <w:rFonts w:hint="eastAsia" w:ascii="楷体_GB2312" w:hAnsi="楷体_GB2312" w:eastAsia="楷体_GB2312"/>
          <w:sz w:val="32"/>
        </w:rPr>
        <w:t>一、基本支出</w:t>
      </w:r>
      <w:r>
        <w:rPr>
          <w:rFonts w:hint="eastAsia" w:ascii="楷体" w:hAnsi="楷体" w:eastAsia="楷体"/>
          <w:sz w:val="32"/>
        </w:rPr>
        <w:t>：</w:t>
      </w:r>
      <w:r>
        <w:rPr>
          <w:rFonts w:hint="eastAsia" w:ascii="仿宋_GB2312" w:hAnsi="仿宋_GB2312" w:eastAsia="仿宋_GB2312"/>
          <w:sz w:val="32"/>
        </w:rPr>
        <w:t>指为保障机构正常运转、完成日常工作任务而发生的人员支出、对个人和家庭的补助支出和公用支出。</w:t>
      </w:r>
    </w:p>
    <w:p>
      <w:pPr>
        <w:spacing w:line="555" w:lineRule="exact"/>
        <w:jc w:val="both"/>
        <w:rPr>
          <w:rFonts w:hint="default" w:ascii="楷体_GB2312" w:hAnsi="楷体_GB2312" w:eastAsia="楷体_GB2312"/>
          <w:sz w:val="32"/>
        </w:rPr>
      </w:pPr>
      <w:r>
        <w:rPr>
          <w:rFonts w:hint="eastAsia" w:ascii="楷体_GB2312" w:hAnsi="楷体_GB2312" w:eastAsia="楷体_GB2312"/>
          <w:sz w:val="32"/>
        </w:rPr>
        <w:t>　　二、项目支出：</w:t>
      </w:r>
      <w:r>
        <w:rPr>
          <w:rFonts w:hint="eastAsia" w:ascii="仿宋_GB2312" w:hAnsi="仿宋_GB2312" w:eastAsia="仿宋_GB2312"/>
          <w:sz w:val="32"/>
        </w:rPr>
        <w:t>指在基本支出之外为完成特定行政任务和事业发展目标所发生的支出，包括部门专项、发展经费和基建项目。</w:t>
      </w:r>
    </w:p>
    <w:p>
      <w:pPr>
        <w:spacing w:line="555" w:lineRule="exact"/>
        <w:jc w:val="both"/>
        <w:rPr>
          <w:rFonts w:hint="default" w:ascii="楷体_GB2312" w:hAnsi="楷体_GB2312" w:eastAsia="楷体_GB2312"/>
          <w:sz w:val="32"/>
        </w:rPr>
      </w:pPr>
      <w:r>
        <w:rPr>
          <w:rFonts w:hint="eastAsia" w:ascii="楷体_GB2312" w:hAnsi="楷体_GB2312" w:eastAsia="楷体_GB2312"/>
          <w:sz w:val="32"/>
        </w:rPr>
        <w:t>　　三、“三公”经费：</w:t>
      </w:r>
      <w:r>
        <w:rPr>
          <w:rFonts w:hint="eastAsia" w:ascii="仿宋_GB2312" w:hAnsi="仿宋_GB2312" w:eastAsia="仿宋_GB2312"/>
          <w:sz w:val="32"/>
        </w:rPr>
        <w:t>纳入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燃料费、维修费、过路过桥费、保险费、安全奖励费用等支出；公务接待费反映单位按规定开支的各类公务接待（含外宾接待）支出。</w:t>
      </w:r>
    </w:p>
    <w:p>
      <w:pPr>
        <w:spacing w:line="555" w:lineRule="exact"/>
        <w:jc w:val="both"/>
        <w:rPr>
          <w:rFonts w:hint="default" w:ascii="楷体_GB2312" w:hAnsi="楷体_GB2312" w:eastAsia="楷体_GB2312"/>
          <w:sz w:val="32"/>
        </w:rPr>
      </w:pPr>
      <w:r>
        <w:rPr>
          <w:rFonts w:hint="eastAsia" w:ascii="楷体_GB2312" w:hAnsi="楷体_GB2312" w:eastAsia="楷体_GB2312"/>
          <w:sz w:val="32"/>
        </w:rPr>
        <w:t>　　四、机关运行经费：</w:t>
      </w:r>
      <w:r>
        <w:rPr>
          <w:rFonts w:hint="eastAsia" w:ascii="仿宋_GB2312" w:hAnsi="仿宋_GB2312" w:eastAsia="仿宋_GB2312"/>
          <w:sz w:val="32"/>
        </w:rPr>
        <w:t>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spacing w:line="555" w:lineRule="exact"/>
        <w:jc w:val="both"/>
        <w:rPr>
          <w:rFonts w:hint="eastAsia" w:ascii="黑体" w:hAnsi="黑体" w:eastAsia="黑体"/>
          <w:sz w:val="32"/>
        </w:rPr>
      </w:pPr>
      <w:r>
        <w:rPr>
          <w:rFonts w:hint="eastAsia" w:ascii="楷体_GB2312" w:hAnsi="楷体_GB2312" w:eastAsia="楷体_GB2312"/>
          <w:sz w:val="32"/>
        </w:rPr>
        <w:t>　　五、其他名词解释。</w:t>
      </w:r>
      <w:r>
        <w:rPr>
          <w:rFonts w:hint="eastAsia" w:ascii="仿宋_GB2312" w:hAnsi="仿宋_GB2312" w:eastAsia="仿宋_GB2312"/>
          <w:sz w:val="32"/>
          <w:lang w:eastAsia="zh-CN"/>
        </w:rPr>
        <w:t>无</w:t>
      </w:r>
    </w:p>
    <w:p>
      <w:pPr>
        <w:spacing w:line="555" w:lineRule="exact"/>
        <w:ind w:left="20"/>
        <w:jc w:val="both"/>
        <w:rPr>
          <w:rFonts w:hint="eastAsia" w:ascii="黑体" w:hAnsi="黑体" w:eastAsia="黑体"/>
          <w:sz w:val="32"/>
        </w:rPr>
      </w:pPr>
    </w:p>
    <w:p>
      <w:pPr>
        <w:spacing w:line="555" w:lineRule="exact"/>
        <w:ind w:left="20"/>
        <w:jc w:val="center"/>
        <w:rPr>
          <w:rFonts w:hint="eastAsia" w:ascii="黑体" w:hAnsi="黑体" w:eastAsia="黑体"/>
          <w:sz w:val="32"/>
        </w:rPr>
      </w:pPr>
      <w:r>
        <w:rPr>
          <w:rFonts w:hint="eastAsia" w:ascii="黑体" w:hAnsi="黑体" w:eastAsia="黑体"/>
          <w:sz w:val="32"/>
        </w:rPr>
        <w:t>第四部分  2026年单位预算附表</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一、部门收支预算总体情况表</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二、部门收入预算总体情况表</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三、部门支出预算总体情况表</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四、财政拨款收支预算总体情况表</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五、一般公共预算支出情况表</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六、一般公共预算基本支出情况表（经济分类款级科目）</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七、一般公共预算“三公”经费支出情况表</w:t>
      </w:r>
    </w:p>
    <w:p>
      <w:pPr>
        <w:spacing w:line="540" w:lineRule="exact"/>
        <w:jc w:val="both"/>
        <w:rPr>
          <w:rFonts w:hint="eastAsia" w:ascii="仿宋_GB2312" w:hAnsi="仿宋_GB2312" w:eastAsia="仿宋_GB2312"/>
          <w:sz w:val="32"/>
        </w:rPr>
      </w:pPr>
      <w:r>
        <w:rPr>
          <w:rFonts w:hint="eastAsia" w:ascii="仿宋_GB2312" w:hAnsi="仿宋_GB2312" w:eastAsia="仿宋_GB2312"/>
          <w:sz w:val="32"/>
        </w:rPr>
        <w:t>　　八、政府性基金预算支出情况表</w:t>
      </w:r>
    </w:p>
    <w:p>
      <w:pPr>
        <w:spacing w:line="540" w:lineRule="exact"/>
        <w:ind w:firstLine="640" w:firstLineChars="200"/>
        <w:jc w:val="both"/>
        <w:rPr>
          <w:rFonts w:hint="eastAsia" w:ascii="仿宋_GB2312" w:hAnsi="仿宋_GB2312" w:eastAsia="仿宋_GB2312"/>
          <w:sz w:val="32"/>
        </w:rPr>
      </w:pPr>
      <w:r>
        <w:rPr>
          <w:rFonts w:hint="eastAsia" w:ascii="仿宋_GB2312" w:hAnsi="仿宋_GB2312" w:eastAsia="仿宋_GB2312"/>
          <w:sz w:val="32"/>
        </w:rPr>
        <w:t>九、区对镇（街）转移支付项目支出预算表</w:t>
      </w:r>
    </w:p>
    <w:p>
      <w:pPr>
        <w:pStyle w:val="4"/>
        <w:jc w:val="both"/>
        <w:rPr>
          <w:rFonts w:hint="eastAsia" w:ascii="仿宋_GB2312" w:hAnsi="仿宋_GB2312" w:eastAsia="仿宋_GB2312" w:cs="Times New Roman"/>
          <w:b w:val="0"/>
          <w:color w:val="000000"/>
          <w:sz w:val="32"/>
          <w:szCs w:val="22"/>
        </w:rPr>
      </w:pPr>
      <w:r>
        <w:rPr>
          <w:rFonts w:hint="eastAsia" w:ascii="仿宋_GB2312" w:hAnsi="仿宋_GB2312" w:eastAsia="仿宋_GB2312" w:cs="Times New Roman"/>
          <w:b w:val="0"/>
          <w:color w:val="000000"/>
          <w:sz w:val="32"/>
          <w:szCs w:val="22"/>
          <w:lang w:eastAsia="zh-CN"/>
        </w:rPr>
        <w:t>十、</w:t>
      </w:r>
      <w:r>
        <w:rPr>
          <w:rFonts w:hint="eastAsia" w:ascii="仿宋_GB2312" w:hAnsi="仿宋_GB2312" w:eastAsia="仿宋_GB2312" w:cs="Times New Roman"/>
          <w:b w:val="0"/>
          <w:color w:val="000000"/>
          <w:sz w:val="32"/>
          <w:szCs w:val="22"/>
        </w:rPr>
        <w:t>二级项目绩效目标表</w:t>
      </w:r>
    </w:p>
    <w:p>
      <w:pPr>
        <w:spacing w:line="540" w:lineRule="exact"/>
        <w:jc w:val="both"/>
        <w:rPr>
          <w:rFonts w:hint="eastAsia" w:ascii="仿宋_GB2312" w:hAnsi="仿宋_GB2312" w:eastAsia="仿宋_GB2312"/>
          <w:sz w:val="32"/>
        </w:rPr>
      </w:pPr>
      <w:r>
        <w:rPr>
          <w:rFonts w:hint="eastAsia" w:ascii="黑体" w:hAnsi="黑体" w:eastAsia="黑体"/>
          <w:sz w:val="32"/>
        </w:rPr>
        <w:t>　　</w:t>
      </w:r>
    </w:p>
    <w:p>
      <w:pPr>
        <w:spacing w:line="540" w:lineRule="exact"/>
        <w:jc w:val="both"/>
        <w:rPr>
          <w:rFonts w:hint="eastAsia" w:ascii="黑体" w:hAnsi="黑体" w:eastAsia="黑体"/>
          <w:sz w:val="32"/>
        </w:rPr>
      </w:pPr>
    </w:p>
    <w:p>
      <w:pPr>
        <w:spacing w:line="540" w:lineRule="exact"/>
        <w:jc w:val="both"/>
        <w:rPr>
          <w:rFonts w:hint="eastAsia" w:ascii="黑体" w:hAnsi="黑体" w:eastAsia="黑体"/>
          <w:sz w:val="32"/>
        </w:rPr>
      </w:pPr>
    </w:p>
    <w:p>
      <w:pPr>
        <w:rPr>
          <w:rFonts w:hint="default"/>
          <w:sz w:val="24"/>
        </w:rPr>
      </w:pPr>
    </w:p>
    <w:p/>
    <w:sectPr>
      <w:footerReference r:id="rId3" w:type="default"/>
      <w:pgSz w:w="11905" w:h="16837"/>
      <w:pgMar w:top="1388" w:right="1559" w:bottom="1388" w:left="1559"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roman"/>
    <w:pitch w:val="default"/>
    <w:sig w:usb0="00000000" w:usb1="00000000" w:usb2="00000000" w:usb3="00000000" w:csb0="00040000" w:csb1="00000000"/>
  </w:font>
  <w:font w:name="仿宋_GB2312">
    <w:altName w:val="仿宋"/>
    <w:panose1 w:val="02010609030101010101"/>
    <w:charset w:val="86"/>
    <w:family w:val="roman"/>
    <w:pitch w:val="default"/>
    <w:sig w:usb0="00000000" w:usb1="00000000" w:usb2="00000000" w:usb3="00000000" w:csb0="00040000" w:csb1="00000000"/>
  </w:font>
  <w:font w:name="方正小标宋简体">
    <w:altName w:val="黑体"/>
    <w:panose1 w:val="02010601030101010101"/>
    <w:charset w:val="86"/>
    <w:family w:val="roman"/>
    <w:pitch w:val="default"/>
    <w:sig w:usb0="00000000" w:usb1="00000000" w:usb2="00000000" w:usb3="00000000" w:csb0="00040000" w:csb1="00000000"/>
  </w:font>
  <w:font w:name="??_GB2312">
    <w:altName w:val="Times New Roman"/>
    <w:panose1 w:val="00000000000000000000"/>
    <w:charset w:val="00"/>
    <w:family w:val="roman"/>
    <w:pitch w:val="default"/>
    <w:sig w:usb0="00000000" w:usb1="00000000" w:usb2="00000000" w:usb3="00000000" w:csb0="00000001" w:csb1="00000000"/>
  </w:font>
  <w:font w:name="仿宋">
    <w:panose1 w:val="02010609060101010101"/>
    <w:charset w:val="86"/>
    <w:family w:val="roman"/>
    <w:pitch w:val="default"/>
    <w:sig w:usb0="800002BF" w:usb1="38CF7CFA" w:usb2="00000016" w:usb3="00000000" w:csb0="00040001" w:csb1="00000000"/>
  </w:font>
  <w:font w:name="楷体">
    <w:panose1 w:val="02010609060101010101"/>
    <w:charset w:val="86"/>
    <w:family w:val="roman"/>
    <w:pitch w:val="default"/>
    <w:sig w:usb0="800002BF" w:usb1="38CF7CFA" w:usb2="00000016" w:usb3="00000000" w:csb0="00040001" w:csb1="00000000"/>
  </w:font>
  <w:font w:name="华文仿宋">
    <w:altName w:val="仿宋"/>
    <w:panose1 w:val="02010600040101010101"/>
    <w:charset w:val="86"/>
    <w:family w:val="roman"/>
    <w:pitch w:val="default"/>
    <w:sig w:usb0="00000000" w:usb1="00000000" w:usb2="00000000" w:usb3="00000000" w:csb0="0004009F" w:csb1="DFD70000"/>
  </w:font>
  <w:font w:name="Dialog">
    <w:altName w:val="Times New Roman"/>
    <w:panose1 w:val="00000000000000000000"/>
    <w:charset w:val="00"/>
    <w:family w:val="roman"/>
    <w:pitch w:val="default"/>
    <w:sig w:usb0="00000000" w:usb1="00000000" w:usb2="00000000" w:usb3="00000000" w:csb0="00000001" w:csb1="00000000"/>
  </w:font>
  <w:font w:name="FangSong_GB2312">
    <w:altName w:val="仿宋"/>
    <w:panose1 w:val="00000000000000000000"/>
    <w:charset w:val="86"/>
    <w:family w:val="roma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6"/>
      <w:tblW w:w="9489"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163"/>
      <w:gridCol w:w="3163"/>
      <w:gridCol w:w="31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PrEx>
      <w:trPr>
        <w:jc w:val="center"/>
      </w:trPr>
      <w:tc>
        <w:tcPr>
          <w:tcW w:w="3163" w:type="dxa"/>
          <w:tcBorders>
            <w:top w:val="nil"/>
            <w:left w:val="nil"/>
            <w:bottom w:val="nil"/>
            <w:right w:val="nil"/>
            <w:tl2br w:val="nil"/>
            <w:tr2bl w:val="nil"/>
          </w:tcBorders>
          <w:shd w:val="clear" w:color="auto" w:fill="FFFFFF"/>
          <w:noWrap w:val="0"/>
          <w:vAlign w:val="top"/>
        </w:tcPr>
        <w:p>
          <w:pPr>
            <w:rPr>
              <w:rFonts w:hint="default"/>
              <w:sz w:val="24"/>
            </w:rPr>
          </w:pPr>
        </w:p>
      </w:tc>
      <w:tc>
        <w:tcPr>
          <w:tcW w:w="3163" w:type="dxa"/>
          <w:tcBorders>
            <w:top w:val="nil"/>
            <w:left w:val="nil"/>
            <w:bottom w:val="nil"/>
            <w:right w:val="nil"/>
            <w:tl2br w:val="nil"/>
            <w:tr2bl w:val="nil"/>
          </w:tcBorders>
          <w:shd w:val="clear" w:color="auto" w:fill="FFFFFF"/>
          <w:noWrap w:val="0"/>
          <w:vAlign w:val="top"/>
        </w:tcPr>
        <w:p>
          <w:pPr>
            <w:spacing w:line="320" w:lineRule="atLeast"/>
            <w:jc w:val="center"/>
            <w:rPr>
              <w:rFonts w:hint="eastAsia" w:ascii="宋体" w:hAnsi="宋体"/>
              <w:sz w:val="18"/>
            </w:rPr>
          </w:pPr>
          <w:r>
            <w:rPr>
              <w:rFonts w:hint="eastAsia" w:ascii="宋体" w:hAnsi="宋体"/>
              <w:sz w:val="18"/>
            </w:rPr>
            <w:fldChar w:fldCharType="begin"/>
          </w:r>
          <w:r>
            <w:rPr>
              <w:rFonts w:hint="eastAsia" w:ascii="宋体" w:hAnsi="宋体"/>
              <w:sz w:val="18"/>
            </w:rPr>
            <w:instrText xml:space="preserve">PAGE</w:instrText>
          </w:r>
          <w:r>
            <w:rPr>
              <w:rFonts w:hint="eastAsia" w:ascii="宋体" w:hAnsi="宋体"/>
              <w:sz w:val="18"/>
            </w:rPr>
            <w:fldChar w:fldCharType="separate"/>
          </w:r>
          <w:r>
            <w:rPr>
              <w:rFonts w:hint="eastAsia" w:ascii="宋体" w:hAnsi="宋体"/>
              <w:sz w:val="18"/>
            </w:rPr>
            <w:t xml:space="preserve"> </w:t>
          </w:r>
          <w:r>
            <w:rPr>
              <w:rFonts w:hint="eastAsia" w:ascii="宋体" w:hAnsi="宋体"/>
              <w:sz w:val="18"/>
            </w:rPr>
            <w:fldChar w:fldCharType="end"/>
          </w:r>
          <w:r>
            <w:rPr>
              <w:rFonts w:hint="eastAsia" w:ascii="宋体" w:hAnsi="宋体"/>
              <w:sz w:val="18"/>
            </w:rPr>
            <w:t xml:space="preserve"> </w:t>
          </w:r>
        </w:p>
      </w:tc>
      <w:tc>
        <w:tcPr>
          <w:tcW w:w="3163" w:type="dxa"/>
          <w:tcBorders>
            <w:top w:val="nil"/>
            <w:left w:val="nil"/>
            <w:bottom w:val="nil"/>
            <w:right w:val="nil"/>
            <w:tl2br w:val="nil"/>
            <w:tr2bl w:val="nil"/>
          </w:tcBorders>
          <w:shd w:val="clear" w:color="auto" w:fill="FFFFFF"/>
          <w:noWrap w:val="0"/>
          <w:vAlign w:val="top"/>
        </w:tcPr>
        <w:p>
          <w:pPr>
            <w:rPr>
              <w:rFonts w:hint="default"/>
              <w:sz w:val="24"/>
            </w:rPr>
          </w:pPr>
        </w:p>
      </w:tc>
    </w:tr>
  </w:tbl>
  <w:p>
    <w:pPr>
      <w:rPr>
        <w:rFonts w:hint="default"/>
        <w:sz w:val="24"/>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D69F95F"/>
    <w:multiLevelType w:val="singleLevel"/>
    <w:tmpl w:val="7D69F95F"/>
    <w:lvl w:ilvl="0" w:tentative="0">
      <w:start w:val="1"/>
      <w:numFmt w:val="chineseCounting"/>
      <w:suff w:val="nothing"/>
      <w:lvlText w:val="（%1）"/>
      <w:lvlJc w:val="left"/>
      <w:pPr>
        <w:ind w:left="640" w:leftChars="0" w:firstLine="0" w:firstLineChars="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6F42658"/>
    <w:rsid w:val="06FF3C13"/>
    <w:rsid w:val="10D36BA6"/>
    <w:rsid w:val="15FC2D15"/>
    <w:rsid w:val="1F5343DA"/>
    <w:rsid w:val="28AE5120"/>
    <w:rsid w:val="2EB51C23"/>
    <w:rsid w:val="30D50470"/>
    <w:rsid w:val="33221DAF"/>
    <w:rsid w:val="38C75A45"/>
    <w:rsid w:val="3EDA15C9"/>
    <w:rsid w:val="3EF676DF"/>
    <w:rsid w:val="41424B0A"/>
    <w:rsid w:val="465A5BF5"/>
    <w:rsid w:val="48B769FF"/>
    <w:rsid w:val="4C50598D"/>
    <w:rsid w:val="526B58D9"/>
    <w:rsid w:val="678F77CB"/>
    <w:rsid w:val="6E181D33"/>
    <w:rsid w:val="6E857E63"/>
    <w:rsid w:val="6EAF6DCB"/>
    <w:rsid w:val="74B06925"/>
    <w:rsid w:val="75C403E0"/>
    <w:rsid w:val="76B80A4A"/>
    <w:rsid w:val="78476EDC"/>
    <w:rsid w:val="7BCC28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99"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nhideWhenUsed/>
    <w:qFormat/>
    <w:uiPriority w:val="99"/>
    <w:pPr>
      <w:widowControl w:val="0"/>
      <w:autoSpaceDE w:val="0"/>
      <w:autoSpaceDN w:val="0"/>
      <w:adjustRightInd w:val="0"/>
    </w:pPr>
    <w:rPr>
      <w:rFonts w:hint="default" w:ascii="Arial" w:hAnsi="Arial" w:eastAsia="宋体" w:cs="Times New Roman"/>
      <w:color w:val="000000"/>
      <w:sz w:val="24"/>
    </w:rPr>
  </w:style>
  <w:style w:type="paragraph" w:styleId="4">
    <w:name w:val="heading 2"/>
    <w:basedOn w:val="1"/>
    <w:next w:val="1"/>
    <w:qFormat/>
    <w:uiPriority w:val="0"/>
    <w:pPr>
      <w:autoSpaceDE w:val="0"/>
      <w:autoSpaceDN w:val="0"/>
      <w:adjustRightInd w:val="0"/>
      <w:spacing w:line="600" w:lineRule="exact"/>
      <w:ind w:firstLine="720" w:firstLineChars="200"/>
      <w:outlineLvl w:val="1"/>
    </w:pPr>
    <w:rPr>
      <w:rFonts w:ascii="Courier New" w:hAnsi="Courier New" w:eastAsia="楷体_GB2312"/>
      <w:b/>
      <w:color w:val="000000"/>
      <w:sz w:val="32"/>
    </w:rPr>
  </w:style>
  <w:style w:type="character" w:default="1" w:styleId="5">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Body Text First Indent"/>
    <w:basedOn w:val="3"/>
    <w:unhideWhenUsed/>
    <w:qFormat/>
    <w:uiPriority w:val="99"/>
    <w:pPr>
      <w:ind w:firstLine="420" w:firstLineChars="100"/>
    </w:pPr>
    <w:rPr>
      <w:rFonts w:hint="eastAsia"/>
      <w:sz w:val="28"/>
    </w:rPr>
  </w:style>
  <w:style w:type="paragraph" w:styleId="3">
    <w:name w:val="Body Text"/>
    <w:basedOn w:val="1"/>
    <w:unhideWhenUsed/>
    <w:qFormat/>
    <w:uiPriority w:val="0"/>
    <w:rPr>
      <w:rFonts w:hint="eastAsia" w:ascii="仿宋_GB2312" w:hAnsi="Calibri" w:eastAsia="仿宋_GB2312"/>
      <w:sz w:val="2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8">
    <w:name w:val="1.正文"/>
    <w:basedOn w:val="1"/>
    <w:unhideWhenUsed/>
    <w:qFormat/>
    <w:uiPriority w:val="99"/>
    <w:rPr>
      <w:rFonts w:hint="default" w:hAnsi="Times New Roman"/>
      <w:sz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2026-01-20T02:52:00Z</dcterms:created>
  <dc:creator>dell</dc:creator>
  <cp:lastModifiedBy>Administrator</cp:lastModifiedBy>
  <dcterms:modified xsi:type="dcterms:W3CDTF">2026-01-27T03:06:20Z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