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5" w:lineRule="exact"/>
        <w:jc w:val="center"/>
        <w:rPr>
          <w:rFonts w:ascii="黑体" w:hAnsi="黑体" w:eastAsia="黑体"/>
          <w:sz w:val="36"/>
          <w:szCs w:val="36"/>
        </w:rPr>
      </w:pPr>
      <w:r>
        <w:rPr>
          <w:rFonts w:hint="eastAsia" w:ascii="方正小标宋简体" w:hAnsi="方正小标宋简体" w:eastAsia="方正小标宋简体"/>
          <w:sz w:val="36"/>
          <w:szCs w:val="36"/>
        </w:rPr>
        <w:t>2026年度厦门市湖里第二实验幼儿园单位预算</w:t>
      </w:r>
    </w:p>
    <w:p>
      <w:pPr>
        <w:spacing w:line="525" w:lineRule="exact"/>
        <w:jc w:val="center"/>
        <w:rPr>
          <w:rFonts w:hint="eastAsia" w:ascii="黑体" w:hAnsi="黑体" w:eastAsia="黑体"/>
          <w:sz w:val="32"/>
        </w:rPr>
      </w:pPr>
    </w:p>
    <w:p>
      <w:pPr>
        <w:keepNext w:val="0"/>
        <w:keepLines w:val="0"/>
        <w:pageBreakBefore w:val="0"/>
        <w:widowControl w:val="0"/>
        <w:kinsoku/>
        <w:wordWrap/>
        <w:overflowPunct/>
        <w:topLinePunct w:val="0"/>
        <w:autoSpaceDE w:val="0"/>
        <w:autoSpaceDN w:val="0"/>
        <w:bidi w:val="0"/>
        <w:adjustRightInd w:val="0"/>
        <w:snapToGrid/>
        <w:spacing w:line="520" w:lineRule="exact"/>
        <w:jc w:val="center"/>
        <w:textAlignment w:val="auto"/>
        <w:rPr>
          <w:rFonts w:hint="eastAsia" w:ascii="黑体" w:hAnsi="黑体" w:eastAsia="黑体"/>
          <w:sz w:val="32"/>
        </w:rPr>
      </w:pPr>
      <w:r>
        <w:rPr>
          <w:rFonts w:hint="eastAsia" w:ascii="黑体" w:hAnsi="黑体" w:eastAsia="黑体"/>
          <w:sz w:val="32"/>
        </w:rPr>
        <w:t>目　　录　</w:t>
      </w:r>
    </w:p>
    <w:p>
      <w:pPr>
        <w:keepNext w:val="0"/>
        <w:keepLines w:val="0"/>
        <w:pageBreakBefore w:val="0"/>
        <w:widowControl w:val="0"/>
        <w:kinsoku/>
        <w:wordWrap/>
        <w:overflowPunct/>
        <w:topLinePunct w:val="0"/>
        <w:autoSpaceDE w:val="0"/>
        <w:autoSpaceDN w:val="0"/>
        <w:bidi w:val="0"/>
        <w:adjustRightInd w:val="0"/>
        <w:snapToGrid/>
        <w:spacing w:line="520" w:lineRule="exact"/>
        <w:ind w:firstLine="320" w:firstLineChars="100"/>
        <w:jc w:val="both"/>
        <w:textAlignment w:val="auto"/>
        <w:rPr>
          <w:rFonts w:hint="eastAsia" w:ascii="黑体" w:hAnsi="黑体" w:eastAsia="黑体"/>
          <w:sz w:val="32"/>
        </w:rPr>
      </w:pPr>
      <w:r>
        <w:rPr>
          <w:rFonts w:hint="eastAsia" w:ascii="黑体" w:hAnsi="黑体" w:eastAsia="黑体"/>
          <w:sz w:val="32"/>
        </w:rPr>
        <w:t>　</w:t>
      </w:r>
    </w:p>
    <w:p>
      <w:pPr>
        <w:keepNext w:val="0"/>
        <w:keepLines w:val="0"/>
        <w:pageBreakBefore w:val="0"/>
        <w:widowControl w:val="0"/>
        <w:kinsoku/>
        <w:wordWrap/>
        <w:overflowPunct/>
        <w:topLinePunct w:val="0"/>
        <w:autoSpaceDE w:val="0"/>
        <w:autoSpaceDN w:val="0"/>
        <w:bidi w:val="0"/>
        <w:adjustRightInd w:val="0"/>
        <w:snapToGrid/>
        <w:spacing w:line="520" w:lineRule="exact"/>
        <w:ind w:firstLine="640" w:firstLineChars="200"/>
        <w:jc w:val="both"/>
        <w:textAlignment w:val="auto"/>
        <w:rPr>
          <w:rFonts w:ascii="仿宋" w:hAnsi="仿宋" w:eastAsia="仿宋"/>
          <w:sz w:val="32"/>
        </w:rPr>
      </w:pPr>
      <w:r>
        <w:rPr>
          <w:rFonts w:hint="eastAsia" w:ascii="黑体" w:hAnsi="黑体" w:eastAsia="黑体"/>
          <w:sz w:val="32"/>
        </w:rPr>
        <w:t>第一部分   单位概况</w:t>
      </w:r>
    </w:p>
    <w:p>
      <w:pPr>
        <w:keepNext w:val="0"/>
        <w:keepLines w:val="0"/>
        <w:pageBreakBefore w:val="0"/>
        <w:widowControl w:val="0"/>
        <w:kinsoku/>
        <w:wordWrap/>
        <w:overflowPunct/>
        <w:topLinePunct w:val="0"/>
        <w:autoSpaceDE w:val="0"/>
        <w:autoSpaceDN w:val="0"/>
        <w:bidi w:val="0"/>
        <w:adjustRightInd w:val="0"/>
        <w:snapToGrid/>
        <w:spacing w:line="520" w:lineRule="exact"/>
        <w:jc w:val="both"/>
        <w:textAlignment w:val="auto"/>
        <w:rPr>
          <w:rFonts w:ascii="仿宋_GB2312" w:hAnsi="仿宋_GB2312" w:eastAsia="仿宋_GB2312"/>
          <w:sz w:val="32"/>
        </w:rPr>
      </w:pPr>
      <w:r>
        <w:rPr>
          <w:rFonts w:hint="eastAsia" w:ascii="仿宋_GB2312" w:hAnsi="仿宋_GB2312" w:eastAsia="仿宋_GB2312"/>
          <w:sz w:val="32"/>
        </w:rPr>
        <w:t>　　一、单位主要职责</w:t>
      </w:r>
    </w:p>
    <w:p>
      <w:pPr>
        <w:keepNext w:val="0"/>
        <w:keepLines w:val="0"/>
        <w:pageBreakBefore w:val="0"/>
        <w:widowControl w:val="0"/>
        <w:kinsoku/>
        <w:wordWrap/>
        <w:overflowPunct/>
        <w:topLinePunct w:val="0"/>
        <w:autoSpaceDE w:val="0"/>
        <w:autoSpaceDN w:val="0"/>
        <w:bidi w:val="0"/>
        <w:adjustRightInd w:val="0"/>
        <w:snapToGrid/>
        <w:spacing w:line="520" w:lineRule="exact"/>
        <w:jc w:val="both"/>
        <w:textAlignment w:val="auto"/>
        <w:rPr>
          <w:rFonts w:ascii="仿宋_GB2312" w:hAnsi="仿宋_GB2312" w:eastAsia="仿宋_GB2312"/>
          <w:sz w:val="32"/>
        </w:rPr>
      </w:pPr>
      <w:r>
        <w:rPr>
          <w:rFonts w:hint="eastAsia" w:ascii="仿宋_GB2312" w:hAnsi="仿宋_GB2312" w:eastAsia="仿宋_GB2312"/>
          <w:sz w:val="32"/>
        </w:rPr>
        <w:t>　　二、单位基本情况</w:t>
      </w:r>
    </w:p>
    <w:p>
      <w:pPr>
        <w:keepNext w:val="0"/>
        <w:keepLines w:val="0"/>
        <w:pageBreakBefore w:val="0"/>
        <w:widowControl w:val="0"/>
        <w:kinsoku/>
        <w:wordWrap/>
        <w:overflowPunct/>
        <w:topLinePunct w:val="0"/>
        <w:autoSpaceDE w:val="0"/>
        <w:autoSpaceDN w:val="0"/>
        <w:bidi w:val="0"/>
        <w:adjustRightInd w:val="0"/>
        <w:snapToGrid/>
        <w:spacing w:line="520" w:lineRule="exact"/>
        <w:jc w:val="both"/>
        <w:textAlignment w:val="auto"/>
        <w:rPr>
          <w:rFonts w:ascii="黑体" w:hAnsi="黑体" w:eastAsia="黑体"/>
          <w:sz w:val="32"/>
        </w:rPr>
      </w:pPr>
      <w:r>
        <w:rPr>
          <w:rFonts w:hint="eastAsia" w:ascii="仿宋_GB2312" w:hAnsi="仿宋_GB2312" w:eastAsia="仿宋_GB2312"/>
          <w:sz w:val="32"/>
        </w:rPr>
        <w:t>　　三、单位主要工作任务</w:t>
      </w:r>
    </w:p>
    <w:p>
      <w:pPr>
        <w:keepNext w:val="0"/>
        <w:keepLines w:val="0"/>
        <w:pageBreakBefore w:val="0"/>
        <w:widowControl w:val="0"/>
        <w:kinsoku/>
        <w:wordWrap/>
        <w:overflowPunct/>
        <w:topLinePunct w:val="0"/>
        <w:autoSpaceDE w:val="0"/>
        <w:autoSpaceDN w:val="0"/>
        <w:bidi w:val="0"/>
        <w:adjustRightInd w:val="0"/>
        <w:snapToGrid/>
        <w:spacing w:line="520" w:lineRule="exact"/>
        <w:jc w:val="both"/>
        <w:textAlignment w:val="auto"/>
        <w:rPr>
          <w:rFonts w:ascii="黑体" w:hAnsi="黑体" w:eastAsia="黑体"/>
          <w:sz w:val="32"/>
        </w:rPr>
      </w:pPr>
      <w:r>
        <w:rPr>
          <w:rFonts w:hint="eastAsia" w:ascii="黑体" w:hAnsi="黑体" w:eastAsia="黑体"/>
          <w:sz w:val="32"/>
        </w:rPr>
        <w:t>　　第二部分   2026年单位预算说明</w:t>
      </w:r>
    </w:p>
    <w:p>
      <w:pPr>
        <w:keepNext w:val="0"/>
        <w:keepLines w:val="0"/>
        <w:pageBreakBefore w:val="0"/>
        <w:widowControl w:val="0"/>
        <w:kinsoku/>
        <w:wordWrap/>
        <w:overflowPunct/>
        <w:topLinePunct w:val="0"/>
        <w:autoSpaceDE w:val="0"/>
        <w:autoSpaceDN w:val="0"/>
        <w:bidi w:val="0"/>
        <w:adjustRightInd w:val="0"/>
        <w:snapToGrid/>
        <w:spacing w:line="520" w:lineRule="exact"/>
        <w:jc w:val="both"/>
        <w:textAlignment w:val="auto"/>
        <w:rPr>
          <w:rFonts w:ascii="仿宋_GB2312" w:hAnsi="仿宋_GB2312" w:eastAsia="仿宋_GB2312"/>
          <w:sz w:val="32"/>
        </w:rPr>
      </w:pPr>
      <w:r>
        <w:rPr>
          <w:rFonts w:hint="eastAsia" w:ascii="仿宋_GB2312" w:hAnsi="仿宋_GB2312" w:eastAsia="仿宋_GB2312"/>
          <w:sz w:val="32"/>
        </w:rPr>
        <w:t>　　一、2026年单位预算收支总体情况</w:t>
      </w:r>
    </w:p>
    <w:p>
      <w:pPr>
        <w:keepNext w:val="0"/>
        <w:keepLines w:val="0"/>
        <w:pageBreakBefore w:val="0"/>
        <w:widowControl w:val="0"/>
        <w:kinsoku/>
        <w:wordWrap/>
        <w:overflowPunct/>
        <w:topLinePunct w:val="0"/>
        <w:autoSpaceDE w:val="0"/>
        <w:autoSpaceDN w:val="0"/>
        <w:bidi w:val="0"/>
        <w:adjustRightInd w:val="0"/>
        <w:snapToGrid/>
        <w:spacing w:line="520" w:lineRule="exact"/>
        <w:jc w:val="both"/>
        <w:textAlignment w:val="auto"/>
        <w:rPr>
          <w:rFonts w:ascii="仿宋_GB2312" w:hAnsi="仿宋_GB2312" w:eastAsia="仿宋_GB2312"/>
          <w:sz w:val="32"/>
        </w:rPr>
      </w:pPr>
      <w:r>
        <w:rPr>
          <w:rFonts w:hint="eastAsia" w:ascii="仿宋_GB2312" w:hAnsi="仿宋_GB2312" w:eastAsia="仿宋_GB2312"/>
          <w:sz w:val="32"/>
        </w:rPr>
        <w:t>　　二、一般公共预算财政拨款支出预算情况</w:t>
      </w:r>
    </w:p>
    <w:p>
      <w:pPr>
        <w:keepNext w:val="0"/>
        <w:keepLines w:val="0"/>
        <w:pageBreakBefore w:val="0"/>
        <w:widowControl w:val="0"/>
        <w:kinsoku/>
        <w:wordWrap/>
        <w:overflowPunct/>
        <w:topLinePunct w:val="0"/>
        <w:autoSpaceDE w:val="0"/>
        <w:autoSpaceDN w:val="0"/>
        <w:bidi w:val="0"/>
        <w:adjustRightInd w:val="0"/>
        <w:snapToGrid/>
        <w:spacing w:line="520" w:lineRule="exact"/>
        <w:jc w:val="both"/>
        <w:textAlignment w:val="auto"/>
        <w:rPr>
          <w:rFonts w:ascii="仿宋_GB2312" w:hAnsi="仿宋_GB2312" w:eastAsia="仿宋_GB2312"/>
          <w:sz w:val="32"/>
        </w:rPr>
      </w:pPr>
      <w:r>
        <w:rPr>
          <w:rFonts w:hint="eastAsia" w:ascii="仿宋_GB2312" w:hAnsi="仿宋_GB2312" w:eastAsia="仿宋_GB2312"/>
          <w:sz w:val="32"/>
        </w:rPr>
        <w:t>　　三、政府性基金预算财政拨款支出情况</w:t>
      </w:r>
    </w:p>
    <w:p>
      <w:pPr>
        <w:keepNext w:val="0"/>
        <w:keepLines w:val="0"/>
        <w:pageBreakBefore w:val="0"/>
        <w:widowControl w:val="0"/>
        <w:kinsoku/>
        <w:wordWrap/>
        <w:overflowPunct/>
        <w:topLinePunct w:val="0"/>
        <w:autoSpaceDE w:val="0"/>
        <w:autoSpaceDN w:val="0"/>
        <w:bidi w:val="0"/>
        <w:adjustRightInd w:val="0"/>
        <w:snapToGrid/>
        <w:spacing w:line="520" w:lineRule="exact"/>
        <w:jc w:val="both"/>
        <w:textAlignment w:val="auto"/>
        <w:rPr>
          <w:rFonts w:ascii="仿宋_GB2312" w:hAnsi="仿宋_GB2312" w:eastAsia="仿宋_GB2312"/>
          <w:sz w:val="32"/>
        </w:rPr>
      </w:pPr>
      <w:r>
        <w:rPr>
          <w:rFonts w:hint="eastAsia" w:ascii="仿宋_GB2312" w:hAnsi="仿宋_GB2312" w:eastAsia="仿宋_GB2312"/>
          <w:sz w:val="32"/>
        </w:rPr>
        <w:t>　　四、“三公”经费财政拨款预算情况</w:t>
      </w:r>
    </w:p>
    <w:p>
      <w:pPr>
        <w:keepNext w:val="0"/>
        <w:keepLines w:val="0"/>
        <w:pageBreakBefore w:val="0"/>
        <w:widowControl w:val="0"/>
        <w:kinsoku/>
        <w:wordWrap/>
        <w:overflowPunct/>
        <w:topLinePunct w:val="0"/>
        <w:autoSpaceDE w:val="0"/>
        <w:autoSpaceDN w:val="0"/>
        <w:bidi w:val="0"/>
        <w:adjustRightInd w:val="0"/>
        <w:snapToGrid/>
        <w:spacing w:line="520" w:lineRule="exact"/>
        <w:jc w:val="both"/>
        <w:textAlignment w:val="auto"/>
        <w:rPr>
          <w:rFonts w:ascii="黑体" w:hAnsi="黑体" w:eastAsia="黑体"/>
          <w:sz w:val="32"/>
        </w:rPr>
      </w:pPr>
      <w:r>
        <w:rPr>
          <w:rFonts w:hint="eastAsia" w:ascii="仿宋_GB2312" w:hAnsi="仿宋_GB2312" w:eastAsia="仿宋_GB2312"/>
          <w:sz w:val="32"/>
        </w:rPr>
        <w:t>　　五、其他重要事项的情况说明</w:t>
      </w:r>
    </w:p>
    <w:p>
      <w:pPr>
        <w:keepNext w:val="0"/>
        <w:keepLines w:val="0"/>
        <w:pageBreakBefore w:val="0"/>
        <w:widowControl w:val="0"/>
        <w:kinsoku/>
        <w:wordWrap/>
        <w:overflowPunct/>
        <w:topLinePunct w:val="0"/>
        <w:autoSpaceDE w:val="0"/>
        <w:autoSpaceDN w:val="0"/>
        <w:bidi w:val="0"/>
        <w:adjustRightInd w:val="0"/>
        <w:snapToGrid/>
        <w:spacing w:line="520" w:lineRule="exact"/>
        <w:jc w:val="both"/>
        <w:textAlignment w:val="auto"/>
        <w:rPr>
          <w:rFonts w:ascii="黑体" w:hAnsi="黑体" w:eastAsia="黑体"/>
          <w:sz w:val="32"/>
        </w:rPr>
      </w:pPr>
      <w:r>
        <w:rPr>
          <w:rFonts w:hint="eastAsia" w:ascii="黑体" w:hAnsi="黑体" w:eastAsia="黑体"/>
          <w:sz w:val="32"/>
        </w:rPr>
        <w:t>　　第三部分   名词解释</w:t>
      </w:r>
    </w:p>
    <w:p>
      <w:pPr>
        <w:keepNext w:val="0"/>
        <w:keepLines w:val="0"/>
        <w:pageBreakBefore w:val="0"/>
        <w:widowControl w:val="0"/>
        <w:kinsoku/>
        <w:wordWrap/>
        <w:overflowPunct/>
        <w:topLinePunct w:val="0"/>
        <w:autoSpaceDE w:val="0"/>
        <w:autoSpaceDN w:val="0"/>
        <w:bidi w:val="0"/>
        <w:adjustRightInd w:val="0"/>
        <w:snapToGrid/>
        <w:spacing w:line="520" w:lineRule="exact"/>
        <w:jc w:val="both"/>
        <w:textAlignment w:val="auto"/>
        <w:rPr>
          <w:rFonts w:ascii="黑体" w:hAnsi="黑体" w:eastAsia="黑体"/>
          <w:sz w:val="32"/>
        </w:rPr>
      </w:pPr>
      <w:r>
        <w:rPr>
          <w:rFonts w:hint="eastAsia" w:ascii="黑体" w:hAnsi="黑体" w:eastAsia="黑体"/>
          <w:sz w:val="32"/>
        </w:rPr>
        <w:t>　　第四部分   2026年单位预算附表</w:t>
      </w:r>
    </w:p>
    <w:p>
      <w:pPr>
        <w:keepNext w:val="0"/>
        <w:keepLines w:val="0"/>
        <w:pageBreakBefore w:val="0"/>
        <w:widowControl w:val="0"/>
        <w:kinsoku/>
        <w:wordWrap/>
        <w:overflowPunct/>
        <w:topLinePunct w:val="0"/>
        <w:autoSpaceDE w:val="0"/>
        <w:autoSpaceDN w:val="0"/>
        <w:bidi w:val="0"/>
        <w:adjustRightInd w:val="0"/>
        <w:snapToGrid/>
        <w:spacing w:line="520" w:lineRule="exact"/>
        <w:jc w:val="both"/>
        <w:textAlignment w:val="auto"/>
        <w:rPr>
          <w:rFonts w:ascii="仿宋_GB2312" w:hAnsi="仿宋_GB2312" w:eastAsia="仿宋_GB2312"/>
          <w:sz w:val="32"/>
        </w:rPr>
      </w:pPr>
      <w:r>
        <w:rPr>
          <w:rFonts w:hint="eastAsia" w:ascii="仿宋_GB2312" w:hAnsi="仿宋_GB2312" w:eastAsia="仿宋_GB2312"/>
          <w:sz w:val="32"/>
        </w:rPr>
        <w:t>　　一、部门收支预算总体情况表</w:t>
      </w:r>
    </w:p>
    <w:p>
      <w:pPr>
        <w:keepNext w:val="0"/>
        <w:keepLines w:val="0"/>
        <w:pageBreakBefore w:val="0"/>
        <w:widowControl w:val="0"/>
        <w:kinsoku/>
        <w:wordWrap/>
        <w:overflowPunct/>
        <w:topLinePunct w:val="0"/>
        <w:autoSpaceDE w:val="0"/>
        <w:autoSpaceDN w:val="0"/>
        <w:bidi w:val="0"/>
        <w:adjustRightInd w:val="0"/>
        <w:snapToGrid/>
        <w:spacing w:line="520" w:lineRule="exact"/>
        <w:jc w:val="both"/>
        <w:textAlignment w:val="auto"/>
        <w:rPr>
          <w:rFonts w:ascii="仿宋_GB2312" w:hAnsi="仿宋_GB2312" w:eastAsia="仿宋_GB2312"/>
          <w:sz w:val="32"/>
        </w:rPr>
      </w:pPr>
      <w:r>
        <w:rPr>
          <w:rFonts w:hint="eastAsia" w:ascii="仿宋_GB2312" w:hAnsi="仿宋_GB2312" w:eastAsia="仿宋_GB2312"/>
          <w:sz w:val="32"/>
        </w:rPr>
        <w:t>　　二、部门收入预算总体情况表</w:t>
      </w:r>
    </w:p>
    <w:p>
      <w:pPr>
        <w:keepNext w:val="0"/>
        <w:keepLines w:val="0"/>
        <w:pageBreakBefore w:val="0"/>
        <w:widowControl w:val="0"/>
        <w:kinsoku/>
        <w:wordWrap/>
        <w:overflowPunct/>
        <w:topLinePunct w:val="0"/>
        <w:autoSpaceDE w:val="0"/>
        <w:autoSpaceDN w:val="0"/>
        <w:bidi w:val="0"/>
        <w:adjustRightInd w:val="0"/>
        <w:snapToGrid/>
        <w:spacing w:line="520" w:lineRule="exact"/>
        <w:jc w:val="both"/>
        <w:textAlignment w:val="auto"/>
        <w:rPr>
          <w:rFonts w:ascii="仿宋_GB2312" w:hAnsi="仿宋_GB2312" w:eastAsia="仿宋_GB2312"/>
          <w:sz w:val="32"/>
        </w:rPr>
      </w:pPr>
      <w:r>
        <w:rPr>
          <w:rFonts w:hint="eastAsia" w:ascii="仿宋_GB2312" w:hAnsi="仿宋_GB2312" w:eastAsia="仿宋_GB2312"/>
          <w:sz w:val="32"/>
        </w:rPr>
        <w:t>　　三、部门支出预算总体情况表</w:t>
      </w:r>
    </w:p>
    <w:p>
      <w:pPr>
        <w:keepNext w:val="0"/>
        <w:keepLines w:val="0"/>
        <w:pageBreakBefore w:val="0"/>
        <w:widowControl w:val="0"/>
        <w:kinsoku/>
        <w:wordWrap/>
        <w:overflowPunct/>
        <w:topLinePunct w:val="0"/>
        <w:autoSpaceDE w:val="0"/>
        <w:autoSpaceDN w:val="0"/>
        <w:bidi w:val="0"/>
        <w:adjustRightInd w:val="0"/>
        <w:snapToGrid/>
        <w:spacing w:line="520" w:lineRule="exact"/>
        <w:jc w:val="both"/>
        <w:textAlignment w:val="auto"/>
        <w:rPr>
          <w:rFonts w:ascii="仿宋_GB2312" w:hAnsi="仿宋_GB2312" w:eastAsia="仿宋_GB2312"/>
          <w:sz w:val="32"/>
        </w:rPr>
      </w:pPr>
      <w:r>
        <w:rPr>
          <w:rFonts w:hint="eastAsia" w:ascii="仿宋_GB2312" w:hAnsi="仿宋_GB2312" w:eastAsia="仿宋_GB2312"/>
          <w:sz w:val="32"/>
        </w:rPr>
        <w:t>　　四、财政拨款收支预算总体情况表</w:t>
      </w:r>
    </w:p>
    <w:p>
      <w:pPr>
        <w:keepNext w:val="0"/>
        <w:keepLines w:val="0"/>
        <w:pageBreakBefore w:val="0"/>
        <w:widowControl w:val="0"/>
        <w:kinsoku/>
        <w:wordWrap/>
        <w:overflowPunct/>
        <w:topLinePunct w:val="0"/>
        <w:autoSpaceDE w:val="0"/>
        <w:autoSpaceDN w:val="0"/>
        <w:bidi w:val="0"/>
        <w:adjustRightInd w:val="0"/>
        <w:snapToGrid/>
        <w:spacing w:line="520" w:lineRule="exact"/>
        <w:jc w:val="both"/>
        <w:textAlignment w:val="auto"/>
        <w:rPr>
          <w:rFonts w:ascii="仿宋_GB2312" w:hAnsi="仿宋_GB2312" w:eastAsia="仿宋_GB2312"/>
          <w:sz w:val="32"/>
        </w:rPr>
      </w:pPr>
      <w:r>
        <w:rPr>
          <w:rFonts w:hint="eastAsia" w:ascii="仿宋_GB2312" w:hAnsi="仿宋_GB2312" w:eastAsia="仿宋_GB2312"/>
          <w:sz w:val="32"/>
        </w:rPr>
        <w:t>　　五、 一般公共预算支出情况表</w:t>
      </w:r>
    </w:p>
    <w:p>
      <w:pPr>
        <w:keepNext w:val="0"/>
        <w:keepLines w:val="0"/>
        <w:pageBreakBefore w:val="0"/>
        <w:widowControl w:val="0"/>
        <w:kinsoku/>
        <w:wordWrap/>
        <w:overflowPunct/>
        <w:topLinePunct w:val="0"/>
        <w:autoSpaceDE w:val="0"/>
        <w:autoSpaceDN w:val="0"/>
        <w:bidi w:val="0"/>
        <w:adjustRightInd w:val="0"/>
        <w:snapToGrid/>
        <w:spacing w:line="520" w:lineRule="exact"/>
        <w:jc w:val="both"/>
        <w:textAlignment w:val="auto"/>
        <w:rPr>
          <w:rFonts w:ascii="仿宋_GB2312" w:hAnsi="仿宋_GB2312" w:eastAsia="仿宋_GB2312"/>
          <w:sz w:val="32"/>
        </w:rPr>
      </w:pPr>
      <w:r>
        <w:rPr>
          <w:rFonts w:hint="eastAsia" w:ascii="仿宋_GB2312" w:hAnsi="仿宋_GB2312" w:eastAsia="仿宋_GB2312"/>
          <w:sz w:val="32"/>
        </w:rPr>
        <w:t>　　六、一般公共预算基本支出情况表（经济分类款级科目）</w:t>
      </w:r>
    </w:p>
    <w:p>
      <w:pPr>
        <w:keepNext w:val="0"/>
        <w:keepLines w:val="0"/>
        <w:pageBreakBefore w:val="0"/>
        <w:widowControl w:val="0"/>
        <w:kinsoku/>
        <w:wordWrap/>
        <w:overflowPunct/>
        <w:topLinePunct w:val="0"/>
        <w:autoSpaceDE w:val="0"/>
        <w:autoSpaceDN w:val="0"/>
        <w:bidi w:val="0"/>
        <w:adjustRightInd w:val="0"/>
        <w:snapToGrid/>
        <w:spacing w:line="520" w:lineRule="exact"/>
        <w:jc w:val="both"/>
        <w:textAlignment w:val="auto"/>
        <w:rPr>
          <w:rFonts w:ascii="仿宋_GB2312" w:hAnsi="仿宋_GB2312" w:eastAsia="仿宋_GB2312"/>
          <w:sz w:val="32"/>
        </w:rPr>
      </w:pPr>
      <w:r>
        <w:rPr>
          <w:rFonts w:hint="eastAsia" w:ascii="仿宋_GB2312" w:hAnsi="仿宋_GB2312" w:eastAsia="仿宋_GB2312"/>
          <w:sz w:val="32"/>
        </w:rPr>
        <w:t>　　七、一般公共预算“三公”经费支出情况表</w:t>
      </w:r>
    </w:p>
    <w:p>
      <w:pPr>
        <w:keepNext w:val="0"/>
        <w:keepLines w:val="0"/>
        <w:pageBreakBefore w:val="0"/>
        <w:widowControl w:val="0"/>
        <w:kinsoku/>
        <w:wordWrap/>
        <w:overflowPunct/>
        <w:topLinePunct w:val="0"/>
        <w:autoSpaceDE w:val="0"/>
        <w:autoSpaceDN w:val="0"/>
        <w:bidi w:val="0"/>
        <w:adjustRightInd w:val="0"/>
        <w:snapToGrid/>
        <w:spacing w:line="520" w:lineRule="exact"/>
        <w:jc w:val="both"/>
        <w:textAlignment w:val="auto"/>
        <w:rPr>
          <w:rFonts w:ascii="仿宋_GB2312" w:hAnsi="仿宋_GB2312" w:eastAsia="仿宋_GB2312"/>
          <w:sz w:val="32"/>
        </w:rPr>
      </w:pPr>
      <w:r>
        <w:rPr>
          <w:rFonts w:hint="eastAsia" w:ascii="仿宋_GB2312" w:hAnsi="仿宋_GB2312" w:eastAsia="仿宋_GB2312"/>
          <w:sz w:val="32"/>
        </w:rPr>
        <w:t>　　八、政府性基金预算支出情况表</w:t>
      </w:r>
    </w:p>
    <w:p>
      <w:pPr>
        <w:keepNext w:val="0"/>
        <w:keepLines w:val="0"/>
        <w:pageBreakBefore w:val="0"/>
        <w:widowControl w:val="0"/>
        <w:kinsoku/>
        <w:wordWrap/>
        <w:overflowPunct/>
        <w:topLinePunct w:val="0"/>
        <w:autoSpaceDE w:val="0"/>
        <w:autoSpaceDN w:val="0"/>
        <w:bidi w:val="0"/>
        <w:adjustRightInd w:val="0"/>
        <w:snapToGrid/>
        <w:spacing w:line="520" w:lineRule="exact"/>
        <w:ind w:firstLine="648"/>
        <w:jc w:val="both"/>
        <w:textAlignment w:val="auto"/>
        <w:rPr>
          <w:rFonts w:hint="eastAsia" w:ascii="仿宋_GB2312" w:hAnsi="仿宋_GB2312" w:eastAsia="仿宋_GB2312"/>
          <w:sz w:val="32"/>
        </w:rPr>
      </w:pPr>
      <w:r>
        <w:rPr>
          <w:rFonts w:hint="eastAsia" w:ascii="仿宋_GB2312" w:hAnsi="仿宋_GB2312" w:eastAsia="仿宋_GB2312"/>
          <w:sz w:val="32"/>
        </w:rPr>
        <w:t>九、区对镇（街）转移支付支出预算表</w:t>
      </w:r>
    </w:p>
    <w:p>
      <w:pPr>
        <w:keepNext w:val="0"/>
        <w:keepLines w:val="0"/>
        <w:pageBreakBefore w:val="0"/>
        <w:widowControl w:val="0"/>
        <w:kinsoku/>
        <w:wordWrap/>
        <w:overflowPunct/>
        <w:topLinePunct w:val="0"/>
        <w:autoSpaceDE w:val="0"/>
        <w:autoSpaceDN w:val="0"/>
        <w:bidi w:val="0"/>
        <w:adjustRightInd w:val="0"/>
        <w:snapToGrid/>
        <w:spacing w:line="520" w:lineRule="exact"/>
        <w:ind w:firstLine="648"/>
        <w:jc w:val="both"/>
        <w:textAlignment w:val="auto"/>
        <w:rPr>
          <w:rFonts w:ascii="仿宋_GB2312" w:hAnsi="??_GB2312" w:eastAsia="仿宋_GB2312" w:cs="仿宋_GB2312"/>
          <w:sz w:val="32"/>
          <w:szCs w:val="32"/>
        </w:rPr>
      </w:pPr>
      <w:r>
        <w:rPr>
          <w:rFonts w:hint="eastAsia" w:ascii="仿宋_GB2312" w:hAnsi="??_GB2312" w:eastAsia="仿宋_GB2312" w:cs="仿宋_GB2312"/>
          <w:sz w:val="32"/>
          <w:szCs w:val="32"/>
        </w:rPr>
        <w:t>十、二级项目绩效目标表</w:t>
      </w:r>
    </w:p>
    <w:p>
      <w:pPr>
        <w:spacing w:line="555" w:lineRule="exact"/>
        <w:ind w:left="20"/>
        <w:jc w:val="center"/>
        <w:rPr>
          <w:rFonts w:hint="eastAsia" w:ascii="黑体" w:hAnsi="黑体" w:eastAsia="黑体"/>
          <w:sz w:val="32"/>
        </w:rPr>
      </w:pPr>
      <w:r>
        <w:rPr>
          <w:rFonts w:hint="eastAsia" w:ascii="黑体" w:hAnsi="黑体" w:eastAsia="黑体" w:cs="Times New Roman"/>
          <w:sz w:val="32"/>
          <w:szCs w:val="22"/>
        </w:rPr>
        <w:t>第一部分  单位概况</w:t>
      </w:r>
      <w:r>
        <w:rPr>
          <w:rFonts w:hint="eastAsia" w:ascii="黑体" w:hAnsi="黑体" w:eastAsia="黑体"/>
          <w:sz w:val="32"/>
        </w:rPr>
        <w:t>　　</w:t>
      </w:r>
    </w:p>
    <w:p>
      <w:pPr>
        <w:spacing w:line="555" w:lineRule="exact"/>
        <w:ind w:firstLine="640" w:firstLineChars="200"/>
        <w:jc w:val="both"/>
        <w:rPr>
          <w:rFonts w:ascii="仿宋_GB2312" w:hAnsi="仿宋_GB2312" w:eastAsia="仿宋_GB2312"/>
          <w:sz w:val="32"/>
        </w:rPr>
      </w:pPr>
      <w:r>
        <w:rPr>
          <w:rFonts w:hint="eastAsia" w:ascii="黑体" w:hAnsi="黑体" w:eastAsia="黑体"/>
          <w:sz w:val="32"/>
        </w:rPr>
        <w:t>一、单位主要职责</w:t>
      </w:r>
    </w:p>
    <w:p>
      <w:pPr>
        <w:spacing w:line="555" w:lineRule="exact"/>
        <w:jc w:val="both"/>
        <w:rPr>
          <w:rFonts w:ascii="仿宋_GB2312" w:hAnsi="仿宋_GB2312" w:eastAsia="仿宋_GB2312"/>
          <w:sz w:val="32"/>
        </w:rPr>
      </w:pPr>
      <w:r>
        <w:rPr>
          <w:rFonts w:hint="eastAsia" w:ascii="仿宋_GB2312" w:hAnsi="仿宋_GB2312" w:eastAsia="仿宋_GB2312"/>
          <w:sz w:val="32"/>
        </w:rPr>
        <w:t>　　厦门市湖里第二实验幼儿园的主要职责是：</w:t>
      </w:r>
    </w:p>
    <w:p>
      <w:pPr>
        <w:tabs>
          <w:tab w:val="left" w:pos="7513"/>
        </w:tabs>
        <w:snapToGrid w:val="0"/>
        <w:spacing w:line="560" w:lineRule="exact"/>
        <w:ind w:firstLine="640" w:firstLineChars="200"/>
        <w:jc w:val="both"/>
        <w:rPr>
          <w:rFonts w:ascii="仿宋_GB2312" w:hAnsi="仿宋" w:eastAsia="仿宋_GB2312"/>
          <w:color w:val="auto"/>
          <w:sz w:val="32"/>
        </w:rPr>
      </w:pPr>
      <w:r>
        <w:rPr>
          <w:rFonts w:hint="eastAsia" w:ascii="仿宋_GB2312" w:hAnsi="仿宋" w:eastAsia="仿宋_GB2312"/>
          <w:color w:val="auto"/>
          <w:sz w:val="32"/>
        </w:rPr>
        <w:t>（一）为学龄前儿童提供保育和教育服务。</w:t>
      </w:r>
    </w:p>
    <w:p>
      <w:pPr>
        <w:tabs>
          <w:tab w:val="left" w:pos="7513"/>
        </w:tabs>
        <w:snapToGrid w:val="0"/>
        <w:spacing w:line="560" w:lineRule="exact"/>
        <w:ind w:firstLine="640" w:firstLineChars="200"/>
        <w:jc w:val="both"/>
        <w:rPr>
          <w:rFonts w:ascii="仿宋_GB2312" w:hAnsi="仿宋" w:eastAsia="仿宋_GB2312"/>
          <w:color w:val="auto"/>
          <w:sz w:val="32"/>
        </w:rPr>
      </w:pPr>
      <w:r>
        <w:rPr>
          <w:rFonts w:hint="eastAsia" w:ascii="仿宋_GB2312" w:hAnsi="仿宋" w:eastAsia="仿宋_GB2312"/>
          <w:color w:val="auto"/>
          <w:sz w:val="32"/>
        </w:rPr>
        <w:t>（二）把保护幼儿的生命和促进幼儿的健康放在工作首位，幼儿生活教育为一体，做好幼儿健康饮食工作及保教配合关系着整个教育教学质量的提升。</w:t>
      </w:r>
    </w:p>
    <w:p>
      <w:pPr>
        <w:tabs>
          <w:tab w:val="left" w:pos="7513"/>
        </w:tabs>
        <w:snapToGrid w:val="0"/>
        <w:spacing w:line="560" w:lineRule="exact"/>
        <w:ind w:firstLine="640" w:firstLineChars="200"/>
        <w:jc w:val="both"/>
        <w:rPr>
          <w:rFonts w:ascii="仿宋_GB2312" w:hAnsi="仿宋" w:eastAsia="仿宋_GB2312"/>
          <w:color w:val="auto"/>
          <w:sz w:val="32"/>
        </w:rPr>
      </w:pPr>
      <w:r>
        <w:rPr>
          <w:rFonts w:hint="eastAsia" w:ascii="仿宋_GB2312" w:hAnsi="仿宋" w:eastAsia="仿宋_GB2312"/>
          <w:color w:val="auto"/>
          <w:sz w:val="32"/>
        </w:rPr>
        <w:t>（三）深入贯彻教育方针，坚持保教并重的原则，以促进幼儿体智德美全面发展为目标，全面实施素质教育。</w:t>
      </w:r>
    </w:p>
    <w:p>
      <w:pPr>
        <w:spacing w:line="555" w:lineRule="exact"/>
        <w:jc w:val="both"/>
        <w:rPr>
          <w:rFonts w:ascii="仿宋_GB2312" w:hAnsi="仿宋_GB2312" w:eastAsia="仿宋_GB2312"/>
          <w:sz w:val="32"/>
        </w:rPr>
      </w:pPr>
      <w:r>
        <w:rPr>
          <w:rFonts w:hint="eastAsia" w:ascii="黑体" w:hAnsi="黑体" w:eastAsia="黑体"/>
          <w:sz w:val="32"/>
        </w:rPr>
        <w:t>　　二、单位基本情况</w:t>
      </w:r>
    </w:p>
    <w:p>
      <w:pPr>
        <w:spacing w:line="555" w:lineRule="exact"/>
        <w:jc w:val="both"/>
        <w:rPr>
          <w:rFonts w:ascii="仿宋_GB2312" w:hAnsi="??_GB2312" w:eastAsia="仿宋_GB2312" w:cs="仿宋_GB2312"/>
        </w:rPr>
      </w:pPr>
      <w:r>
        <w:rPr>
          <w:rFonts w:hint="eastAsia" w:ascii="仿宋_GB2312" w:hAnsi="仿宋_GB2312" w:eastAsia="仿宋_GB2312"/>
          <w:sz w:val="32"/>
        </w:rPr>
        <w:t>　　厦门市湖里第二实验幼儿园内设</w:t>
      </w:r>
      <w:r>
        <w:rPr>
          <w:rFonts w:hint="eastAsia" w:ascii="仿宋_GB2312" w:hAnsi="仿宋_GB2312" w:eastAsia="仿宋_GB2312"/>
          <w:color w:val="auto"/>
          <w:sz w:val="32"/>
        </w:rPr>
        <w:t>2个</w:t>
      </w:r>
      <w:r>
        <w:rPr>
          <w:rFonts w:hint="eastAsia" w:ascii="仿宋_GB2312" w:hAnsi="仿宋_GB2312" w:eastAsia="仿宋_GB2312"/>
          <w:sz w:val="32"/>
        </w:rPr>
        <w:t>处室/科室，包括</w:t>
      </w:r>
      <w:r>
        <w:rPr>
          <w:rFonts w:hint="eastAsia" w:ascii="仿宋_GB2312" w:hAnsi="仿宋_GB2312" w:eastAsia="仿宋_GB2312"/>
        </w:rPr>
        <w:t>：</w:t>
      </w:r>
      <w:r>
        <w:rPr>
          <w:rFonts w:hint="eastAsia" w:ascii="仿宋_GB2312" w:hAnsi="??_GB2312" w:eastAsia="仿宋_GB2312" w:cs="仿宋_GB2312"/>
          <w:sz w:val="32"/>
          <w:szCs w:val="32"/>
        </w:rPr>
        <w:t>园长办公室和总务科。</w:t>
      </w:r>
    </w:p>
    <w:p>
      <w:pPr>
        <w:spacing w:line="555" w:lineRule="exact"/>
        <w:jc w:val="both"/>
        <w:rPr>
          <w:rFonts w:ascii="仿宋_GB2312" w:hAnsi="仿宋_GB2312" w:eastAsia="仿宋_GB2312"/>
          <w:sz w:val="32"/>
        </w:rPr>
      </w:pPr>
      <w:r>
        <w:rPr>
          <w:rFonts w:hint="eastAsia" w:ascii="黑体" w:hAnsi="黑体" w:eastAsia="黑体"/>
          <w:sz w:val="32"/>
        </w:rPr>
        <w:t>　　三、单位主要工作任务</w:t>
      </w:r>
    </w:p>
    <w:p>
      <w:pPr>
        <w:spacing w:line="555" w:lineRule="exact"/>
        <w:jc w:val="both"/>
        <w:rPr>
          <w:rFonts w:ascii="仿宋_GB2312" w:hAnsi="仿宋_GB2312" w:eastAsia="仿宋_GB2312"/>
          <w:color w:val="auto"/>
          <w:sz w:val="32"/>
        </w:rPr>
      </w:pPr>
      <w:r>
        <w:rPr>
          <w:rFonts w:hint="eastAsia" w:ascii="仿宋_GB2312" w:hAnsi="仿宋_GB2312" w:eastAsia="仿宋_GB2312"/>
          <w:sz w:val="32"/>
        </w:rPr>
        <w:t>　</w:t>
      </w:r>
      <w:r>
        <w:rPr>
          <w:rFonts w:hint="eastAsia" w:ascii="仿宋_GB2312" w:hAnsi="仿宋_GB2312" w:eastAsia="仿宋_GB2312"/>
          <w:color w:val="auto"/>
          <w:sz w:val="32"/>
        </w:rPr>
        <w:t>　2026年，厦门市湖里第二实验幼儿园主要任务是：网格化精细管理，深化幼儿园评估制度</w:t>
      </w:r>
      <w:r>
        <w:rPr>
          <w:rFonts w:hint="eastAsia"/>
          <w:color w:val="auto"/>
        </w:rPr>
        <w:t>；</w:t>
      </w:r>
      <w:r>
        <w:rPr>
          <w:rFonts w:hint="eastAsia" w:ascii="仿宋_GB2312" w:hAnsi="仿宋_GB2312" w:eastAsia="仿宋_GB2312"/>
          <w:color w:val="auto"/>
          <w:sz w:val="32"/>
        </w:rPr>
        <w:t>制度与示范并行，强化师德师风建设；多条途径并举，提升园本课程质量；</w:t>
      </w:r>
      <w:r>
        <w:rPr>
          <w:rFonts w:hint="eastAsia"/>
          <w:color w:val="auto"/>
        </w:rPr>
        <w:t xml:space="preserve"> </w:t>
      </w:r>
      <w:r>
        <w:rPr>
          <w:rFonts w:hint="eastAsia" w:ascii="仿宋_GB2312" w:hAnsi="仿宋_GB2312" w:eastAsia="仿宋_GB2312"/>
          <w:color w:val="auto"/>
          <w:sz w:val="32"/>
        </w:rPr>
        <w:t>深化家园合作，打造特色共育品牌。围绕上述任务，重点抓好以下工作：</w:t>
      </w:r>
    </w:p>
    <w:p>
      <w:pPr>
        <w:spacing w:line="555" w:lineRule="exact"/>
        <w:jc w:val="both"/>
        <w:rPr>
          <w:rFonts w:ascii="仿宋_GB2312" w:hAnsi="仿宋_GB2312" w:eastAsia="仿宋_GB2312"/>
          <w:color w:val="auto"/>
          <w:sz w:val="32"/>
        </w:rPr>
      </w:pPr>
      <w:r>
        <w:rPr>
          <w:rFonts w:hint="eastAsia" w:ascii="仿宋_GB2312" w:hAnsi="仿宋_GB2312" w:eastAsia="仿宋_GB2312"/>
          <w:color w:val="auto"/>
          <w:sz w:val="32"/>
        </w:rPr>
        <w:t>　　（一）网格化精细管理，深化幼儿园评估制度：做好财产登记工作，避免不必要的重复申购。同时，积极推动物品的重复利用，降低成本。加强公共区域与班级物品收纳的精细化管理，保证资产的安全与完整。完善食品安全管理制度，明确各环节的责任与标准。加大对厨房硬件设施的投入，完善防四害、防潮措施，定期进行检查和维护，确保食品安全。</w:t>
      </w:r>
    </w:p>
    <w:p>
      <w:pPr>
        <w:spacing w:line="555" w:lineRule="exact"/>
        <w:ind w:firstLine="648"/>
        <w:jc w:val="both"/>
        <w:rPr>
          <w:rFonts w:ascii="仿宋_GB2312" w:hAnsi="仿宋_GB2312" w:eastAsia="仿宋_GB2312"/>
          <w:color w:val="auto"/>
          <w:sz w:val="32"/>
        </w:rPr>
      </w:pPr>
      <w:r>
        <w:rPr>
          <w:rFonts w:hint="eastAsia" w:ascii="仿宋_GB2312" w:hAnsi="仿宋_GB2312" w:eastAsia="仿宋_GB2312"/>
          <w:color w:val="auto"/>
          <w:sz w:val="32"/>
        </w:rPr>
        <w:t>（二）制度与示范并行，强化师德师风建设：加强党性教育，发挥党员的先锋模范作用。开展相关系列工会活动，建设一支师德高尚、身心愉悦的</w:t>
      </w:r>
      <w:bookmarkStart w:id="0" w:name="_GoBack"/>
      <w:bookmarkEnd w:id="0"/>
      <w:r>
        <w:rPr>
          <w:rFonts w:hint="eastAsia" w:ascii="仿宋_GB2312" w:hAnsi="仿宋_GB2312" w:eastAsia="仿宋_GB2312"/>
          <w:color w:val="auto"/>
          <w:sz w:val="32"/>
        </w:rPr>
        <w:t>教职工队伍。　　</w:t>
      </w:r>
    </w:p>
    <w:p>
      <w:pPr>
        <w:spacing w:line="555" w:lineRule="exact"/>
        <w:ind w:firstLine="648"/>
        <w:jc w:val="both"/>
        <w:rPr>
          <w:rFonts w:ascii="仿宋_GB2312" w:hAnsi="仿宋_GB2312" w:eastAsia="仿宋_GB2312"/>
          <w:color w:val="auto"/>
          <w:sz w:val="32"/>
        </w:rPr>
      </w:pPr>
      <w:r>
        <w:rPr>
          <w:rFonts w:hint="eastAsia" w:ascii="仿宋_GB2312" w:hAnsi="仿宋_GB2312" w:eastAsia="仿宋_GB2312"/>
          <w:color w:val="auto"/>
          <w:sz w:val="32"/>
        </w:rPr>
        <w:t xml:space="preserve">（三）多条途径并举，提升园本课程质量：围绕“游戏中师幼互动的倾听与回应”开展专题研训活动，提升游戏中师幼互动质量。以“幼儿深度学习行为的观察指标”为抓手，通过园级培训、实验班实践探索、课题小组定期分享与讨论的方式，提升教师对于幼儿深度学习行为的观察与识别能力，同时探索主题式区域游戏中促进幼儿深度学习的初步策略（环境材料、师幼互动、多元评价等），提升主题式区域游戏质量。 </w:t>
      </w:r>
    </w:p>
    <w:p>
      <w:pPr>
        <w:spacing w:line="555" w:lineRule="exact"/>
        <w:ind w:firstLine="648"/>
        <w:jc w:val="both"/>
        <w:rPr>
          <w:rFonts w:hint="eastAsia" w:ascii="仿宋_GB2312" w:hAnsi="仿宋_GB2312" w:eastAsia="仿宋_GB2312"/>
          <w:sz w:val="32"/>
        </w:rPr>
      </w:pPr>
      <w:r>
        <w:rPr>
          <w:rFonts w:hint="eastAsia" w:ascii="仿宋_GB2312" w:hAnsi="仿宋_GB2312" w:eastAsia="仿宋_GB2312"/>
          <w:sz w:val="32"/>
        </w:rPr>
        <w:t>（四）建立家长问题分级处理机制；开发利用家长资源，生成课程，提升家长的课程参与度。</w:t>
      </w:r>
    </w:p>
    <w:p>
      <w:pPr>
        <w:pStyle w:val="2"/>
        <w:jc w:val="both"/>
      </w:pPr>
    </w:p>
    <w:p>
      <w:pPr>
        <w:spacing w:line="555" w:lineRule="exact"/>
        <w:ind w:left="20"/>
        <w:jc w:val="center"/>
        <w:rPr>
          <w:rFonts w:hint="eastAsia" w:ascii="黑体" w:hAnsi="黑体" w:eastAsia="黑体" w:cs="Times New Roman"/>
          <w:sz w:val="32"/>
          <w:szCs w:val="22"/>
        </w:rPr>
      </w:pPr>
      <w:r>
        <w:rPr>
          <w:rFonts w:hint="eastAsia" w:ascii="黑体" w:hAnsi="黑体" w:eastAsia="黑体" w:cs="Times New Roman"/>
          <w:sz w:val="32"/>
          <w:szCs w:val="22"/>
        </w:rPr>
        <w:t>第二部分  2026年单位预算说明</w:t>
      </w:r>
    </w:p>
    <w:p>
      <w:pPr>
        <w:spacing w:line="555" w:lineRule="exact"/>
        <w:ind w:firstLine="640" w:firstLineChars="200"/>
        <w:jc w:val="both"/>
        <w:rPr>
          <w:rFonts w:ascii="仿宋_GB2312" w:hAnsi="仿宋_GB2312" w:eastAsia="仿宋_GB2312"/>
          <w:sz w:val="32"/>
        </w:rPr>
      </w:pPr>
      <w:r>
        <w:rPr>
          <w:rFonts w:hint="eastAsia" w:ascii="黑体" w:hAnsi="黑体" w:eastAsia="黑体"/>
          <w:sz w:val="32"/>
        </w:rPr>
        <w:t>一、2026年单位预算收支总体情况</w:t>
      </w:r>
    </w:p>
    <w:p>
      <w:pPr>
        <w:spacing w:line="555" w:lineRule="exact"/>
        <w:jc w:val="both"/>
        <w:rPr>
          <w:rFonts w:ascii="仿宋_GB2312" w:hAnsi="仿宋_GB2312" w:eastAsia="仿宋_GB2312"/>
          <w:sz w:val="32"/>
        </w:rPr>
      </w:pPr>
      <w:r>
        <w:rPr>
          <w:rFonts w:hint="eastAsia" w:ascii="仿宋_GB2312" w:hAnsi="仿宋_GB2312" w:eastAsia="仿宋_GB2312"/>
          <w:sz w:val="32"/>
        </w:rPr>
        <w:t>　　根据预算管理的有关规定，单位的全部收入和支出均纳入部门预算管理。</w:t>
      </w:r>
    </w:p>
    <w:p>
      <w:pPr>
        <w:spacing w:line="555" w:lineRule="exact"/>
        <w:jc w:val="both"/>
        <w:rPr>
          <w:rFonts w:ascii="仿宋_GB2312" w:hAnsi="仿宋_GB2312" w:eastAsia="仿宋_GB2312"/>
          <w:sz w:val="32"/>
        </w:rPr>
      </w:pPr>
      <w:r>
        <w:rPr>
          <w:rFonts w:hint="eastAsia" w:ascii="仿宋_GB2312" w:hAnsi="仿宋_GB2312" w:eastAsia="仿宋_GB2312"/>
          <w:sz w:val="32"/>
        </w:rPr>
        <w:t>　　（一）厦门市湖里第二实验幼儿园2026年收入预算为1,702.81万元，比2025年预算数减少44.15万元，下降2.53％，具体情况如下：</w:t>
      </w:r>
    </w:p>
    <w:p>
      <w:pPr>
        <w:spacing w:line="555" w:lineRule="exact"/>
        <w:jc w:val="both"/>
        <w:rPr>
          <w:rFonts w:ascii="仿宋_GB2312" w:hAnsi="仿宋_GB2312" w:eastAsia="仿宋_GB2312"/>
          <w:sz w:val="32"/>
        </w:rPr>
      </w:pPr>
      <w:r>
        <w:rPr>
          <w:rFonts w:hint="eastAsia" w:ascii="仿宋_GB2312" w:hAnsi="仿宋_GB2312" w:eastAsia="仿宋_GB2312"/>
          <w:sz w:val="32"/>
        </w:rPr>
        <w:t>　　1.财政拨款收入1,702.81万元，其中一般公共预算拨款收入1,702.81万元，政府性基金拨款收入0.00万元，国有资本经营预算拨款收入0.00万元；</w:t>
      </w:r>
    </w:p>
    <w:p>
      <w:pPr>
        <w:spacing w:line="555" w:lineRule="exact"/>
        <w:jc w:val="both"/>
        <w:rPr>
          <w:rFonts w:ascii="仿宋_GB2312" w:hAnsi="仿宋_GB2312" w:eastAsia="仿宋_GB2312"/>
          <w:sz w:val="32"/>
        </w:rPr>
      </w:pPr>
      <w:r>
        <w:rPr>
          <w:rFonts w:hint="eastAsia" w:ascii="仿宋_GB2312" w:hAnsi="仿宋_GB2312" w:eastAsia="仿宋_GB2312"/>
          <w:sz w:val="32"/>
        </w:rPr>
        <w:t>　　2.财政专户管理资金收入0.00万元；</w:t>
      </w:r>
    </w:p>
    <w:p>
      <w:pPr>
        <w:spacing w:line="555" w:lineRule="exact"/>
        <w:jc w:val="both"/>
        <w:rPr>
          <w:rFonts w:ascii="仿宋_GB2312" w:hAnsi="仿宋_GB2312" w:eastAsia="仿宋_GB2312"/>
          <w:sz w:val="32"/>
        </w:rPr>
      </w:pPr>
      <w:r>
        <w:rPr>
          <w:rFonts w:hint="eastAsia" w:ascii="仿宋_GB2312" w:hAnsi="仿宋_GB2312" w:eastAsia="仿宋_GB2312"/>
          <w:sz w:val="32"/>
        </w:rPr>
        <w:t>　　3.事业收入0.00万元；</w:t>
      </w:r>
    </w:p>
    <w:p>
      <w:pPr>
        <w:spacing w:line="555" w:lineRule="exact"/>
        <w:jc w:val="both"/>
        <w:rPr>
          <w:rFonts w:ascii="仿宋_GB2312" w:hAnsi="仿宋_GB2312" w:eastAsia="仿宋_GB2312"/>
          <w:sz w:val="32"/>
        </w:rPr>
      </w:pPr>
      <w:r>
        <w:rPr>
          <w:rFonts w:hint="eastAsia" w:ascii="仿宋_GB2312" w:hAnsi="仿宋_GB2312" w:eastAsia="仿宋_GB2312"/>
          <w:sz w:val="32"/>
        </w:rPr>
        <w:t>　　4.事业单位经营收入0.00万元；</w:t>
      </w:r>
    </w:p>
    <w:p>
      <w:pPr>
        <w:spacing w:line="555" w:lineRule="exact"/>
        <w:jc w:val="both"/>
        <w:rPr>
          <w:rFonts w:ascii="仿宋_GB2312" w:hAnsi="仿宋_GB2312" w:eastAsia="仿宋_GB2312"/>
          <w:sz w:val="32"/>
        </w:rPr>
      </w:pPr>
      <w:r>
        <w:rPr>
          <w:rFonts w:hint="eastAsia" w:ascii="仿宋_GB2312" w:hAnsi="仿宋_GB2312" w:eastAsia="仿宋_GB2312"/>
          <w:sz w:val="32"/>
        </w:rPr>
        <w:t>　　5.上级补助收入0.00万元；</w:t>
      </w:r>
    </w:p>
    <w:p>
      <w:pPr>
        <w:spacing w:line="555" w:lineRule="exact"/>
        <w:jc w:val="both"/>
        <w:rPr>
          <w:rFonts w:ascii="仿宋_GB2312" w:hAnsi="仿宋_GB2312" w:eastAsia="仿宋_GB2312"/>
          <w:sz w:val="32"/>
        </w:rPr>
      </w:pPr>
      <w:r>
        <w:rPr>
          <w:rFonts w:hint="eastAsia" w:ascii="仿宋_GB2312" w:hAnsi="仿宋_GB2312" w:eastAsia="仿宋_GB2312"/>
          <w:sz w:val="32"/>
        </w:rPr>
        <w:t>　　6.附属单位上缴收入0.00万元；</w:t>
      </w:r>
    </w:p>
    <w:p>
      <w:pPr>
        <w:spacing w:line="555" w:lineRule="exact"/>
        <w:jc w:val="both"/>
        <w:rPr>
          <w:rFonts w:ascii="仿宋_GB2312" w:hAnsi="仿宋_GB2312" w:eastAsia="仿宋_GB2312"/>
          <w:sz w:val="32"/>
        </w:rPr>
      </w:pPr>
      <w:r>
        <w:rPr>
          <w:rFonts w:hint="eastAsia" w:ascii="仿宋_GB2312" w:hAnsi="仿宋_GB2312" w:eastAsia="仿宋_GB2312"/>
          <w:sz w:val="32"/>
        </w:rPr>
        <w:t>　　7.其他收入0.00万元；</w:t>
      </w:r>
    </w:p>
    <w:p>
      <w:pPr>
        <w:spacing w:line="555" w:lineRule="exact"/>
        <w:jc w:val="both"/>
        <w:rPr>
          <w:rFonts w:ascii="仿宋_GB2312" w:hAnsi="仿宋_GB2312" w:eastAsia="仿宋_GB2312"/>
          <w:sz w:val="32"/>
        </w:rPr>
      </w:pPr>
      <w:r>
        <w:rPr>
          <w:rFonts w:hint="eastAsia" w:ascii="仿宋_GB2312" w:hAnsi="仿宋_GB2312" w:eastAsia="仿宋_GB2312"/>
          <w:sz w:val="32"/>
        </w:rPr>
        <w:t>　　8.上年结转结余0.00万元。</w:t>
      </w:r>
    </w:p>
    <w:p>
      <w:pPr>
        <w:spacing w:line="555" w:lineRule="exact"/>
        <w:jc w:val="both"/>
        <w:rPr>
          <w:rFonts w:ascii="仿宋_GB2312" w:hAnsi="仿宋_GB2312" w:eastAsia="仿宋_GB2312"/>
          <w:sz w:val="32"/>
        </w:rPr>
      </w:pPr>
      <w:r>
        <w:rPr>
          <w:rFonts w:hint="eastAsia" w:ascii="黑体" w:hAnsi="黑体" w:eastAsia="黑体"/>
          <w:sz w:val="32"/>
        </w:rPr>
        <w:t>　　二、一般公共预算财政拨款支出预算情况</w:t>
      </w:r>
    </w:p>
    <w:p>
      <w:pPr>
        <w:spacing w:line="555" w:lineRule="exact"/>
        <w:jc w:val="both"/>
        <w:rPr>
          <w:rFonts w:ascii="仿宋_GB2312" w:hAnsi="仿宋_GB2312" w:eastAsia="仿宋_GB2312"/>
          <w:sz w:val="32"/>
        </w:rPr>
      </w:pPr>
      <w:r>
        <w:rPr>
          <w:rFonts w:hint="eastAsia" w:ascii="仿宋_GB2312" w:hAnsi="仿宋_GB2312" w:eastAsia="仿宋_GB2312"/>
          <w:sz w:val="32"/>
        </w:rPr>
        <w:t>　　2026年度一般公共预算支出1,702.81万元（不含市对区转移支付项目），比2025年预算数减少44.15万元，下降2.53%，主要是</w:t>
      </w:r>
      <w:r>
        <w:rPr>
          <w:rFonts w:hint="eastAsia" w:ascii="仿宋_GB2312" w:hAnsi="仿宋_GB2312" w:eastAsia="仿宋_GB2312"/>
          <w:sz w:val="32"/>
          <w:lang w:val="en-US" w:eastAsia="zh-CN"/>
        </w:rPr>
        <w:t>20</w:t>
      </w:r>
      <w:r>
        <w:rPr>
          <w:rFonts w:hint="eastAsia" w:ascii="仿宋_GB2312" w:hAnsi="仿宋_GB2312" w:eastAsia="仿宋_GB2312"/>
          <w:sz w:val="32"/>
        </w:rPr>
        <w:t>26年在校学生</w:t>
      </w:r>
      <w:r>
        <w:rPr>
          <w:rFonts w:hint="eastAsia" w:ascii="仿宋_GB2312" w:hAnsi="仿宋_GB2312" w:eastAsia="仿宋_GB2312"/>
          <w:sz w:val="32"/>
          <w:lang w:eastAsia="zh-CN"/>
        </w:rPr>
        <w:t>数和教师人数减少等</w:t>
      </w:r>
      <w:r>
        <w:rPr>
          <w:rFonts w:hint="eastAsia" w:ascii="仿宋_GB2312" w:hAnsi="仿宋_GB2312" w:eastAsia="仿宋_GB2312"/>
          <w:sz w:val="32"/>
        </w:rPr>
        <w:t>。支出项目(按项级科目分类统计)包括：</w:t>
      </w:r>
    </w:p>
    <w:p>
      <w:pPr>
        <w:spacing w:line="555" w:lineRule="exact"/>
        <w:ind w:left="20"/>
        <w:jc w:val="both"/>
        <w:rPr>
          <w:rFonts w:ascii="仿宋_GB2312" w:hAnsi="仿宋_GB2312" w:eastAsia="仿宋_GB2312"/>
          <w:sz w:val="32"/>
        </w:rPr>
      </w:pPr>
      <w:r>
        <w:rPr>
          <w:rFonts w:hint="eastAsia" w:ascii="仿宋_GB2312" w:hAnsi="仿宋_GB2312" w:eastAsia="仿宋_GB2312"/>
          <w:sz w:val="32"/>
        </w:rPr>
        <w:t>　　1.教育支出（类）普通教育（款）学前教育（项）1,555.21万元。主要用于学前教育支出。</w:t>
      </w:r>
    </w:p>
    <w:p>
      <w:pPr>
        <w:spacing w:line="555" w:lineRule="exact"/>
        <w:ind w:left="20"/>
        <w:jc w:val="both"/>
        <w:rPr>
          <w:rFonts w:ascii="仿宋_GB2312" w:hAnsi="仿宋_GB2312" w:eastAsia="仿宋_GB2312"/>
          <w:sz w:val="32"/>
        </w:rPr>
      </w:pPr>
      <w:r>
        <w:rPr>
          <w:rFonts w:hint="eastAsia" w:ascii="仿宋_GB2312" w:hAnsi="仿宋_GB2312" w:eastAsia="仿宋_GB2312"/>
          <w:sz w:val="32"/>
        </w:rPr>
        <w:t>　　2.社会保障和就业支出（类）行政事业单位养老支出（款）事业单位离退休（项）7.02万元。主要用于</w:t>
      </w:r>
      <w:r>
        <w:rPr>
          <w:rFonts w:hint="eastAsia" w:ascii="仿宋_GB2312" w:hAnsi="仿宋" w:eastAsia="仿宋_GB2312"/>
          <w:color w:val="auto"/>
          <w:sz w:val="32"/>
        </w:rPr>
        <w:t>机关事业单位退休人员生活补助、住房补贴</w:t>
      </w:r>
      <w:r>
        <w:rPr>
          <w:rFonts w:hint="eastAsia" w:ascii="仿宋_GB2312" w:hAnsi="仿宋" w:eastAsia="仿宋_GB2312"/>
          <w:color w:val="auto"/>
          <w:sz w:val="32"/>
          <w:lang w:eastAsia="zh-CN"/>
        </w:rPr>
        <w:t>等</w:t>
      </w:r>
      <w:r>
        <w:rPr>
          <w:rFonts w:hint="eastAsia" w:ascii="仿宋_GB2312" w:hAnsi="仿宋_GB2312" w:eastAsia="仿宋_GB2312"/>
          <w:sz w:val="32"/>
        </w:rPr>
        <w:t>支出。</w:t>
      </w:r>
    </w:p>
    <w:p>
      <w:pPr>
        <w:spacing w:line="555" w:lineRule="exact"/>
        <w:ind w:left="20"/>
        <w:jc w:val="both"/>
        <w:rPr>
          <w:rFonts w:ascii="仿宋_GB2312" w:hAnsi="仿宋_GB2312" w:eastAsia="仿宋_GB2312"/>
          <w:sz w:val="32"/>
        </w:rPr>
      </w:pPr>
      <w:r>
        <w:rPr>
          <w:rFonts w:hint="eastAsia" w:ascii="仿宋_GB2312" w:hAnsi="仿宋_GB2312" w:eastAsia="仿宋_GB2312"/>
          <w:sz w:val="32"/>
        </w:rPr>
        <w:t>　　3.社会保障和就业支出（类）行政事业单位养老支出（款）机关事业单位基本养老保险缴费支出（项）55.79万元。主要用于</w:t>
      </w:r>
      <w:r>
        <w:rPr>
          <w:rFonts w:hint="eastAsia" w:ascii="仿宋_GB2312" w:hAnsi="仿宋" w:eastAsia="仿宋_GB2312"/>
          <w:color w:val="auto"/>
          <w:sz w:val="32"/>
        </w:rPr>
        <w:t>机关事业单位在职人员基本养老保险缴费</w:t>
      </w:r>
      <w:r>
        <w:rPr>
          <w:rFonts w:hint="eastAsia" w:ascii="仿宋_GB2312" w:hAnsi="仿宋_GB2312" w:eastAsia="仿宋_GB2312"/>
          <w:sz w:val="32"/>
        </w:rPr>
        <w:t>支出。</w:t>
      </w:r>
    </w:p>
    <w:p>
      <w:pPr>
        <w:spacing w:line="555" w:lineRule="exact"/>
        <w:ind w:left="20"/>
        <w:jc w:val="both"/>
        <w:rPr>
          <w:rFonts w:ascii="仿宋_GB2312" w:hAnsi="仿宋_GB2312" w:eastAsia="仿宋_GB2312"/>
          <w:sz w:val="32"/>
        </w:rPr>
      </w:pPr>
      <w:r>
        <w:rPr>
          <w:rFonts w:hint="eastAsia" w:ascii="仿宋_GB2312" w:hAnsi="仿宋_GB2312" w:eastAsia="仿宋_GB2312"/>
          <w:sz w:val="32"/>
        </w:rPr>
        <w:t>　　4.社会保障和就业支出（类）行政事业单位养老支出（款）机关事业单位职业年金缴费支出（项）27.90万元。主要用于</w:t>
      </w:r>
      <w:r>
        <w:rPr>
          <w:rFonts w:hint="eastAsia" w:ascii="仿宋_GB2312" w:hAnsi="仿宋" w:eastAsia="仿宋_GB2312"/>
          <w:color w:val="auto"/>
          <w:sz w:val="32"/>
        </w:rPr>
        <w:t>机关事业单位职业年金缴费</w:t>
      </w:r>
      <w:r>
        <w:rPr>
          <w:rFonts w:hint="eastAsia" w:ascii="仿宋_GB2312" w:hAnsi="仿宋_GB2312" w:eastAsia="仿宋_GB2312"/>
          <w:sz w:val="32"/>
        </w:rPr>
        <w:t>支出。</w:t>
      </w:r>
    </w:p>
    <w:p>
      <w:pPr>
        <w:spacing w:line="555" w:lineRule="exact"/>
        <w:ind w:left="20"/>
        <w:jc w:val="both"/>
        <w:rPr>
          <w:rFonts w:ascii="仿宋_GB2312" w:hAnsi="仿宋_GB2312" w:eastAsia="仿宋_GB2312"/>
          <w:sz w:val="32"/>
        </w:rPr>
      </w:pPr>
      <w:r>
        <w:rPr>
          <w:rFonts w:hint="eastAsia" w:ascii="仿宋_GB2312" w:hAnsi="仿宋_GB2312" w:eastAsia="仿宋_GB2312"/>
          <w:sz w:val="32"/>
        </w:rPr>
        <w:t>　　5.卫生健康支出（类）行政事业单位医疗（款）事业单位医疗（项）23.89万元。主要用于</w:t>
      </w:r>
      <w:r>
        <w:rPr>
          <w:rFonts w:hint="eastAsia" w:ascii="仿宋_GB2312" w:hAnsi="仿宋" w:eastAsia="仿宋_GB2312"/>
          <w:color w:val="auto"/>
          <w:sz w:val="32"/>
        </w:rPr>
        <w:t>事业单位医疗保险</w:t>
      </w:r>
      <w:r>
        <w:rPr>
          <w:rFonts w:hint="eastAsia" w:ascii="仿宋_GB2312" w:hAnsi="仿宋_GB2312" w:eastAsia="仿宋_GB2312"/>
          <w:sz w:val="32"/>
        </w:rPr>
        <w:t>支出。</w:t>
      </w:r>
    </w:p>
    <w:p>
      <w:pPr>
        <w:spacing w:line="555" w:lineRule="exact"/>
        <w:ind w:left="20" w:firstLine="649"/>
        <w:jc w:val="both"/>
        <w:rPr>
          <w:rFonts w:hint="eastAsia" w:ascii="仿宋_GB2312" w:hAnsi="仿宋_GB2312" w:eastAsia="仿宋_GB2312"/>
          <w:sz w:val="32"/>
          <w:lang w:eastAsia="zh-CN"/>
        </w:rPr>
      </w:pPr>
      <w:r>
        <w:rPr>
          <w:rFonts w:hint="eastAsia" w:ascii="仿宋_GB2312" w:hAnsi="仿宋_GB2312" w:eastAsia="仿宋_GB2312"/>
          <w:sz w:val="32"/>
        </w:rPr>
        <w:t>6.卫生健康支出（类）行政事业单位医疗（款）其他行政事业单位医疗支出（项）12.20万元。主要用于其他行政事业单位医疗支出</w:t>
      </w:r>
      <w:r>
        <w:rPr>
          <w:rFonts w:hint="eastAsia" w:ascii="仿宋_GB2312" w:hAnsi="仿宋_GB2312" w:eastAsia="仿宋_GB2312"/>
          <w:sz w:val="32"/>
          <w:lang w:eastAsia="zh-CN"/>
        </w:rPr>
        <w:t>。</w:t>
      </w:r>
    </w:p>
    <w:p>
      <w:pPr>
        <w:spacing w:line="555" w:lineRule="exact"/>
        <w:ind w:left="20" w:firstLine="649"/>
        <w:jc w:val="both"/>
        <w:rPr>
          <w:rFonts w:ascii="仿宋_GB2312" w:hAnsi="仿宋_GB2312" w:eastAsia="仿宋_GB2312"/>
          <w:sz w:val="32"/>
        </w:rPr>
      </w:pPr>
      <w:r>
        <w:rPr>
          <w:rFonts w:hint="eastAsia" w:ascii="仿宋_GB2312" w:hAnsi="仿宋_GB2312" w:eastAsia="仿宋_GB2312"/>
          <w:sz w:val="32"/>
        </w:rPr>
        <w:t>7.住房保障支出（类）住房改革支出（款）购房补贴（项）20.80万元。主要用于教师</w:t>
      </w:r>
      <w:r>
        <w:rPr>
          <w:rFonts w:hint="eastAsia" w:ascii="仿宋_GB2312" w:hAnsi="仿宋_GB2312" w:eastAsia="仿宋_GB2312" w:cs="仿宋_GB2312"/>
          <w:sz w:val="32"/>
          <w:szCs w:val="32"/>
        </w:rPr>
        <w:t>住房货币化补贴</w:t>
      </w:r>
      <w:r>
        <w:rPr>
          <w:rFonts w:hint="eastAsia" w:ascii="仿宋_GB2312" w:hAnsi="仿宋_GB2312" w:eastAsia="仿宋_GB2312"/>
          <w:sz w:val="32"/>
        </w:rPr>
        <w:t>支出。</w:t>
      </w:r>
    </w:p>
    <w:p>
      <w:pPr>
        <w:spacing w:line="555" w:lineRule="exact"/>
        <w:jc w:val="both"/>
        <w:rPr>
          <w:rFonts w:ascii="仿宋_GB2312" w:hAnsi="仿宋_GB2312" w:eastAsia="仿宋_GB2312"/>
          <w:sz w:val="32"/>
        </w:rPr>
      </w:pPr>
      <w:r>
        <w:rPr>
          <w:rFonts w:hint="eastAsia" w:ascii="黑体" w:hAnsi="黑体" w:eastAsia="黑体"/>
          <w:sz w:val="32"/>
        </w:rPr>
        <w:t>　　三、政府性基金预算财政拨款支出情况</w:t>
      </w:r>
    </w:p>
    <w:p>
      <w:pPr>
        <w:spacing w:line="555" w:lineRule="exact"/>
        <w:ind w:firstLine="648"/>
        <w:jc w:val="both"/>
        <w:rPr>
          <w:rFonts w:ascii="仿宋_GB2312" w:hAnsi="仿宋_GB2312" w:eastAsia="仿宋_GB2312"/>
          <w:sz w:val="32"/>
        </w:rPr>
      </w:pPr>
      <w:r>
        <w:rPr>
          <w:rFonts w:hint="eastAsia" w:ascii="仿宋_GB2312" w:hAnsi="仿宋_GB2312" w:eastAsia="仿宋_GB2312"/>
          <w:sz w:val="32"/>
        </w:rPr>
        <w:t>2026年度政府性基金支出0.00万元（不含市对区转移支付项目），比2025年预算数增加0.00万元，增长0%</w:t>
      </w:r>
      <w:r>
        <w:rPr>
          <w:rFonts w:hint="eastAsia" w:ascii="仿宋_GB2312" w:hAnsi="仿宋_GB2312" w:eastAsia="仿宋_GB2312"/>
          <w:sz w:val="32"/>
          <w:lang w:eastAsia="zh-CN"/>
        </w:rPr>
        <w:t>。</w:t>
      </w:r>
      <w:r>
        <w:rPr>
          <w:rFonts w:hint="eastAsia" w:ascii="仿宋_GB2312" w:hAnsi="仿宋_GB2312" w:eastAsia="仿宋_GB2312"/>
          <w:color w:val="auto"/>
          <w:sz w:val="32"/>
        </w:rPr>
        <w:t>主要</w:t>
      </w:r>
      <w:r>
        <w:rPr>
          <w:rFonts w:hint="eastAsia" w:ascii="仿宋_GB2312" w:hAnsi="仿宋_GB2312" w:eastAsia="仿宋_GB2312"/>
          <w:color w:val="auto"/>
          <w:sz w:val="32"/>
          <w:lang w:eastAsia="zh-CN"/>
        </w:rPr>
        <w:t>原因</w:t>
      </w:r>
      <w:r>
        <w:rPr>
          <w:rFonts w:hint="eastAsia" w:ascii="仿宋_GB2312" w:hAnsi="仿宋_GB2312" w:eastAsia="仿宋_GB2312"/>
          <w:color w:val="auto"/>
          <w:sz w:val="32"/>
        </w:rPr>
        <w:t>是</w:t>
      </w:r>
      <w:r>
        <w:rPr>
          <w:rFonts w:hint="eastAsia" w:ascii="仿宋_GB2312" w:hAnsi="仿宋_GB2312" w:eastAsia="仿宋_GB2312"/>
          <w:color w:val="auto"/>
          <w:sz w:val="32"/>
          <w:lang w:val="en-US" w:eastAsia="zh-CN"/>
        </w:rPr>
        <w:t>2026</w:t>
      </w:r>
      <w:r>
        <w:rPr>
          <w:rFonts w:hint="eastAsia" w:ascii="仿宋" w:hAnsi="仿宋" w:eastAsia="仿宋"/>
          <w:color w:val="auto"/>
          <w:sz w:val="32"/>
          <w:lang w:val="en-US" w:eastAsia="zh-CN"/>
        </w:rPr>
        <w:t>年度本单位没有政府性基金预算支出安排</w:t>
      </w:r>
      <w:r>
        <w:rPr>
          <w:rFonts w:hint="eastAsia" w:ascii="仿宋_GB2312" w:hAnsi="仿宋_GB2312" w:eastAsia="仿宋_GB2312"/>
          <w:color w:val="auto"/>
          <w:sz w:val="32"/>
        </w:rPr>
        <w:t>。</w:t>
      </w:r>
    </w:p>
    <w:p>
      <w:pPr>
        <w:spacing w:line="555" w:lineRule="exact"/>
        <w:jc w:val="both"/>
        <w:rPr>
          <w:rFonts w:ascii="仿宋_GB2312" w:hAnsi="仿宋_GB2312" w:eastAsia="仿宋_GB2312"/>
          <w:sz w:val="32"/>
        </w:rPr>
      </w:pPr>
      <w:r>
        <w:rPr>
          <w:rFonts w:hint="eastAsia" w:ascii="黑体" w:hAnsi="黑体" w:eastAsia="黑体"/>
          <w:sz w:val="32"/>
        </w:rPr>
        <w:t>　　四、“三公”经费财政拨款预算情况</w:t>
      </w:r>
    </w:p>
    <w:p>
      <w:pPr>
        <w:spacing w:line="555" w:lineRule="exact"/>
        <w:jc w:val="both"/>
        <w:rPr>
          <w:rFonts w:ascii="仿宋_GB2312" w:hAnsi="仿宋_GB2312" w:eastAsia="仿宋_GB2312"/>
          <w:sz w:val="32"/>
        </w:rPr>
      </w:pPr>
      <w:r>
        <w:rPr>
          <w:rFonts w:hint="eastAsia" w:ascii="仿宋_GB2312" w:hAnsi="仿宋_GB2312" w:eastAsia="仿宋_GB2312"/>
          <w:sz w:val="32"/>
        </w:rPr>
        <w:t>　　厦门市湖里第二实验幼儿园单位2026年“三公”经费财政拨款预算数为0.00万元，其中：因公出国（境）经费0.00万元，公务接待费0.00万元，公务用车购置及运行费0.00万元。具体情况如下：</w:t>
      </w:r>
    </w:p>
    <w:p>
      <w:pPr>
        <w:spacing w:line="555" w:lineRule="exact"/>
        <w:ind w:firstLine="640" w:firstLineChars="200"/>
        <w:jc w:val="both"/>
        <w:rPr>
          <w:rFonts w:ascii="仿宋_GB2312" w:hAnsi="仿宋_GB2312" w:eastAsia="仿宋_GB2312"/>
          <w:sz w:val="32"/>
        </w:rPr>
      </w:pPr>
      <w:r>
        <w:rPr>
          <w:rFonts w:hint="eastAsia" w:ascii="楷体" w:hAnsi="楷体" w:eastAsia="楷体"/>
          <w:sz w:val="32"/>
        </w:rPr>
        <w:t>（一）因公出国（境）经费</w:t>
      </w:r>
    </w:p>
    <w:p>
      <w:pPr>
        <w:spacing w:line="555" w:lineRule="exact"/>
        <w:ind w:firstLine="640"/>
        <w:jc w:val="both"/>
        <w:rPr>
          <w:rFonts w:hint="eastAsia" w:ascii="仿宋_GB2312" w:hAnsi="仿宋_GB2312" w:eastAsia="仿宋_GB2312"/>
          <w:sz w:val="24"/>
        </w:rPr>
      </w:pPr>
      <w:r>
        <w:rPr>
          <w:rFonts w:hint="eastAsia" w:ascii="仿宋_GB2312" w:hAnsi="仿宋_GB2312" w:eastAsia="仿宋_GB2312"/>
          <w:sz w:val="32"/>
        </w:rPr>
        <w:t>2026年预算安排0.00万元。与上年预算相比增长0%，主要原因是:</w:t>
      </w:r>
      <w:r>
        <w:rPr>
          <w:rFonts w:hint="eastAsia" w:ascii="仿宋_GB2312" w:hAnsi="仿宋" w:eastAsia="仿宋_GB2312"/>
          <w:color w:val="auto"/>
          <w:sz w:val="32"/>
        </w:rPr>
        <w:t xml:space="preserve"> </w:t>
      </w:r>
      <w:r>
        <w:rPr>
          <w:rFonts w:hint="eastAsia" w:ascii="仿宋" w:hAnsi="仿宋" w:eastAsia="仿宋"/>
          <w:sz w:val="32"/>
          <w:lang w:val="en-US" w:eastAsia="zh-CN"/>
        </w:rPr>
        <w:t>本年度无安排因公出国（境）活动，没有编制预算</w:t>
      </w:r>
      <w:r>
        <w:rPr>
          <w:rFonts w:hint="eastAsia" w:ascii="仿宋_GB2312" w:hAnsi="仿宋_GB2312" w:eastAsia="仿宋_GB2312"/>
          <w:sz w:val="24"/>
        </w:rPr>
        <w:t>。</w:t>
      </w:r>
    </w:p>
    <w:p>
      <w:pPr>
        <w:spacing w:line="555" w:lineRule="exact"/>
        <w:ind w:firstLine="640"/>
        <w:jc w:val="both"/>
        <w:rPr>
          <w:rFonts w:ascii="仿宋_GB2312" w:hAnsi="仿宋_GB2312" w:eastAsia="仿宋_GB2312"/>
          <w:sz w:val="32"/>
        </w:rPr>
      </w:pPr>
      <w:r>
        <w:rPr>
          <w:rFonts w:hint="eastAsia" w:ascii="楷体" w:hAnsi="楷体" w:eastAsia="楷体"/>
          <w:sz w:val="32"/>
        </w:rPr>
        <w:t>（二）公务接待费</w:t>
      </w:r>
    </w:p>
    <w:p>
      <w:pPr>
        <w:spacing w:line="555" w:lineRule="exact"/>
        <w:ind w:firstLine="640" w:firstLineChars="200"/>
        <w:jc w:val="both"/>
        <w:rPr>
          <w:rFonts w:ascii="仿宋_GB2312" w:hAnsi="仿宋" w:eastAsia="仿宋_GB2312"/>
          <w:color w:val="auto"/>
          <w:sz w:val="32"/>
        </w:rPr>
      </w:pPr>
      <w:r>
        <w:rPr>
          <w:rFonts w:hint="eastAsia" w:ascii="仿宋_GB2312" w:hAnsi="仿宋_GB2312" w:eastAsia="仿宋_GB2312"/>
          <w:sz w:val="32"/>
        </w:rPr>
        <w:t>2026年预算安排0.00万元。与上年预算相比增长</w:t>
      </w:r>
      <w:r>
        <w:rPr>
          <w:rFonts w:ascii="仿宋_GB2312" w:hAnsi="仿宋_GB2312" w:eastAsia="仿宋_GB2312"/>
          <w:sz w:val="32"/>
        </w:rPr>
        <w:t>0%</w:t>
      </w:r>
      <w:r>
        <w:rPr>
          <w:rFonts w:hint="eastAsia" w:ascii="仿宋_GB2312" w:hAnsi="仿宋_GB2312" w:eastAsia="仿宋_GB2312"/>
          <w:sz w:val="32"/>
        </w:rPr>
        <w:t>，主要原因是</w:t>
      </w:r>
      <w:r>
        <w:rPr>
          <w:rFonts w:ascii="仿宋_GB2312" w:hAnsi="仿宋_GB2312" w:eastAsia="仿宋_GB2312"/>
          <w:sz w:val="32"/>
        </w:rPr>
        <w:t>:</w:t>
      </w:r>
      <w:r>
        <w:rPr>
          <w:rFonts w:ascii="仿宋_GB2312" w:hAnsi="仿宋" w:eastAsia="仿宋_GB2312"/>
          <w:color w:val="auto"/>
          <w:sz w:val="32"/>
        </w:rPr>
        <w:t xml:space="preserve"> </w:t>
      </w:r>
      <w:r>
        <w:rPr>
          <w:rFonts w:hint="eastAsia" w:ascii="仿宋" w:hAnsi="仿宋" w:eastAsia="仿宋"/>
          <w:sz w:val="32"/>
          <w:lang w:val="en-US" w:eastAsia="zh-CN"/>
        </w:rPr>
        <w:t>本年度无安排公务接待活动，没有编制预算</w:t>
      </w:r>
      <w:r>
        <w:rPr>
          <w:rFonts w:hint="eastAsia" w:ascii="仿宋_GB2312" w:hAnsi="仿宋_GB2312" w:eastAsia="仿宋_GB2312"/>
          <w:sz w:val="32"/>
        </w:rPr>
        <w:t>。</w:t>
      </w:r>
    </w:p>
    <w:p>
      <w:pPr>
        <w:spacing w:line="555" w:lineRule="exact"/>
        <w:ind w:firstLine="640" w:firstLineChars="200"/>
        <w:jc w:val="both"/>
        <w:rPr>
          <w:rFonts w:ascii="仿宋_GB2312" w:hAnsi="仿宋_GB2312" w:eastAsia="仿宋_GB2312"/>
          <w:sz w:val="32"/>
        </w:rPr>
      </w:pPr>
      <w:r>
        <w:rPr>
          <w:rFonts w:hint="eastAsia" w:ascii="楷体" w:hAnsi="楷体" w:eastAsia="楷体"/>
          <w:sz w:val="32"/>
        </w:rPr>
        <w:t>（三）公务用车购置及运行费</w:t>
      </w:r>
    </w:p>
    <w:p>
      <w:pPr>
        <w:spacing w:line="555" w:lineRule="exact"/>
        <w:ind w:firstLine="648"/>
        <w:jc w:val="both"/>
        <w:rPr>
          <w:rFonts w:ascii="仿宋_GB2312" w:hAnsi="??_GB2312" w:eastAsia="仿宋_GB2312" w:cs="仿宋_GB2312"/>
          <w:sz w:val="32"/>
          <w:szCs w:val="32"/>
        </w:rPr>
      </w:pPr>
      <w:r>
        <w:rPr>
          <w:rFonts w:hint="eastAsia" w:ascii="仿宋_GB2312" w:hAnsi="仿宋_GB2312" w:eastAsia="仿宋_GB2312"/>
          <w:sz w:val="32"/>
        </w:rPr>
        <w:t>2026年预算安排0.00万元，其中：公务用车运行费0.00万元，公务用车购置费0.00万元。与上年预算相比增长0%，主要原因是:</w:t>
      </w:r>
      <w:r>
        <w:rPr>
          <w:rFonts w:hint="eastAsia" w:ascii="仿宋_GB2312" w:hAnsi="仿宋" w:eastAsia="仿宋_GB2312"/>
          <w:color w:val="auto"/>
          <w:sz w:val="32"/>
        </w:rPr>
        <w:t xml:space="preserve"> </w:t>
      </w:r>
      <w:r>
        <w:rPr>
          <w:rFonts w:hint="eastAsia" w:ascii="仿宋" w:hAnsi="仿宋" w:eastAsia="仿宋"/>
          <w:sz w:val="32"/>
          <w:lang w:val="en-US" w:eastAsia="zh-CN"/>
        </w:rPr>
        <w:t>本年度无公务用车购置及运行费用预算。</w:t>
      </w:r>
    </w:p>
    <w:p>
      <w:pPr>
        <w:spacing w:line="555"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黑体" w:hAnsi="黑体" w:eastAsia="黑体" w:cs="Times New Roman"/>
          <w:sz w:val="32"/>
          <w:szCs w:val="22"/>
        </w:rPr>
        <w:t>五、其他重要事项的情况说明</w:t>
      </w:r>
    </w:p>
    <w:p>
      <w:pPr>
        <w:spacing w:line="555"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（一）机关运行经费</w:t>
      </w:r>
    </w:p>
    <w:p>
      <w:pPr>
        <w:spacing w:line="560" w:lineRule="exact"/>
        <w:jc w:val="both"/>
        <w:rPr>
          <w:rFonts w:hint="eastAsia" w:ascii="华文仿宋" w:hAnsi="华文仿宋" w:eastAsia="华文仿宋"/>
          <w:sz w:val="32"/>
        </w:rPr>
      </w:pPr>
      <w:r>
        <w:rPr>
          <w:rFonts w:hint="eastAsia" w:ascii="仿宋_GB2312" w:hAnsi="仿宋_GB2312" w:eastAsia="仿宋_GB2312" w:cs="仿宋_GB2312"/>
          <w:sz w:val="32"/>
          <w:szCs w:val="32"/>
        </w:rPr>
        <w:t>　　2026年厦门市湖里第二实验幼儿园的机关运行经费财政拨款预算0万元，比2025年预算减少0万元，下降0%。</w:t>
      </w:r>
      <w:r>
        <w:rPr>
          <w:rFonts w:hint="eastAsia" w:ascii="仿宋_GB2312" w:hAnsi="仿宋_GB2312" w:eastAsia="仿宋_GB2312"/>
          <w:sz w:val="32"/>
          <w:lang w:eastAsia="zh-CN"/>
        </w:rPr>
        <w:t>主要原因</w:t>
      </w:r>
      <w:r>
        <w:rPr>
          <w:rFonts w:hint="eastAsia" w:ascii="仿宋_GB2312" w:hAnsi="仿宋_GB2312" w:eastAsia="仿宋_GB2312"/>
          <w:sz w:val="32"/>
        </w:rPr>
        <w:t>:本</w:t>
      </w:r>
      <w:r>
        <w:rPr>
          <w:rFonts w:hint="eastAsia" w:ascii="仿宋_GB2312" w:hAnsi="仿宋_GB2312" w:eastAsia="仿宋_GB2312"/>
          <w:sz w:val="32"/>
          <w:lang w:eastAsia="zh-CN"/>
        </w:rPr>
        <w:t>单位</w:t>
      </w:r>
      <w:r>
        <w:rPr>
          <w:rFonts w:hint="eastAsia" w:ascii="仿宋" w:hAnsi="仿宋" w:eastAsia="仿宋"/>
          <w:color w:val="auto"/>
          <w:sz w:val="32"/>
        </w:rPr>
        <w:t>为事业单位，</w:t>
      </w:r>
      <w:r>
        <w:rPr>
          <w:rFonts w:hint="eastAsia" w:ascii="仿宋" w:hAnsi="仿宋" w:eastAsia="仿宋"/>
          <w:color w:val="auto"/>
          <w:sz w:val="32"/>
          <w:lang w:val="en-US" w:eastAsia="zh-CN"/>
        </w:rPr>
        <w:t>2026年</w:t>
      </w:r>
      <w:r>
        <w:rPr>
          <w:rFonts w:hint="eastAsia" w:ascii="仿宋" w:hAnsi="仿宋" w:eastAsia="仿宋"/>
          <w:color w:val="auto"/>
          <w:sz w:val="32"/>
        </w:rPr>
        <w:t>没有机关运行经费</w:t>
      </w:r>
      <w:r>
        <w:rPr>
          <w:rFonts w:hint="eastAsia" w:ascii="仿宋" w:hAnsi="仿宋" w:eastAsia="仿宋"/>
          <w:color w:val="auto"/>
          <w:sz w:val="32"/>
          <w:lang w:eastAsia="zh-CN"/>
        </w:rPr>
        <w:t>预算</w:t>
      </w:r>
      <w:r>
        <w:rPr>
          <w:rFonts w:hint="eastAsia" w:ascii="仿宋_GB2312" w:hAnsi="仿宋_GB2312" w:eastAsia="仿宋_GB2312"/>
          <w:sz w:val="32"/>
        </w:rPr>
        <w:t>。</w:t>
      </w:r>
    </w:p>
    <w:p>
      <w:pPr>
        <w:spacing w:line="555"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（二）政府采购情况</w:t>
      </w:r>
    </w:p>
    <w:p>
      <w:pPr>
        <w:spacing w:line="555" w:lineRule="exact"/>
        <w:ind w:firstLine="648"/>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2026年厦门市湖里第二实验幼儿园政府采购预算总额0.00万元，其中：政府采购货物预算0.00万元，政府采购工程预算0.00万元，政府采购服务预算0.00万元。</w:t>
      </w:r>
      <w:r>
        <w:rPr>
          <w:rFonts w:hint="eastAsia" w:ascii="仿宋_GB2312" w:hAnsi="仿宋_GB2312" w:eastAsia="仿宋_GB2312"/>
          <w:sz w:val="32"/>
          <w:lang w:eastAsia="zh-CN"/>
        </w:rPr>
        <w:t>主要原因</w:t>
      </w:r>
      <w:r>
        <w:rPr>
          <w:rFonts w:hint="eastAsia" w:ascii="仿宋_GB2312" w:hAnsi="仿宋_GB2312" w:eastAsia="仿宋_GB2312"/>
          <w:sz w:val="32"/>
        </w:rPr>
        <w:t>:本</w:t>
      </w:r>
      <w:r>
        <w:rPr>
          <w:rFonts w:hint="eastAsia" w:ascii="仿宋_GB2312" w:hAnsi="仿宋_GB2312" w:eastAsia="仿宋_GB2312"/>
          <w:sz w:val="32"/>
          <w:lang w:eastAsia="zh-CN"/>
        </w:rPr>
        <w:t>单位</w:t>
      </w:r>
      <w:r>
        <w:rPr>
          <w:rFonts w:hint="eastAsia" w:ascii="仿宋" w:hAnsi="仿宋" w:eastAsia="仿宋"/>
          <w:color w:val="auto"/>
          <w:sz w:val="32"/>
          <w:lang w:val="en-US" w:eastAsia="zh-CN"/>
        </w:rPr>
        <w:t>2026年</w:t>
      </w:r>
      <w:r>
        <w:rPr>
          <w:rFonts w:hint="eastAsia" w:ascii="仿宋" w:hAnsi="仿宋" w:eastAsia="仿宋"/>
          <w:color w:val="auto"/>
          <w:sz w:val="32"/>
        </w:rPr>
        <w:t>没有</w:t>
      </w:r>
      <w:r>
        <w:rPr>
          <w:rFonts w:hint="eastAsia" w:ascii="仿宋" w:hAnsi="仿宋" w:eastAsia="仿宋"/>
          <w:color w:val="auto"/>
          <w:sz w:val="32"/>
          <w:lang w:eastAsia="zh-CN"/>
        </w:rPr>
        <w:t>政府采购预算安排</w:t>
      </w:r>
      <w:r>
        <w:rPr>
          <w:rFonts w:hint="eastAsia" w:ascii="仿宋_GB2312" w:hAnsi="仿宋_GB2312" w:eastAsia="仿宋_GB2312" w:cs="仿宋_GB2312"/>
          <w:sz w:val="32"/>
          <w:szCs w:val="32"/>
        </w:rPr>
        <w:t>。</w:t>
      </w:r>
    </w:p>
    <w:p>
      <w:pPr>
        <w:spacing w:line="555" w:lineRule="exact"/>
        <w:ind w:firstLine="648"/>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（三）国有资产占有使用情况</w:t>
      </w:r>
    </w:p>
    <w:p>
      <w:pPr>
        <w:spacing w:line="560"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截至2025年12月31日，厦门市湖里第二实验幼儿园所属各预算单位共有车辆0辆，单位价值100万元以上设备0台（套）。</w:t>
      </w:r>
      <w:r>
        <w:rPr>
          <w:rFonts w:hint="eastAsia" w:ascii="仿宋_GB2312" w:hAnsi="仿宋_GB2312" w:eastAsia="仿宋_GB2312"/>
          <w:sz w:val="32"/>
          <w:lang w:eastAsia="zh-CN"/>
        </w:rPr>
        <w:t>说明：本单位没有国有资产占有使用情况</w:t>
      </w:r>
      <w:r>
        <w:rPr>
          <w:rFonts w:hint="eastAsia" w:ascii="仿宋_GB2312" w:hAnsi="仿宋_GB2312" w:eastAsia="仿宋_GB2312"/>
          <w:sz w:val="32"/>
        </w:rPr>
        <w:t>。</w:t>
      </w:r>
    </w:p>
    <w:p>
      <w:pPr>
        <w:spacing w:line="555"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（四）绩效目标设置情况</w:t>
      </w:r>
    </w:p>
    <w:p>
      <w:pPr>
        <w:spacing w:line="555" w:lineRule="exact"/>
        <w:ind w:firstLine="640"/>
        <w:jc w:val="both"/>
        <w:rPr>
          <w:rFonts w:hint="eastAsia" w:ascii="仿宋" w:hAnsi="仿宋" w:eastAsia="仿宋" w:cs="仿宋"/>
          <w:sz w:val="32"/>
          <w:szCs w:val="32"/>
        </w:rPr>
      </w:pPr>
      <w:r>
        <w:rPr>
          <w:rFonts w:hint="eastAsia" w:ascii="仿宋_GB2312" w:hAnsi="仿宋_GB2312" w:eastAsia="仿宋_GB2312" w:cs="仿宋_GB2312"/>
          <w:sz w:val="32"/>
          <w:szCs w:val="32"/>
        </w:rPr>
        <w:t>厦门市湖里第二实验幼儿园2026年实行绩效目标管理的二级项目0个，涉及一般公共预算拨款0.00万元、政府性基金预算拨款0.00万元。</w:t>
      </w:r>
      <w:r>
        <w:rPr>
          <w:rFonts w:hint="eastAsia" w:ascii="仿宋" w:hAnsi="仿宋" w:eastAsia="仿宋"/>
          <w:sz w:val="32"/>
          <w:lang w:eastAsia="zh-CN"/>
        </w:rPr>
        <w:t>说明：</w:t>
      </w:r>
      <w:r>
        <w:rPr>
          <w:rFonts w:hint="eastAsia" w:ascii="仿宋_GB2312" w:hAnsi="仿宋_GB2312" w:eastAsia="仿宋_GB2312"/>
          <w:color w:val="auto"/>
          <w:sz w:val="32"/>
          <w:lang w:val="en-US" w:eastAsia="zh-CN"/>
        </w:rPr>
        <w:t>2026年</w:t>
      </w:r>
      <w:r>
        <w:rPr>
          <w:rFonts w:hint="eastAsia" w:ascii="FangSong_GB2312" w:hAnsi="FangSong_GB2312" w:eastAsia="FangSong_GB2312"/>
          <w:color w:val="auto"/>
          <w:sz w:val="32"/>
          <w:lang w:eastAsia="zh-CN"/>
        </w:rPr>
        <w:t>本单位没有项目预算安排</w:t>
      </w:r>
      <w:r>
        <w:rPr>
          <w:rFonts w:hint="eastAsia" w:ascii="仿宋_GB2312" w:hAnsi="仿宋_GB2312" w:eastAsia="仿宋_GB2312"/>
          <w:sz w:val="32"/>
        </w:rPr>
        <w:t>。</w:t>
      </w:r>
    </w:p>
    <w:p>
      <w:pPr>
        <w:spacing w:line="555" w:lineRule="exact"/>
        <w:jc w:val="both"/>
        <w:rPr>
          <w:rFonts w:hint="eastAsia" w:ascii="仿宋" w:hAnsi="仿宋" w:eastAsia="仿宋" w:cs="仿宋"/>
          <w:sz w:val="32"/>
          <w:szCs w:val="32"/>
        </w:rPr>
      </w:pPr>
    </w:p>
    <w:p>
      <w:pPr>
        <w:spacing w:line="555" w:lineRule="exact"/>
        <w:ind w:left="20"/>
        <w:jc w:val="center"/>
        <w:rPr>
          <w:rFonts w:hint="eastAsia" w:ascii="仿宋" w:hAnsi="仿宋" w:eastAsia="仿宋" w:cs="仿宋"/>
          <w:sz w:val="32"/>
        </w:rPr>
      </w:pPr>
      <w:r>
        <w:rPr>
          <w:rFonts w:hint="eastAsia" w:ascii="黑体" w:hAnsi="黑体" w:eastAsia="黑体" w:cs="Times New Roman"/>
          <w:sz w:val="32"/>
          <w:szCs w:val="22"/>
        </w:rPr>
        <w:t>第三部分  名词解释</w:t>
      </w:r>
      <w:r>
        <w:rPr>
          <w:rFonts w:hint="eastAsia" w:ascii="仿宋" w:hAnsi="仿宋" w:eastAsia="仿宋" w:cs="仿宋"/>
          <w:sz w:val="32"/>
        </w:rPr>
        <w:t>　　</w:t>
      </w:r>
    </w:p>
    <w:p>
      <w:pPr>
        <w:spacing w:line="555" w:lineRule="exact"/>
        <w:ind w:firstLine="640" w:firstLineChars="200"/>
        <w:jc w:val="both"/>
        <w:rPr>
          <w:rFonts w:hint="eastAsia" w:ascii="仿宋" w:hAnsi="仿宋" w:eastAsia="仿宋" w:cs="仿宋"/>
          <w:sz w:val="32"/>
        </w:rPr>
      </w:pPr>
      <w:r>
        <w:rPr>
          <w:rFonts w:hint="eastAsia" w:ascii="仿宋" w:hAnsi="仿宋" w:eastAsia="仿宋" w:cs="仿宋"/>
          <w:sz w:val="32"/>
        </w:rPr>
        <w:t>一、基本支出：指为保障机构正常运转、完成日常工作任务而发生的人员支出、对个人和家庭的补助支出和公用支出。</w:t>
      </w:r>
    </w:p>
    <w:p>
      <w:pPr>
        <w:spacing w:line="555" w:lineRule="exact"/>
        <w:jc w:val="both"/>
        <w:rPr>
          <w:rFonts w:hint="eastAsia" w:ascii="仿宋" w:hAnsi="仿宋" w:eastAsia="仿宋" w:cs="仿宋"/>
          <w:sz w:val="32"/>
        </w:rPr>
      </w:pPr>
      <w:r>
        <w:rPr>
          <w:rFonts w:hint="eastAsia" w:ascii="仿宋" w:hAnsi="仿宋" w:eastAsia="仿宋" w:cs="仿宋"/>
          <w:sz w:val="32"/>
        </w:rPr>
        <w:t>　　二、项目支出：指在基本支出之外为完成特定行政任务和事业发展目标所发生的支出，包括部门专项、发展经费和基建项目。</w:t>
      </w:r>
    </w:p>
    <w:p>
      <w:pPr>
        <w:spacing w:line="555" w:lineRule="exact"/>
        <w:jc w:val="both"/>
        <w:rPr>
          <w:rFonts w:hint="eastAsia" w:ascii="仿宋" w:hAnsi="仿宋" w:eastAsia="仿宋" w:cs="仿宋"/>
          <w:sz w:val="32"/>
        </w:rPr>
      </w:pPr>
      <w:r>
        <w:rPr>
          <w:rFonts w:hint="eastAsia" w:ascii="仿宋" w:hAnsi="仿宋" w:eastAsia="仿宋" w:cs="仿宋"/>
          <w:sz w:val="32"/>
        </w:rPr>
        <w:t>　　三、“三公”经费：纳入财政预决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燃料费、维修费、过路过桥费、保险费、安全奖励费用等支出；公务接待费反映单位按规定开支的各类公务接待（含外宾接待）支出。</w:t>
      </w:r>
    </w:p>
    <w:p>
      <w:pPr>
        <w:spacing w:line="555" w:lineRule="exact"/>
        <w:jc w:val="both"/>
        <w:rPr>
          <w:rFonts w:hint="eastAsia" w:ascii="仿宋" w:hAnsi="仿宋" w:eastAsia="仿宋" w:cs="仿宋"/>
          <w:sz w:val="32"/>
        </w:rPr>
      </w:pPr>
      <w:r>
        <w:rPr>
          <w:rFonts w:hint="eastAsia" w:ascii="仿宋" w:hAnsi="仿宋" w:eastAsia="仿宋" w:cs="仿宋"/>
          <w:sz w:val="32"/>
        </w:rPr>
        <w:t>　　四、机关运行经费：为保障行政单位（包括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pPr>
        <w:spacing w:line="555" w:lineRule="exact"/>
        <w:jc w:val="both"/>
        <w:rPr>
          <w:rFonts w:hint="eastAsia" w:ascii="仿宋_GB2312" w:hAnsi="仿宋_GB2312" w:eastAsia="仿宋_GB2312" w:cs="仿宋_GB2312"/>
          <w:sz w:val="32"/>
        </w:rPr>
      </w:pPr>
      <w:r>
        <w:rPr>
          <w:rFonts w:hint="eastAsia" w:ascii="仿宋" w:hAnsi="仿宋" w:eastAsia="仿宋" w:cs="仿宋"/>
          <w:sz w:val="32"/>
        </w:rPr>
        <w:t>　　五、其他名词解释。</w:t>
      </w:r>
      <w:r>
        <w:rPr>
          <w:rFonts w:hint="eastAsia" w:ascii="仿宋" w:hAnsi="仿宋" w:eastAsia="仿宋" w:cs="仿宋"/>
          <w:sz w:val="32"/>
          <w:lang w:eastAsia="zh-CN"/>
        </w:rPr>
        <w:t>无</w:t>
      </w:r>
    </w:p>
    <w:p>
      <w:pPr>
        <w:spacing w:line="555" w:lineRule="exact"/>
        <w:ind w:left="20"/>
        <w:jc w:val="both"/>
        <w:rPr>
          <w:rFonts w:hint="eastAsia" w:ascii="仿宋_GB2312" w:hAnsi="仿宋_GB2312" w:eastAsia="仿宋_GB2312" w:cs="仿宋_GB2312"/>
          <w:sz w:val="32"/>
        </w:rPr>
      </w:pPr>
    </w:p>
    <w:p>
      <w:pPr>
        <w:spacing w:line="555" w:lineRule="exact"/>
        <w:ind w:left="20"/>
        <w:jc w:val="center"/>
        <w:rPr>
          <w:rFonts w:hint="eastAsia"/>
        </w:rPr>
      </w:pPr>
      <w:r>
        <w:rPr>
          <w:rFonts w:hint="eastAsia" w:ascii="黑体" w:hAnsi="黑体" w:eastAsia="黑体"/>
          <w:sz w:val="36"/>
          <w:szCs w:val="36"/>
        </w:rPr>
        <w:t xml:space="preserve"> </w:t>
      </w:r>
      <w:r>
        <w:rPr>
          <w:rFonts w:hint="eastAsia" w:ascii="黑体" w:hAnsi="黑体" w:eastAsia="黑体" w:cs="Times New Roman"/>
          <w:sz w:val="32"/>
          <w:szCs w:val="22"/>
        </w:rPr>
        <w:t>第</w:t>
      </w:r>
      <w:r>
        <w:rPr>
          <w:rFonts w:hint="eastAsia" w:ascii="黑体" w:hAnsi="黑体" w:eastAsia="黑体" w:cs="Times New Roman"/>
          <w:sz w:val="32"/>
          <w:szCs w:val="22"/>
          <w:lang w:eastAsia="zh-CN"/>
        </w:rPr>
        <w:t>四</w:t>
      </w:r>
      <w:r>
        <w:rPr>
          <w:rFonts w:hint="eastAsia" w:ascii="黑体" w:hAnsi="黑体" w:eastAsia="黑体" w:cs="Times New Roman"/>
          <w:sz w:val="32"/>
          <w:szCs w:val="22"/>
        </w:rPr>
        <w:t>部分  2026年单位预算附表</w:t>
      </w:r>
    </w:p>
    <w:p>
      <w:pPr>
        <w:spacing w:line="540" w:lineRule="exact"/>
        <w:jc w:val="both"/>
        <w:rPr>
          <w:rFonts w:hint="eastAsia" w:ascii="仿宋_GB2312" w:hAnsi="仿宋_GB2312" w:eastAsia="仿宋_GB2312" w:cs="仿宋_GB2312"/>
          <w:sz w:val="32"/>
        </w:rPr>
      </w:pPr>
      <w:r>
        <w:rPr>
          <w:rFonts w:hint="eastAsia" w:ascii="仿宋_GB2312" w:hAnsi="仿宋_GB2312" w:eastAsia="仿宋_GB2312" w:cs="仿宋_GB2312"/>
          <w:sz w:val="32"/>
        </w:rPr>
        <w:t>　　一、部门收支预算总体情况表</w:t>
      </w:r>
    </w:p>
    <w:p>
      <w:pPr>
        <w:spacing w:line="540" w:lineRule="exact"/>
        <w:jc w:val="both"/>
        <w:rPr>
          <w:rFonts w:hint="eastAsia" w:ascii="仿宋_GB2312" w:hAnsi="仿宋_GB2312" w:eastAsia="仿宋_GB2312" w:cs="仿宋_GB2312"/>
          <w:sz w:val="32"/>
        </w:rPr>
      </w:pPr>
      <w:r>
        <w:rPr>
          <w:rFonts w:hint="eastAsia" w:ascii="仿宋_GB2312" w:hAnsi="仿宋_GB2312" w:eastAsia="仿宋_GB2312" w:cs="仿宋_GB2312"/>
          <w:sz w:val="32"/>
        </w:rPr>
        <w:t>　　二、部门收入预算总体情况表</w:t>
      </w:r>
    </w:p>
    <w:p>
      <w:pPr>
        <w:spacing w:line="540" w:lineRule="exact"/>
        <w:jc w:val="both"/>
        <w:rPr>
          <w:rFonts w:hint="eastAsia" w:ascii="仿宋_GB2312" w:hAnsi="仿宋_GB2312" w:eastAsia="仿宋_GB2312" w:cs="仿宋_GB2312"/>
          <w:sz w:val="32"/>
        </w:rPr>
      </w:pPr>
      <w:r>
        <w:rPr>
          <w:rFonts w:hint="eastAsia" w:ascii="仿宋_GB2312" w:hAnsi="仿宋_GB2312" w:eastAsia="仿宋_GB2312" w:cs="仿宋_GB2312"/>
          <w:sz w:val="32"/>
        </w:rPr>
        <w:t>　　三、部门支出预算总体情况表</w:t>
      </w:r>
    </w:p>
    <w:p>
      <w:pPr>
        <w:spacing w:line="540" w:lineRule="exact"/>
        <w:jc w:val="both"/>
        <w:rPr>
          <w:rFonts w:hint="eastAsia" w:ascii="仿宋_GB2312" w:hAnsi="仿宋_GB2312" w:eastAsia="仿宋_GB2312" w:cs="仿宋_GB2312"/>
          <w:sz w:val="32"/>
        </w:rPr>
      </w:pPr>
      <w:r>
        <w:rPr>
          <w:rFonts w:hint="eastAsia" w:ascii="仿宋_GB2312" w:hAnsi="仿宋_GB2312" w:eastAsia="仿宋_GB2312" w:cs="仿宋_GB2312"/>
          <w:sz w:val="32"/>
        </w:rPr>
        <w:t>　　四、财政拨款收支预算总体情况表</w:t>
      </w:r>
    </w:p>
    <w:p>
      <w:pPr>
        <w:spacing w:line="540" w:lineRule="exact"/>
        <w:jc w:val="both"/>
        <w:rPr>
          <w:rFonts w:hint="eastAsia" w:ascii="仿宋_GB2312" w:hAnsi="仿宋_GB2312" w:eastAsia="仿宋_GB2312" w:cs="仿宋_GB2312"/>
          <w:sz w:val="32"/>
        </w:rPr>
      </w:pPr>
      <w:r>
        <w:rPr>
          <w:rFonts w:hint="eastAsia" w:ascii="仿宋_GB2312" w:hAnsi="仿宋_GB2312" w:eastAsia="仿宋_GB2312" w:cs="仿宋_GB2312"/>
          <w:sz w:val="32"/>
        </w:rPr>
        <w:t>　　五、一般公共预算支出情况表</w:t>
      </w:r>
    </w:p>
    <w:p>
      <w:pPr>
        <w:spacing w:line="540" w:lineRule="exact"/>
        <w:jc w:val="both"/>
        <w:rPr>
          <w:rFonts w:hint="eastAsia" w:ascii="仿宋_GB2312" w:hAnsi="仿宋_GB2312" w:eastAsia="仿宋_GB2312" w:cs="仿宋_GB2312"/>
          <w:sz w:val="32"/>
        </w:rPr>
      </w:pPr>
      <w:r>
        <w:rPr>
          <w:rFonts w:hint="eastAsia" w:ascii="仿宋_GB2312" w:hAnsi="仿宋_GB2312" w:eastAsia="仿宋_GB2312" w:cs="仿宋_GB2312"/>
          <w:sz w:val="32"/>
        </w:rPr>
        <w:t>　　六、一般公共预算基本支出情况表（经济分类款级科目）</w:t>
      </w:r>
    </w:p>
    <w:p>
      <w:pPr>
        <w:spacing w:line="540" w:lineRule="exact"/>
        <w:jc w:val="both"/>
        <w:rPr>
          <w:rFonts w:hint="eastAsia" w:ascii="仿宋_GB2312" w:hAnsi="仿宋_GB2312" w:eastAsia="仿宋_GB2312" w:cs="仿宋_GB2312"/>
          <w:sz w:val="32"/>
        </w:rPr>
      </w:pPr>
      <w:r>
        <w:rPr>
          <w:rFonts w:hint="eastAsia" w:ascii="仿宋_GB2312" w:hAnsi="仿宋_GB2312" w:eastAsia="仿宋_GB2312" w:cs="仿宋_GB2312"/>
          <w:sz w:val="32"/>
        </w:rPr>
        <w:t>　　七、一般公共预算“三公”经费支出情况表</w:t>
      </w:r>
    </w:p>
    <w:p>
      <w:pPr>
        <w:spacing w:line="540" w:lineRule="exact"/>
        <w:jc w:val="both"/>
        <w:rPr>
          <w:rFonts w:hint="eastAsia" w:ascii="仿宋_GB2312" w:hAnsi="仿宋_GB2312" w:eastAsia="仿宋_GB2312" w:cs="仿宋_GB2312"/>
          <w:sz w:val="32"/>
        </w:rPr>
      </w:pPr>
      <w:r>
        <w:rPr>
          <w:rFonts w:hint="eastAsia" w:ascii="仿宋_GB2312" w:hAnsi="仿宋_GB2312" w:eastAsia="仿宋_GB2312" w:cs="仿宋_GB2312"/>
          <w:sz w:val="32"/>
        </w:rPr>
        <w:t>　　八、政府性基金预算支出情况表</w:t>
      </w:r>
    </w:p>
    <w:p>
      <w:pPr>
        <w:spacing w:line="540" w:lineRule="exact"/>
        <w:jc w:val="both"/>
        <w:rPr>
          <w:rFonts w:hint="eastAsia" w:ascii="仿宋_GB2312" w:hAnsi="仿宋_GB2312" w:eastAsia="仿宋_GB2312" w:cs="仿宋_GB2312"/>
          <w:sz w:val="32"/>
        </w:rPr>
      </w:pPr>
      <w:r>
        <w:rPr>
          <w:rFonts w:hint="eastAsia" w:ascii="仿宋_GB2312" w:hAnsi="仿宋_GB2312" w:eastAsia="仿宋_GB2312" w:cs="仿宋_GB2312"/>
          <w:sz w:val="32"/>
        </w:rPr>
        <w:t>　　九、区对镇（街）转移支付项目支出预算表</w:t>
      </w:r>
    </w:p>
    <w:p>
      <w:pPr>
        <w:spacing w:line="540" w:lineRule="exact"/>
        <w:ind w:firstLine="640"/>
        <w:jc w:val="both"/>
        <w:rPr>
          <w:rFonts w:hint="eastAsia" w:ascii="仿宋_GB2312" w:hAnsi="仿宋_GB2312" w:eastAsia="仿宋_GB2312" w:cs="仿宋_GB2312"/>
          <w:sz w:val="32"/>
        </w:rPr>
      </w:pPr>
      <w:r>
        <w:rPr>
          <w:rFonts w:hint="eastAsia" w:ascii="仿宋_GB2312" w:hAnsi="仿宋_GB2312" w:eastAsia="仿宋_GB2312" w:cs="仿宋_GB2312"/>
          <w:sz w:val="32"/>
          <w:lang w:eastAsia="zh-CN"/>
        </w:rPr>
        <w:t>十、二级项目绩效目标表</w:t>
      </w:r>
    </w:p>
    <w:p>
      <w:pPr>
        <w:spacing w:line="540" w:lineRule="exact"/>
        <w:jc w:val="both"/>
        <w:rPr>
          <w:rFonts w:hint="eastAsia" w:ascii="仿宋_GB2312" w:hAnsi="仿宋_GB2312" w:eastAsia="仿宋_GB2312" w:cs="仿宋_GB2312"/>
          <w:sz w:val="32"/>
        </w:rPr>
      </w:pPr>
    </w:p>
    <w:p>
      <w:pPr>
        <w:jc w:val="both"/>
      </w:pPr>
    </w:p>
    <w:p>
      <w:pPr>
        <w:jc w:val="both"/>
      </w:pPr>
    </w:p>
    <w:sectPr>
      <w:footerReference r:id="rId3" w:type="default"/>
      <w:pgSz w:w="11905" w:h="16837"/>
      <w:pgMar w:top="1388" w:right="1559" w:bottom="1388" w:left="1559"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roma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roma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roman"/>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FangSong_GB2312">
    <w:altName w:val="仿宋"/>
    <w:panose1 w:val="00000000000000000000"/>
    <w:charset w:val="86"/>
    <w:family w:val="roma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9489"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163"/>
      <w:gridCol w:w="3163"/>
      <w:gridCol w:w="31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jc w:val="center"/>
      </w:trPr>
      <w:tc>
        <w:tcPr>
          <w:tcW w:w="3163" w:type="dxa"/>
          <w:tcBorders>
            <w:top w:val="nil"/>
            <w:left w:val="nil"/>
            <w:bottom w:val="nil"/>
            <w:right w:val="nil"/>
            <w:tl2br w:val="nil"/>
            <w:tr2bl w:val="nil"/>
          </w:tcBorders>
          <w:shd w:val="clear" w:color="auto" w:fill="FFFFFF"/>
          <w:noWrap/>
        </w:tcPr>
        <w:p/>
      </w:tc>
      <w:tc>
        <w:tcPr>
          <w:tcW w:w="3163" w:type="dxa"/>
          <w:tcBorders>
            <w:top w:val="nil"/>
            <w:left w:val="nil"/>
            <w:bottom w:val="nil"/>
            <w:right w:val="nil"/>
            <w:tl2br w:val="nil"/>
            <w:tr2bl w:val="nil"/>
          </w:tcBorders>
          <w:shd w:val="clear" w:color="auto" w:fill="FFFFFF"/>
          <w:noWrap/>
        </w:tcPr>
        <w:p>
          <w:pPr>
            <w:spacing w:line="320" w:lineRule="atLeast"/>
            <w:jc w:val="center"/>
            <w:rPr>
              <w:rFonts w:ascii="宋体" w:hAnsi="宋体"/>
              <w:sz w:val="18"/>
            </w:rPr>
          </w:pPr>
          <w:r>
            <w:rPr>
              <w:rFonts w:hint="eastAsia" w:ascii="宋体" w:hAnsi="宋体"/>
              <w:sz w:val="18"/>
            </w:rPr>
            <w:fldChar w:fldCharType="begin"/>
          </w:r>
          <w:r>
            <w:rPr>
              <w:rFonts w:hint="eastAsia" w:ascii="宋体" w:hAnsi="宋体"/>
              <w:sz w:val="18"/>
            </w:rPr>
            <w:instrText xml:space="preserve">PAGE</w:instrText>
          </w:r>
          <w:r>
            <w:rPr>
              <w:rFonts w:hint="eastAsia" w:ascii="宋体" w:hAnsi="宋体"/>
              <w:sz w:val="18"/>
            </w:rPr>
            <w:fldChar w:fldCharType="separate"/>
          </w:r>
          <w:r>
            <w:rPr>
              <w:rFonts w:ascii="宋体" w:hAnsi="宋体"/>
              <w:sz w:val="18"/>
            </w:rPr>
            <w:t>1</w:t>
          </w:r>
          <w:r>
            <w:rPr>
              <w:rFonts w:hint="eastAsia" w:ascii="宋体" w:hAnsi="宋体"/>
              <w:sz w:val="18"/>
            </w:rPr>
            <w:fldChar w:fldCharType="end"/>
          </w:r>
        </w:p>
      </w:tc>
      <w:tc>
        <w:tcPr>
          <w:tcW w:w="3163" w:type="dxa"/>
          <w:tcBorders>
            <w:top w:val="nil"/>
            <w:left w:val="nil"/>
            <w:bottom w:val="nil"/>
            <w:right w:val="nil"/>
            <w:tl2br w:val="nil"/>
            <w:tr2bl w:val="nil"/>
          </w:tcBorders>
          <w:shd w:val="clear" w:color="auto" w:fill="FFFFFF"/>
          <w:noWrap/>
        </w:tcPr>
        <w:p/>
      </w:tc>
    </w:tr>
  </w:tbl>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4B24"/>
    <w:rsid w:val="000D6603"/>
    <w:rsid w:val="000D71F9"/>
    <w:rsid w:val="0016095F"/>
    <w:rsid w:val="001C352D"/>
    <w:rsid w:val="00297A7C"/>
    <w:rsid w:val="00403BA9"/>
    <w:rsid w:val="004A2267"/>
    <w:rsid w:val="00575426"/>
    <w:rsid w:val="005C7C12"/>
    <w:rsid w:val="00620EAE"/>
    <w:rsid w:val="006D62A0"/>
    <w:rsid w:val="007176EF"/>
    <w:rsid w:val="008073F8"/>
    <w:rsid w:val="008E4F24"/>
    <w:rsid w:val="00945B64"/>
    <w:rsid w:val="00A00719"/>
    <w:rsid w:val="00A17CDF"/>
    <w:rsid w:val="00B047F5"/>
    <w:rsid w:val="00B84B24"/>
    <w:rsid w:val="00C06DA3"/>
    <w:rsid w:val="00CA23CF"/>
    <w:rsid w:val="00DD6F7B"/>
    <w:rsid w:val="00E06854"/>
    <w:rsid w:val="00E64A00"/>
    <w:rsid w:val="00F25C05"/>
    <w:rsid w:val="03171EE3"/>
    <w:rsid w:val="14DE1819"/>
    <w:rsid w:val="21DF41AB"/>
    <w:rsid w:val="23924849"/>
    <w:rsid w:val="24982637"/>
    <w:rsid w:val="26433C46"/>
    <w:rsid w:val="34050C21"/>
    <w:rsid w:val="36D52631"/>
    <w:rsid w:val="39B96F65"/>
    <w:rsid w:val="3B926DFD"/>
    <w:rsid w:val="42A546D7"/>
    <w:rsid w:val="46473A3C"/>
    <w:rsid w:val="465A5BF5"/>
    <w:rsid w:val="4CDC1785"/>
    <w:rsid w:val="4D7E7114"/>
    <w:rsid w:val="50B76DD4"/>
    <w:rsid w:val="64F36E34"/>
    <w:rsid w:val="698C1212"/>
    <w:rsid w:val="72F901E9"/>
    <w:rsid w:val="7B24422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99"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99"/>
    <w:pPr>
      <w:widowControl w:val="0"/>
      <w:autoSpaceDE w:val="0"/>
      <w:autoSpaceDN w:val="0"/>
      <w:adjustRightInd w:val="0"/>
    </w:pPr>
    <w:rPr>
      <w:rFonts w:ascii="Arial" w:hAnsi="Arial" w:eastAsia="宋体" w:cs="Times New Roman"/>
      <w:color w:val="000000"/>
      <w:sz w:val="24"/>
      <w:lang w:val="en-US" w:eastAsia="zh-CN" w:bidi="ar-SA"/>
    </w:rPr>
  </w:style>
  <w:style w:type="paragraph" w:styleId="4">
    <w:name w:val="heading 2"/>
    <w:basedOn w:val="1"/>
    <w:next w:val="1"/>
    <w:qFormat/>
    <w:uiPriority w:val="0"/>
    <w:pPr>
      <w:autoSpaceDE w:val="0"/>
      <w:autoSpaceDN w:val="0"/>
      <w:adjustRightInd w:val="0"/>
      <w:spacing w:line="600" w:lineRule="exact"/>
      <w:ind w:firstLine="720" w:firstLineChars="200"/>
      <w:outlineLvl w:val="1"/>
    </w:pPr>
    <w:rPr>
      <w:rFonts w:ascii="Courier New" w:hAnsi="Courier New" w:eastAsia="楷体_GB2312"/>
      <w:b/>
      <w:color w:val="000000"/>
      <w:sz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hint="eastAsia"/>
      <w:sz w:val="28"/>
    </w:rPr>
  </w:style>
  <w:style w:type="paragraph" w:styleId="3">
    <w:name w:val="Body Text"/>
    <w:basedOn w:val="1"/>
    <w:unhideWhenUsed/>
    <w:qFormat/>
    <w:uiPriority w:val="0"/>
    <w:rPr>
      <w:rFonts w:hint="eastAsia" w:ascii="仿宋_GB2312" w:hAnsi="Calibri" w:eastAsia="仿宋_GB2312"/>
      <w:sz w:val="28"/>
    </w:rPr>
  </w:style>
  <w:style w:type="paragraph" w:styleId="5">
    <w:name w:val="footer"/>
    <w:basedOn w:val="1"/>
    <w:link w:val="10"/>
    <w:qFormat/>
    <w:uiPriority w:val="0"/>
    <w:pPr>
      <w:tabs>
        <w:tab w:val="center" w:pos="4153"/>
        <w:tab w:val="right" w:pos="8306"/>
      </w:tabs>
      <w:snapToGrid w:val="0"/>
    </w:pPr>
    <w:rPr>
      <w:sz w:val="18"/>
      <w:szCs w:val="18"/>
    </w:rPr>
  </w:style>
  <w:style w:type="paragraph" w:styleId="6">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7"/>
    <w:link w:val="6"/>
    <w:qFormat/>
    <w:uiPriority w:val="0"/>
    <w:rPr>
      <w:rFonts w:ascii="Arial" w:hAnsi="Arial"/>
      <w:color w:val="000000"/>
      <w:sz w:val="18"/>
      <w:szCs w:val="18"/>
    </w:rPr>
  </w:style>
  <w:style w:type="character" w:customStyle="1" w:styleId="10">
    <w:name w:val="页脚 Char"/>
    <w:basedOn w:val="7"/>
    <w:link w:val="5"/>
    <w:qFormat/>
    <w:uiPriority w:val="0"/>
    <w:rPr>
      <w:rFonts w:ascii="Arial" w:hAnsi="Arial"/>
      <w:color w:val="000000"/>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620</Words>
  <Characters>3539</Characters>
  <Lines>29</Lines>
  <Paragraphs>8</Paragraphs>
  <TotalTime>1</TotalTime>
  <ScaleCrop>false</ScaleCrop>
  <LinksUpToDate>false</LinksUpToDate>
  <CharactersWithSpaces>4151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2026-01-20T02:52:00Z</dcterms:created>
  <dc:creator>dell</dc:creator>
  <cp:lastModifiedBy>Administrator</cp:lastModifiedBy>
  <dcterms:modified xsi:type="dcterms:W3CDTF">2026-02-03T02:10:53Z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