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both"/>
        <w:rPr>
          <w:rFonts w:hint="default"/>
          <w:sz w:val="2"/>
        </w:rPr>
      </w:pPr>
    </w:p>
    <w:p>
      <w:pPr>
        <w:spacing w:line="525" w:lineRule="exact"/>
        <w:jc w:val="center"/>
        <w:rPr>
          <w:rFonts w:hint="eastAsia" w:ascii="黑体" w:hAnsi="黑体" w:eastAsia="黑体"/>
          <w:sz w:val="30"/>
        </w:rPr>
      </w:pPr>
      <w:r>
        <w:rPr>
          <w:rFonts w:hint="eastAsia" w:ascii="方正小标宋简体" w:hAnsi="方正小标宋简体" w:eastAsia="方正小标宋简体"/>
          <w:sz w:val="44"/>
        </w:rPr>
        <w:t>2026年度厦门市禾盛幼儿园单位预算</w:t>
      </w:r>
    </w:p>
    <w:p>
      <w:pPr>
        <w:spacing w:line="525" w:lineRule="exact"/>
        <w:jc w:val="center"/>
        <w:rPr>
          <w:rFonts w:hint="eastAsia" w:ascii="黑体" w:hAnsi="黑体" w:eastAsia="黑体"/>
          <w:sz w:val="30"/>
        </w:rPr>
      </w:pPr>
    </w:p>
    <w:p>
      <w:pPr>
        <w:spacing w:line="525" w:lineRule="exact"/>
        <w:jc w:val="center"/>
        <w:rPr>
          <w:rFonts w:hint="eastAsia" w:ascii="黑体" w:hAnsi="黑体" w:eastAsia="黑体"/>
          <w:sz w:val="32"/>
        </w:rPr>
      </w:pPr>
      <w:r>
        <w:rPr>
          <w:rFonts w:hint="eastAsia" w:ascii="黑体" w:hAnsi="黑体" w:eastAsia="黑体"/>
          <w:sz w:val="32"/>
        </w:rPr>
        <w:t>目　　录</w:t>
      </w:r>
    </w:p>
    <w:p>
      <w:pPr>
        <w:spacing w:line="555" w:lineRule="exact"/>
        <w:jc w:val="both"/>
        <w:rPr>
          <w:rFonts w:hint="default" w:ascii="仿宋" w:hAnsi="仿宋" w:eastAsia="黑体"/>
          <w:sz w:val="32"/>
          <w:lang w:val="en-US" w:eastAsia="zh-CN"/>
        </w:rPr>
      </w:pPr>
      <w:r>
        <w:rPr>
          <w:rFonts w:hint="eastAsia" w:ascii="黑体" w:hAnsi="黑体" w:eastAsia="黑体"/>
          <w:sz w:val="32"/>
        </w:rPr>
        <w:t>　　第一部分   单位概况</w:t>
      </w:r>
      <w:r>
        <w:rPr>
          <w:rFonts w:hint="eastAsia" w:ascii="黑体" w:hAnsi="黑体" w:eastAsia="黑体"/>
          <w:sz w:val="32"/>
          <w:lang w:val="en-US" w:eastAsia="zh-CN"/>
        </w:rPr>
        <w:t>...............................2</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一、单位主要职责</w:t>
      </w:r>
      <w:r>
        <w:rPr>
          <w:rFonts w:hint="eastAsia" w:ascii="仿宋_GB2312" w:hAnsi="仿宋_GB2312" w:eastAsia="仿宋_GB2312"/>
          <w:sz w:val="32"/>
          <w:lang w:val="en-US" w:eastAsia="zh-CN"/>
        </w:rPr>
        <w:t>..................................2</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二、单位基本情况</w:t>
      </w:r>
      <w:r>
        <w:rPr>
          <w:rFonts w:hint="eastAsia" w:ascii="仿宋_GB2312" w:hAnsi="仿宋_GB2312" w:eastAsia="仿宋_GB2312"/>
          <w:sz w:val="32"/>
          <w:lang w:val="en-US" w:eastAsia="zh-CN"/>
        </w:rPr>
        <w:t>..................................2</w:t>
      </w:r>
    </w:p>
    <w:p>
      <w:pPr>
        <w:spacing w:line="555" w:lineRule="exact"/>
        <w:jc w:val="both"/>
        <w:rPr>
          <w:rFonts w:hint="default" w:ascii="黑体" w:hAnsi="黑体" w:eastAsia="仿宋_GB2312"/>
          <w:sz w:val="32"/>
          <w:lang w:val="en-US" w:eastAsia="zh-CN"/>
        </w:rPr>
      </w:pPr>
      <w:r>
        <w:rPr>
          <w:rFonts w:hint="eastAsia" w:ascii="仿宋_GB2312" w:hAnsi="仿宋_GB2312" w:eastAsia="仿宋_GB2312"/>
          <w:sz w:val="32"/>
        </w:rPr>
        <w:t>　　三、单位主要工作任务</w:t>
      </w:r>
      <w:r>
        <w:rPr>
          <w:rFonts w:hint="eastAsia" w:ascii="仿宋_GB2312" w:hAnsi="仿宋_GB2312" w:eastAsia="仿宋_GB2312"/>
          <w:sz w:val="32"/>
          <w:lang w:val="en-US" w:eastAsia="zh-CN"/>
        </w:rPr>
        <w:t>..............................2</w:t>
      </w:r>
    </w:p>
    <w:p>
      <w:pPr>
        <w:spacing w:line="555" w:lineRule="exact"/>
        <w:jc w:val="both"/>
        <w:rPr>
          <w:rFonts w:hint="default" w:ascii="黑体" w:hAnsi="黑体" w:eastAsia="黑体"/>
          <w:sz w:val="32"/>
          <w:lang w:val="en-US" w:eastAsia="zh-CN"/>
        </w:rPr>
      </w:pPr>
      <w:r>
        <w:rPr>
          <w:rFonts w:hint="eastAsia" w:ascii="黑体" w:hAnsi="黑体" w:eastAsia="黑体"/>
          <w:sz w:val="32"/>
        </w:rPr>
        <w:t>　　第二部分   2026年单位预算说明</w:t>
      </w:r>
      <w:r>
        <w:rPr>
          <w:rFonts w:hint="eastAsia" w:ascii="黑体" w:hAnsi="黑体" w:eastAsia="黑体"/>
          <w:sz w:val="32"/>
          <w:lang w:val="en-US" w:eastAsia="zh-CN"/>
        </w:rPr>
        <w:t>.....................4</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一、2026年单位预算收支总体情况</w:t>
      </w:r>
      <w:r>
        <w:rPr>
          <w:rFonts w:hint="eastAsia" w:ascii="仿宋_GB2312" w:hAnsi="仿宋_GB2312" w:eastAsia="仿宋_GB2312"/>
          <w:sz w:val="32"/>
          <w:lang w:val="en-US" w:eastAsia="zh-CN"/>
        </w:rPr>
        <w:t>....................4</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二、一般公共预算财政拨款支出预算情况</w:t>
      </w:r>
      <w:r>
        <w:rPr>
          <w:rFonts w:hint="eastAsia" w:ascii="仿宋_GB2312" w:hAnsi="仿宋_GB2312" w:eastAsia="仿宋_GB2312"/>
          <w:sz w:val="32"/>
          <w:lang w:val="en-US" w:eastAsia="zh-CN"/>
        </w:rPr>
        <w:t>..............5</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三、政府性基金预算财政拨款支出情况</w:t>
      </w:r>
      <w:r>
        <w:rPr>
          <w:rFonts w:hint="eastAsia" w:ascii="仿宋_GB2312" w:hAnsi="仿宋_GB2312" w:eastAsia="仿宋_GB2312"/>
          <w:sz w:val="32"/>
          <w:lang w:val="en-US" w:eastAsia="zh-CN"/>
        </w:rPr>
        <w:t>................6</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四、“三公”经费财政拨款预算情况</w:t>
      </w:r>
      <w:r>
        <w:rPr>
          <w:rFonts w:hint="eastAsia" w:ascii="仿宋_GB2312" w:hAnsi="仿宋_GB2312" w:eastAsia="仿宋_GB2312"/>
          <w:sz w:val="32"/>
          <w:lang w:val="en-US" w:eastAsia="zh-CN"/>
        </w:rPr>
        <w:t>..................7</w:t>
      </w:r>
    </w:p>
    <w:p>
      <w:pPr>
        <w:spacing w:line="555" w:lineRule="exact"/>
        <w:jc w:val="both"/>
        <w:rPr>
          <w:rFonts w:hint="default" w:ascii="黑体" w:hAnsi="黑体" w:eastAsia="仿宋_GB2312"/>
          <w:sz w:val="32"/>
          <w:lang w:val="en-US" w:eastAsia="zh-CN"/>
        </w:rPr>
      </w:pPr>
      <w:r>
        <w:rPr>
          <w:rFonts w:hint="eastAsia" w:ascii="仿宋_GB2312" w:hAnsi="仿宋_GB2312" w:eastAsia="仿宋_GB2312"/>
          <w:sz w:val="32"/>
        </w:rPr>
        <w:t>　　五、其他重要事项的情况说明</w:t>
      </w:r>
      <w:r>
        <w:rPr>
          <w:rFonts w:hint="eastAsia" w:ascii="仿宋_GB2312" w:hAnsi="仿宋_GB2312" w:eastAsia="仿宋_GB2312"/>
          <w:sz w:val="32"/>
          <w:lang w:val="en-US" w:eastAsia="zh-CN"/>
        </w:rPr>
        <w:t>........................7</w:t>
      </w:r>
    </w:p>
    <w:p>
      <w:pPr>
        <w:spacing w:line="555" w:lineRule="exact"/>
        <w:jc w:val="both"/>
        <w:rPr>
          <w:rFonts w:hint="default" w:ascii="黑体" w:hAnsi="黑体" w:eastAsia="黑体"/>
          <w:sz w:val="32"/>
          <w:lang w:val="en-US" w:eastAsia="zh-CN"/>
        </w:rPr>
      </w:pPr>
      <w:r>
        <w:rPr>
          <w:rFonts w:hint="eastAsia" w:ascii="黑体" w:hAnsi="黑体" w:eastAsia="黑体"/>
          <w:sz w:val="32"/>
        </w:rPr>
        <w:t>　　第三部分   名词解释</w:t>
      </w:r>
      <w:r>
        <w:rPr>
          <w:rFonts w:hint="eastAsia" w:ascii="黑体" w:hAnsi="黑体" w:eastAsia="黑体"/>
          <w:sz w:val="32"/>
          <w:lang w:val="en-US" w:eastAsia="zh-CN"/>
        </w:rPr>
        <w:t>...............................8</w:t>
      </w:r>
    </w:p>
    <w:p>
      <w:pPr>
        <w:spacing w:line="555" w:lineRule="exact"/>
        <w:jc w:val="both"/>
        <w:rPr>
          <w:rFonts w:hint="default" w:ascii="黑体" w:hAnsi="黑体" w:eastAsia="黑体"/>
          <w:sz w:val="32"/>
          <w:lang w:val="en-US" w:eastAsia="zh-CN"/>
        </w:rPr>
      </w:pPr>
      <w:r>
        <w:rPr>
          <w:rFonts w:hint="eastAsia" w:ascii="黑体" w:hAnsi="黑体" w:eastAsia="黑体"/>
          <w:sz w:val="32"/>
        </w:rPr>
        <w:t>　　第四部分   2026年单位预算附表</w:t>
      </w:r>
      <w:r>
        <w:rPr>
          <w:rFonts w:hint="eastAsia" w:ascii="黑体" w:hAnsi="黑体" w:eastAsia="黑体"/>
          <w:sz w:val="32"/>
          <w:lang w:val="en-US" w:eastAsia="zh-CN"/>
        </w:rPr>
        <w:t>.....................9</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一、部门收支预算总体情况表</w:t>
      </w:r>
      <w:r>
        <w:rPr>
          <w:rFonts w:hint="eastAsia" w:ascii="仿宋_GB2312" w:hAnsi="仿宋_GB2312" w:eastAsia="仿宋_GB2312"/>
          <w:sz w:val="32"/>
          <w:lang w:val="en-US" w:eastAsia="zh-CN"/>
        </w:rPr>
        <w:t>........................9</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二、部门收入预算总体情况表</w:t>
      </w:r>
      <w:r>
        <w:rPr>
          <w:rFonts w:hint="eastAsia" w:ascii="仿宋_GB2312" w:hAnsi="仿宋_GB2312" w:eastAsia="仿宋_GB2312"/>
          <w:sz w:val="32"/>
          <w:lang w:val="en-US" w:eastAsia="zh-CN"/>
        </w:rPr>
        <w:t>........................9</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三、部门支出预算总体情况表</w:t>
      </w:r>
      <w:r>
        <w:rPr>
          <w:rFonts w:hint="eastAsia" w:ascii="仿宋_GB2312" w:hAnsi="仿宋_GB2312" w:eastAsia="仿宋_GB2312"/>
          <w:sz w:val="32"/>
          <w:lang w:val="en-US" w:eastAsia="zh-CN"/>
        </w:rPr>
        <w:t>........................9</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四、财政拨款收支预算总体情况表</w:t>
      </w:r>
      <w:r>
        <w:rPr>
          <w:rFonts w:hint="eastAsia" w:ascii="仿宋_GB2312" w:hAnsi="仿宋_GB2312" w:eastAsia="仿宋_GB2312"/>
          <w:sz w:val="32"/>
          <w:lang w:val="en-US" w:eastAsia="zh-CN"/>
        </w:rPr>
        <w:t>....................9</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五、 一般公共预算支出情况表</w:t>
      </w:r>
      <w:r>
        <w:rPr>
          <w:rFonts w:hint="eastAsia" w:ascii="仿宋_GB2312" w:hAnsi="仿宋_GB2312" w:eastAsia="仿宋_GB2312"/>
          <w:sz w:val="32"/>
          <w:lang w:val="en-US" w:eastAsia="zh-CN"/>
        </w:rPr>
        <w:t>.......................9</w:t>
      </w:r>
    </w:p>
    <w:p>
      <w:pPr>
        <w:spacing w:line="555" w:lineRule="exact"/>
        <w:jc w:val="both"/>
        <w:rPr>
          <w:rFonts w:hint="eastAsia" w:ascii="仿宋_GB2312" w:hAnsi="仿宋_GB2312" w:eastAsia="仿宋_GB2312"/>
          <w:sz w:val="32"/>
          <w:lang w:val="en-US" w:eastAsia="zh-CN"/>
        </w:rPr>
      </w:pPr>
      <w:r>
        <w:rPr>
          <w:rFonts w:hint="eastAsia" w:ascii="仿宋_GB2312" w:hAnsi="仿宋_GB2312" w:eastAsia="仿宋_GB2312"/>
          <w:sz w:val="32"/>
        </w:rPr>
        <w:t>　　六、一般公共预算基本支出情况表（经济分类款级科目）</w:t>
      </w:r>
      <w:r>
        <w:rPr>
          <w:rFonts w:hint="eastAsia" w:ascii="仿宋_GB2312" w:hAnsi="仿宋_GB2312" w:eastAsia="仿宋_GB2312"/>
          <w:sz w:val="32"/>
          <w:lang w:val="en-US" w:eastAsia="zh-CN"/>
        </w:rPr>
        <w:t>9</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七、一般公共预算“三公”经费支出情况表</w:t>
      </w:r>
      <w:r>
        <w:rPr>
          <w:rFonts w:hint="eastAsia" w:ascii="仿宋_GB2312" w:hAnsi="仿宋_GB2312" w:eastAsia="仿宋_GB2312"/>
          <w:sz w:val="32"/>
          <w:lang w:val="en-US" w:eastAsia="zh-CN"/>
        </w:rPr>
        <w:t>............9</w:t>
      </w:r>
    </w:p>
    <w:p>
      <w:pPr>
        <w:spacing w:line="555" w:lineRule="exact"/>
        <w:jc w:val="both"/>
        <w:rPr>
          <w:rFonts w:hint="default" w:ascii="仿宋_GB2312" w:hAnsi="仿宋_GB2312" w:eastAsia="仿宋_GB2312"/>
          <w:sz w:val="32"/>
          <w:lang w:val="en-US" w:eastAsia="zh-CN"/>
        </w:rPr>
      </w:pPr>
      <w:r>
        <w:rPr>
          <w:rFonts w:hint="eastAsia" w:ascii="仿宋_GB2312" w:hAnsi="仿宋_GB2312" w:eastAsia="仿宋_GB2312"/>
          <w:sz w:val="32"/>
        </w:rPr>
        <w:t>　　八、政府性基金预算支出情况表</w:t>
      </w:r>
      <w:r>
        <w:rPr>
          <w:rFonts w:hint="eastAsia" w:ascii="仿宋_GB2312" w:hAnsi="仿宋_GB2312" w:eastAsia="仿宋_GB2312"/>
          <w:sz w:val="32"/>
          <w:lang w:val="en-US" w:eastAsia="zh-CN"/>
        </w:rPr>
        <w:t>......................9</w:t>
      </w:r>
    </w:p>
    <w:p>
      <w:pPr>
        <w:spacing w:line="555" w:lineRule="exact"/>
        <w:ind w:firstLine="640"/>
        <w:jc w:val="both"/>
        <w:rPr>
          <w:rFonts w:hint="eastAsia" w:ascii="仿宋_GB2312" w:hAnsi="仿宋_GB2312" w:eastAsia="仿宋_GB2312"/>
          <w:sz w:val="32"/>
          <w:lang w:val="en-US" w:eastAsia="zh-CN"/>
        </w:rPr>
      </w:pPr>
      <w:r>
        <w:rPr>
          <w:rFonts w:hint="eastAsia" w:ascii="仿宋_GB2312" w:hAnsi="仿宋_GB2312" w:eastAsia="仿宋_GB2312"/>
          <w:sz w:val="32"/>
        </w:rPr>
        <w:t>九、区对镇（街）转移支付支出预算表</w:t>
      </w:r>
      <w:r>
        <w:rPr>
          <w:rFonts w:hint="eastAsia" w:ascii="仿宋_GB2312" w:hAnsi="仿宋_GB2312" w:eastAsia="仿宋_GB2312"/>
          <w:sz w:val="32"/>
          <w:lang w:val="en-US" w:eastAsia="zh-CN"/>
        </w:rPr>
        <w:t>................9</w:t>
      </w:r>
    </w:p>
    <w:p>
      <w:pPr>
        <w:spacing w:line="555" w:lineRule="exact"/>
        <w:ind w:firstLine="640"/>
        <w:jc w:val="both"/>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十、</w:t>
      </w:r>
      <w:r>
        <w:rPr>
          <w:rFonts w:hint="eastAsia" w:ascii="仿宋_GB2312" w:hAnsi="仿宋_GB2312" w:eastAsia="仿宋_GB2312"/>
          <w:sz w:val="32"/>
          <w:szCs w:val="24"/>
          <w:lang w:val="en-US" w:eastAsia="zh-CN"/>
        </w:rPr>
        <w:t xml:space="preserve">二级项目绩效目标表 </w:t>
      </w:r>
      <w:r>
        <w:rPr>
          <w:rFonts w:hint="eastAsia" w:ascii="仿宋_GB2312" w:hAnsi="仿宋_GB2312" w:eastAsia="仿宋_GB2312"/>
          <w:sz w:val="32"/>
          <w:lang w:val="en-US" w:eastAsia="zh-CN"/>
        </w:rPr>
        <w:t>...........................9</w:t>
      </w:r>
      <w:r>
        <w:rPr>
          <w:rFonts w:hint="eastAsia" w:ascii="仿宋_GB2312" w:hAnsi="仿宋_GB2312" w:eastAsia="仿宋_GB2312"/>
          <w:sz w:val="32"/>
          <w:szCs w:val="24"/>
          <w:lang w:val="en-US" w:eastAsia="zh-CN"/>
        </w:rPr>
        <w:t xml:space="preserve"> </w:t>
      </w:r>
    </w:p>
    <w:p>
      <w:pPr>
        <w:spacing w:line="555" w:lineRule="exact"/>
        <w:ind w:left="20"/>
        <w:jc w:val="center"/>
        <w:rPr>
          <w:rFonts w:hint="eastAsia" w:ascii="黑体" w:hAnsi="黑体" w:eastAsia="黑体"/>
          <w:sz w:val="32"/>
        </w:rPr>
      </w:pPr>
      <w:r>
        <w:rPr>
          <w:rFonts w:hint="eastAsia" w:ascii="黑体" w:hAnsi="黑体" w:eastAsia="黑体"/>
          <w:sz w:val="32"/>
        </w:rPr>
        <w:t>第一部分  单位概况</w:t>
      </w:r>
    </w:p>
    <w:p>
      <w:pPr>
        <w:spacing w:line="555" w:lineRule="exact"/>
        <w:jc w:val="both"/>
        <w:rPr>
          <w:rFonts w:hint="default" w:ascii="仿宋_GB2312" w:hAnsi="仿宋_GB2312" w:eastAsia="仿宋_GB2312"/>
          <w:sz w:val="32"/>
          <w:highlight w:val="none"/>
        </w:rPr>
      </w:pPr>
      <w:r>
        <w:rPr>
          <w:rFonts w:hint="eastAsia" w:ascii="黑体" w:hAnsi="黑体" w:eastAsia="黑体"/>
          <w:sz w:val="32"/>
          <w:highlight w:val="none"/>
        </w:rPr>
        <w:t>　　一、单位主要职责</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厦门市禾盛幼儿园的主要职责是：</w:t>
      </w:r>
    </w:p>
    <w:p>
      <w:pPr>
        <w:spacing w:line="555"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（一）为学龄前儿童提供保育和教育服务。</w:t>
      </w:r>
    </w:p>
    <w:p>
      <w:pPr>
        <w:spacing w:line="555" w:lineRule="exact"/>
        <w:ind w:firstLine="640" w:firstLineChars="200"/>
        <w:jc w:val="both"/>
        <w:rPr>
          <w:rFonts w:hint="eastAsia" w:ascii="仿宋_GB2312" w:hAnsi="仿宋_GB2312" w:eastAsia="仿宋_GB2312"/>
          <w:sz w:val="32"/>
          <w:highlight w:val="none"/>
        </w:rPr>
      </w:pPr>
      <w:r>
        <w:rPr>
          <w:rFonts w:hint="eastAsia" w:ascii="仿宋_GB2312" w:hAnsi="仿宋_GB2312" w:eastAsia="仿宋_GB2312"/>
          <w:sz w:val="32"/>
          <w:highlight w:val="none"/>
        </w:rPr>
        <w:t>（二）幼儿保育。</w:t>
      </w:r>
    </w:p>
    <w:p>
      <w:pPr>
        <w:spacing w:line="555" w:lineRule="exact"/>
        <w:ind w:firstLine="640" w:firstLineChars="200"/>
        <w:jc w:val="both"/>
        <w:rPr>
          <w:rFonts w:hint="eastAsia" w:ascii="黑体" w:hAnsi="黑体" w:eastAsia="黑体"/>
          <w:sz w:val="32"/>
          <w:highlight w:val="none"/>
        </w:rPr>
      </w:pPr>
      <w:r>
        <w:rPr>
          <w:rFonts w:hint="eastAsia" w:ascii="仿宋_GB2312" w:hAnsi="仿宋_GB2312" w:eastAsia="仿宋_GB2312"/>
          <w:sz w:val="32"/>
          <w:highlight w:val="none"/>
        </w:rPr>
        <w:t>（三）幼儿教育。</w:t>
      </w:r>
    </w:p>
    <w:p>
      <w:pPr>
        <w:spacing w:line="555" w:lineRule="exact"/>
        <w:jc w:val="both"/>
        <w:rPr>
          <w:rFonts w:hint="default" w:ascii="仿宋_GB2312" w:hAnsi="仿宋_GB2312" w:eastAsia="仿宋_GB2312"/>
          <w:sz w:val="32"/>
          <w:highlight w:val="none"/>
        </w:rPr>
      </w:pPr>
      <w:r>
        <w:rPr>
          <w:rFonts w:hint="eastAsia" w:ascii="黑体" w:hAnsi="黑体" w:eastAsia="黑体"/>
          <w:sz w:val="32"/>
          <w:highlight w:val="none"/>
        </w:rPr>
        <w:t>　　二、单位基本情况</w:t>
      </w:r>
    </w:p>
    <w:p>
      <w:pPr>
        <w:spacing w:line="555" w:lineRule="exact"/>
        <w:jc w:val="both"/>
        <w:rPr>
          <w:rFonts w:hint="eastAsia" w:ascii="仿宋_GB2312" w:hAnsi="仿宋_GB2312" w:eastAsia="仿宋_GB2312"/>
          <w:sz w:val="24"/>
          <w:highlight w:val="none"/>
        </w:rPr>
      </w:pPr>
      <w:r>
        <w:rPr>
          <w:rFonts w:hint="eastAsia" w:ascii="仿宋_GB2312" w:hAnsi="仿宋_GB2312" w:eastAsia="仿宋_GB2312"/>
          <w:sz w:val="32"/>
          <w:highlight w:val="none"/>
        </w:rPr>
        <w:t>　　厦门市禾盛幼儿园内设</w:t>
      </w:r>
      <w:r>
        <w:rPr>
          <w:rFonts w:hint="eastAsia" w:ascii="仿宋_GB2312" w:hAnsi="仿宋_GB2312" w:eastAsia="仿宋_GB2312"/>
          <w:sz w:val="32"/>
          <w:highlight w:val="none"/>
          <w:lang w:val="en-US" w:eastAsia="zh-CN"/>
        </w:rPr>
        <w:t>2</w:t>
      </w:r>
      <w:r>
        <w:rPr>
          <w:rFonts w:hint="eastAsia" w:ascii="仿宋_GB2312" w:hAnsi="仿宋_GB2312" w:eastAsia="仿宋_GB2312"/>
          <w:sz w:val="32"/>
          <w:highlight w:val="none"/>
        </w:rPr>
        <w:t>个处室/科室，包括</w:t>
      </w:r>
      <w:r>
        <w:rPr>
          <w:rFonts w:hint="eastAsia" w:ascii="仿宋_GB2312" w:hAnsi="仿宋_GB2312" w:eastAsia="仿宋_GB2312"/>
          <w:sz w:val="24"/>
          <w:highlight w:val="none"/>
        </w:rPr>
        <w:t>：</w:t>
      </w:r>
      <w:r>
        <w:rPr>
          <w:rFonts w:hint="eastAsia" w:ascii="仿宋_GB2312" w:hAnsi="仿宋_GB2312" w:eastAsia="仿宋_GB2312"/>
          <w:sz w:val="32"/>
          <w:szCs w:val="22"/>
          <w:highlight w:val="none"/>
          <w:lang w:val="en-US" w:eastAsia="zh-CN"/>
        </w:rPr>
        <w:t>园长办公室和总务科。</w:t>
      </w:r>
    </w:p>
    <w:p>
      <w:pPr>
        <w:spacing w:line="555" w:lineRule="exact"/>
        <w:jc w:val="both"/>
        <w:rPr>
          <w:rFonts w:hint="default" w:ascii="仿宋_GB2312" w:hAnsi="仿宋_GB2312" w:eastAsia="仿宋_GB2312"/>
          <w:sz w:val="32"/>
          <w:highlight w:val="none"/>
        </w:rPr>
      </w:pPr>
      <w:r>
        <w:rPr>
          <w:rFonts w:hint="eastAsia" w:ascii="黑体" w:hAnsi="黑体" w:eastAsia="黑体"/>
          <w:sz w:val="32"/>
          <w:highlight w:val="none"/>
        </w:rPr>
        <w:t>　　三、单位主要工作任务</w:t>
      </w:r>
    </w:p>
    <w:p>
      <w:pPr>
        <w:pStyle w:val="9"/>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640" w:firstLineChars="200"/>
        <w:jc w:val="both"/>
        <w:textAlignment w:val="auto"/>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2026年，厦门市禾盛幼儿园主要任务是：在持续贯彻落实党的教育方针和立德树人根本任务的基础上，结合园所实际与发展需求，</w:t>
      </w:r>
      <w:r>
        <w:rPr>
          <w:rFonts w:hint="default" w:ascii="仿宋_GB2312" w:hAnsi="仿宋_GB2312" w:eastAsia="仿宋_GB2312" w:cs="Times New Roman"/>
          <w:color w:val="000000"/>
          <w:sz w:val="32"/>
          <w:szCs w:val="22"/>
          <w:highlight w:val="none"/>
          <w:lang w:val="en-US" w:eastAsia="zh-CN"/>
        </w:rPr>
        <w:t>打造“红色润苗、同心育人”党建品牌，完成党建环境创设；作为厦门市第三批改革实验园，以《具身认知视域下闽南优秀传统文化课程建设的研究》为核心，初步构建闽南童谣、童玩、艺术、建筑四大课程群；后勤</w:t>
      </w:r>
      <w:r>
        <w:rPr>
          <w:rFonts w:hint="eastAsia" w:ascii="仿宋_GB2312" w:hAnsi="仿宋_GB2312" w:eastAsia="仿宋_GB2312" w:cs="Times New Roman"/>
          <w:color w:val="000000"/>
          <w:sz w:val="32"/>
          <w:szCs w:val="22"/>
          <w:highlight w:val="none"/>
          <w:lang w:val="en-US" w:eastAsia="zh-CN"/>
        </w:rPr>
        <w:t>管理模式已初步落地并显现成效，</w:t>
      </w:r>
      <w:r>
        <w:rPr>
          <w:rFonts w:hint="default" w:ascii="仿宋_GB2312" w:hAnsi="仿宋_GB2312" w:eastAsia="仿宋_GB2312" w:cs="Times New Roman"/>
          <w:color w:val="000000"/>
          <w:sz w:val="32"/>
          <w:szCs w:val="22"/>
          <w:highlight w:val="none"/>
          <w:lang w:val="en-US" w:eastAsia="zh-CN"/>
        </w:rPr>
        <w:t>团队职责明确；</w:t>
      </w:r>
      <w:r>
        <w:rPr>
          <w:rFonts w:hint="eastAsia" w:ascii="仿宋_GB2312" w:hAnsi="仿宋_GB2312" w:eastAsia="仿宋_GB2312" w:cs="Times New Roman"/>
          <w:color w:val="000000"/>
          <w:sz w:val="32"/>
          <w:szCs w:val="22"/>
          <w:highlight w:val="none"/>
          <w:lang w:val="en-US" w:eastAsia="zh-CN"/>
        </w:rPr>
        <w:t xml:space="preserve">关注幼儿的身心健康发展，扎实做好卫生保健工作，坚持晨检与全日观察相结合，并做到有记录、有分析、有措施。围绕上述任务，重点抓好以下工作： </w:t>
      </w:r>
    </w:p>
    <w:p>
      <w:pPr>
        <w:pStyle w:val="9"/>
        <w:keepNext w:val="0"/>
        <w:keepLines w:val="0"/>
        <w:pageBreakBefore w:val="0"/>
        <w:widowControl/>
        <w:numPr>
          <w:ilvl w:val="0"/>
          <w:numId w:val="1"/>
        </w:numPr>
        <w:kinsoku/>
        <w:wordWrap/>
        <w:overflowPunct/>
        <w:topLinePunct w:val="0"/>
        <w:autoSpaceDE/>
        <w:autoSpaceDN/>
        <w:bidi w:val="0"/>
        <w:adjustRightInd/>
        <w:snapToGrid/>
        <w:spacing w:before="0" w:after="0" w:line="360" w:lineRule="auto"/>
        <w:ind w:left="80" w:leftChars="0" w:firstLine="640" w:firstLineChars="0"/>
        <w:jc w:val="both"/>
        <w:textAlignment w:val="auto"/>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党建工作</w:t>
      </w:r>
    </w:p>
    <w:p>
      <w:pPr>
        <w:pStyle w:val="9"/>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0" w:leftChars="0" w:firstLine="720" w:firstLineChars="225"/>
        <w:jc w:val="both"/>
        <w:textAlignment w:val="auto"/>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1.完善“红色润苗”品牌，实现党建与保教、课程、社区深度融合，形成“党建+”格局。</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2.深化与禾盛社区“双报到”，建立长效联动机制，党员社区服务常态化。</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3.强化意识形态与廉政建设，推动师德师风落地，打造廉洁教师队伍。</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4.深化教育家精神实践，推动师德内化与行为转化，提升教师职业认同感与育人实效。</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（二）常规保教</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1.落实主题审议常态机制，优化班级课程方案，提升实践质量。</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2.探索科学幼小衔接路径，聚焦</w:t>
      </w:r>
      <w:r>
        <w:rPr>
          <w:rFonts w:hint="eastAsia" w:ascii="仿宋_GB2312" w:hAnsi="仿宋_GB2312" w:eastAsia="仿宋_GB2312" w:cs="Times New Roman"/>
          <w:color w:val="000000"/>
          <w:sz w:val="32"/>
          <w:szCs w:val="22"/>
          <w:highlight w:val="none"/>
          <w:lang w:val="en-US" w:eastAsia="zh-CN"/>
        </w:rPr>
        <w:t>学习准备</w:t>
      </w:r>
      <w:r>
        <w:rPr>
          <w:rFonts w:hint="default" w:ascii="仿宋_GB2312" w:hAnsi="仿宋_GB2312" w:eastAsia="仿宋_GB2312" w:cs="Times New Roman"/>
          <w:color w:val="000000"/>
          <w:sz w:val="32"/>
          <w:szCs w:val="22"/>
          <w:highlight w:val="none"/>
          <w:lang w:val="en-US" w:eastAsia="zh-CN"/>
        </w:rPr>
        <w:t>，增强实效。</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3.</w:t>
      </w:r>
      <w:r>
        <w:rPr>
          <w:rFonts w:hint="eastAsia" w:ascii="仿宋_GB2312" w:hAnsi="仿宋_GB2312" w:eastAsia="仿宋_GB2312" w:cs="Times New Roman"/>
          <w:color w:val="000000"/>
          <w:sz w:val="32"/>
          <w:szCs w:val="22"/>
          <w:highlight w:val="none"/>
          <w:lang w:val="en-US" w:eastAsia="zh-CN"/>
        </w:rPr>
        <w:t>辐射校园节庆活动，深化家园社协同育人。</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（三）园本研训</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1.通过专题研讨提升师幼互动质量，帮助教师掌握提问、回应策略。</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2.强化教师“具身认知”理论应用，优化非遗艺术区环境。</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3.形成“理论-实践-研讨-成果”教研模式，丰富园本资源库。</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（四）课程建设</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1.</w:t>
      </w:r>
      <w:r>
        <w:rPr>
          <w:rFonts w:hint="eastAsia" w:ascii="仿宋_GB2312" w:hAnsi="仿宋_GB2312" w:eastAsia="仿宋_GB2312" w:cs="Times New Roman"/>
          <w:color w:val="000000"/>
          <w:sz w:val="32"/>
          <w:szCs w:val="22"/>
          <w:highlight w:val="none"/>
          <w:lang w:val="en-US" w:eastAsia="zh-CN"/>
        </w:rPr>
        <w:t>基于市级教改平台，</w:t>
      </w:r>
      <w:r>
        <w:rPr>
          <w:rFonts w:hint="default" w:ascii="仿宋_GB2312" w:hAnsi="仿宋_GB2312" w:eastAsia="仿宋_GB2312" w:cs="Times New Roman"/>
          <w:color w:val="000000"/>
          <w:sz w:val="32"/>
          <w:szCs w:val="22"/>
          <w:highlight w:val="none"/>
          <w:lang w:val="en-US" w:eastAsia="zh-CN"/>
        </w:rPr>
        <w:t>优化课程资源</w:t>
      </w:r>
      <w:r>
        <w:rPr>
          <w:rFonts w:hint="eastAsia" w:ascii="仿宋_GB2312" w:hAnsi="仿宋_GB2312" w:eastAsia="仿宋_GB2312" w:cs="Times New Roman"/>
          <w:color w:val="000000"/>
          <w:sz w:val="32"/>
          <w:szCs w:val="22"/>
          <w:highlight w:val="none"/>
          <w:lang w:val="en-US" w:eastAsia="zh-CN"/>
        </w:rPr>
        <w:t>质量，</w:t>
      </w:r>
      <w:r>
        <w:rPr>
          <w:rFonts w:hint="default" w:ascii="仿宋_GB2312" w:hAnsi="仿宋_GB2312" w:eastAsia="仿宋_GB2312" w:cs="Times New Roman"/>
          <w:color w:val="000000"/>
          <w:sz w:val="32"/>
          <w:szCs w:val="22"/>
          <w:highlight w:val="none"/>
          <w:lang w:val="en-US" w:eastAsia="zh-CN"/>
        </w:rPr>
        <w:t>深化闽南优秀传统文化课程。</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2.</w:t>
      </w:r>
      <w:r>
        <w:rPr>
          <w:rFonts w:hint="default" w:ascii="仿宋_GB2312" w:hAnsi="仿宋_GB2312" w:eastAsia="仿宋_GB2312" w:cs="Times New Roman"/>
          <w:color w:val="000000"/>
          <w:sz w:val="32"/>
          <w:szCs w:val="22"/>
          <w:highlight w:val="none"/>
          <w:lang w:val="en-US" w:eastAsia="zh-CN"/>
        </w:rPr>
        <w:t>聚焦课题研究，围绕日常保教关键环节开展专项监控，保障课程落地质量。</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（五）队伍建设</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1.</w:t>
      </w:r>
      <w:r>
        <w:rPr>
          <w:rFonts w:hint="default" w:ascii="仿宋_GB2312" w:hAnsi="仿宋_GB2312" w:eastAsia="仿宋_GB2312" w:cs="Times New Roman"/>
          <w:color w:val="000000"/>
          <w:sz w:val="32"/>
          <w:szCs w:val="22"/>
          <w:highlight w:val="none"/>
          <w:lang w:val="en-US" w:eastAsia="zh-CN"/>
        </w:rPr>
        <w:t>构建分层带教体系，推动不同层级教师实现阶梯式成长，构建清晰的教师发展梯队。</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2.以骨干教师为核心，依托年段研讨与示范展示，提升教师教育教学质量。</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（六）家长工作</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1.建立家园社协同机制，激活家长、社区资源，助力闽南文化课程落地。</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2.优化家园沟通形式，提升家长满意度与文化参与度。</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（七）后勤日常管理</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default" w:ascii="仿宋_GB2312" w:hAnsi="仿宋_GB2312" w:eastAsia="仿宋_GB2312" w:cs="Times New Roman"/>
          <w:color w:val="000000"/>
          <w:sz w:val="32"/>
          <w:szCs w:val="22"/>
          <w:highlight w:val="none"/>
          <w:lang w:val="en-US" w:eastAsia="zh-CN"/>
        </w:rPr>
        <w:t>1.推动后勤工作标准化、流程化，提升物资管理精细化水平。</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2.优化资产与采购管理，建立按需采购机制与财产登记制度，杜绝浪费与资产流失。</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（八）安全工作</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1.建立隐患排查闭环机制，通过每周安全日巡查与电子记录实现问题及时整改。</w:t>
      </w:r>
    </w:p>
    <w:p>
      <w:pPr>
        <w:spacing w:line="555" w:lineRule="exact"/>
        <w:ind w:firstLine="640" w:firstLineChars="200"/>
        <w:jc w:val="both"/>
        <w:rPr>
          <w:rFonts w:hint="default"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 xml:space="preserve">2.加强安全教育与演练，开展主题活动和应急演练，提升师生安全防范与处置能力。   </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（九）膳食与卫生保健</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1.提供科学均衡膳食，严格制定带量食谱，培养幼儿良好饮食习惯与进餐礼仪。</w:t>
      </w:r>
    </w:p>
    <w:p>
      <w:pPr>
        <w:spacing w:line="555" w:lineRule="exact"/>
        <w:ind w:firstLine="640" w:firstLineChars="200"/>
        <w:jc w:val="both"/>
        <w:rPr>
          <w:rFonts w:hint="eastAsia" w:ascii="仿宋_GB2312" w:hAnsi="仿宋_GB2312" w:eastAsia="仿宋_GB2312" w:cs="Times New Roman"/>
          <w:color w:val="000000"/>
          <w:sz w:val="32"/>
          <w:szCs w:val="22"/>
          <w:highlight w:val="none"/>
          <w:lang w:val="en-US" w:eastAsia="zh-CN"/>
        </w:rPr>
      </w:pPr>
      <w:r>
        <w:rPr>
          <w:rFonts w:hint="eastAsia" w:ascii="仿宋_GB2312" w:hAnsi="仿宋_GB2312" w:eastAsia="仿宋_GB2312" w:cs="Times New Roman"/>
          <w:color w:val="000000"/>
          <w:sz w:val="32"/>
          <w:szCs w:val="22"/>
          <w:highlight w:val="none"/>
          <w:lang w:val="en-US" w:eastAsia="zh-CN"/>
        </w:rPr>
        <w:t>2.严格执行卫生消毒制度，落实日常通风与消毒要求，预防传染病传播与发生。</w:t>
      </w:r>
    </w:p>
    <w:p>
      <w:pPr>
        <w:spacing w:line="555" w:lineRule="exact"/>
        <w:ind w:firstLine="640" w:firstLineChars="200"/>
        <w:jc w:val="both"/>
        <w:rPr>
          <w:rFonts w:hint="eastAsia" w:ascii="仿宋_GB2312" w:hAnsi="仿宋_GB2312" w:eastAsia="仿宋_GB2312" w:cs="Times New Roman"/>
          <w:color w:val="000000"/>
          <w:sz w:val="32"/>
          <w:szCs w:val="32"/>
          <w:highlight w:val="none"/>
          <w:lang w:val="en-US" w:eastAsia="zh-CN"/>
        </w:rPr>
      </w:pPr>
      <w:r>
        <w:rPr>
          <w:rFonts w:hint="eastAsia" w:ascii="仿宋_GB2312" w:hAnsi="仿宋_GB2312" w:eastAsia="仿宋_GB2312" w:cs="Times New Roman"/>
          <w:color w:val="000000"/>
          <w:sz w:val="32"/>
          <w:szCs w:val="32"/>
          <w:highlight w:val="none"/>
          <w:lang w:val="en-US" w:eastAsia="zh-CN"/>
        </w:rPr>
        <w:t>3.完善健康监测与档案管理，开展视力、口腔等专项检查，实施个体化健康干预。</w:t>
      </w:r>
    </w:p>
    <w:p>
      <w:pPr>
        <w:pStyle w:val="2"/>
        <w:jc w:val="both"/>
        <w:rPr>
          <w:rFonts w:hint="eastAsia"/>
          <w:sz w:val="32"/>
          <w:szCs w:val="32"/>
        </w:rPr>
      </w:pPr>
    </w:p>
    <w:p>
      <w:pPr>
        <w:spacing w:line="555" w:lineRule="exact"/>
        <w:jc w:val="center"/>
        <w:rPr>
          <w:rFonts w:hint="eastAsia" w:ascii="黑体" w:hAnsi="黑体" w:eastAsia="黑体"/>
          <w:sz w:val="32"/>
          <w:highlight w:val="none"/>
        </w:rPr>
      </w:pPr>
      <w:r>
        <w:rPr>
          <w:rFonts w:hint="eastAsia" w:ascii="黑体" w:hAnsi="黑体" w:eastAsia="黑体"/>
          <w:b/>
          <w:bCs/>
          <w:sz w:val="32"/>
          <w:highlight w:val="none"/>
        </w:rPr>
        <w:t>第二部分  2026年单位预算说明</w:t>
      </w:r>
    </w:p>
    <w:p>
      <w:pPr>
        <w:spacing w:line="555" w:lineRule="exact"/>
        <w:ind w:left="0" w:leftChars="0" w:firstLine="720" w:firstLineChars="225"/>
        <w:jc w:val="both"/>
        <w:rPr>
          <w:rFonts w:hint="default" w:ascii="仿宋_GB2312" w:hAnsi="仿宋_GB2312" w:eastAsia="仿宋_GB2312"/>
          <w:sz w:val="32"/>
          <w:highlight w:val="none"/>
        </w:rPr>
      </w:pPr>
      <w:r>
        <w:rPr>
          <w:rFonts w:hint="eastAsia" w:ascii="黑体" w:hAnsi="黑体" w:eastAsia="黑体"/>
          <w:sz w:val="32"/>
          <w:highlight w:val="none"/>
        </w:rPr>
        <w:t>一、2026年单位预算收支总体情况</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根据预算管理的有关规定，单位的全部收入和支出均纳入部门预算管理。</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w:t>
      </w:r>
      <w:r>
        <w:rPr>
          <w:rFonts w:hint="eastAsia" w:ascii="仿宋_GB2312" w:hAnsi="仿宋_GB2312" w:eastAsia="仿宋_GB2312"/>
          <w:sz w:val="32"/>
          <w:highlight w:val="none"/>
          <w:lang w:val="en-US" w:eastAsia="zh-CN"/>
        </w:rPr>
        <w:t xml:space="preserve">  </w:t>
      </w:r>
      <w:r>
        <w:rPr>
          <w:rFonts w:hint="eastAsia" w:ascii="仿宋_GB2312" w:hAnsi="仿宋_GB2312" w:eastAsia="仿宋_GB2312"/>
          <w:sz w:val="32"/>
          <w:highlight w:val="none"/>
        </w:rPr>
        <w:t>（一）厦门市禾盛幼儿园2026年收入预算为943.54万元，比2025年预算数增加66.67万元，增长7.60％，具体情况如下：</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1.财政拨款收入943.54万元，其中一般公共预算拨款收入943.54万元，政府性基金拨款收入0.00万元，国有资本经营预算拨款收入0.00万元；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2.财政专户管理资金收入0.00万元；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3.事业收入0.00万元；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4.事业单位经营收入0.00万元；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5.上级补助收入0.00万元；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6.附属单位上缴收入0.00万元；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7.其他收入0.00万元；</w:t>
      </w:r>
    </w:p>
    <w:p>
      <w:pPr>
        <w:spacing w:line="555"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8.上年结转结余0.00万元。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（二）厦门市禾盛幼儿园2026年支出预算为943.54万元（不含市对区转移支付项目），比2025年预算数增加66.67万元，增长7.60％，具体情况如下：</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1.财政拨款基本支出943.54万元，其中，人员支出410.70万元，公用支出532.83万元；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2.财政拨款项目支出0.00万元；</w:t>
      </w:r>
    </w:p>
    <w:p>
      <w:pPr>
        <w:spacing w:line="555"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3.非财政拨款支出0.00万元。</w:t>
      </w:r>
    </w:p>
    <w:p>
      <w:pPr>
        <w:spacing w:line="555"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（三）厦门市禾盛幼儿园2026年区对镇（街）转移支付项目预算为</w:t>
      </w:r>
      <w:r>
        <w:rPr>
          <w:rFonts w:hint="eastAsia" w:ascii="仿宋_GB2312" w:hAnsi="仿宋_GB2312" w:eastAsia="仿宋_GB2312"/>
          <w:sz w:val="32"/>
          <w:highlight w:val="none"/>
          <w:lang w:val="en-US" w:eastAsia="zh-CN"/>
        </w:rPr>
        <w:t>0.00</w:t>
      </w:r>
      <w:r>
        <w:rPr>
          <w:rFonts w:hint="eastAsia" w:ascii="仿宋_GB2312" w:hAnsi="仿宋_GB2312" w:eastAsia="仿宋_GB2312"/>
          <w:sz w:val="32"/>
          <w:highlight w:val="none"/>
        </w:rPr>
        <w:t>万元。</w:t>
      </w:r>
    </w:p>
    <w:p>
      <w:pPr>
        <w:spacing w:line="555" w:lineRule="exact"/>
        <w:jc w:val="both"/>
        <w:rPr>
          <w:rFonts w:hint="default" w:ascii="仿宋_GB2312" w:hAnsi="仿宋_GB2312" w:eastAsia="仿宋_GB2312"/>
          <w:sz w:val="32"/>
          <w:highlight w:val="none"/>
        </w:rPr>
      </w:pPr>
      <w:r>
        <w:rPr>
          <w:rFonts w:hint="eastAsia" w:ascii="黑体" w:hAnsi="黑体" w:eastAsia="黑体"/>
          <w:sz w:val="32"/>
          <w:highlight w:val="none"/>
        </w:rPr>
        <w:t>　　二、一般公共预算财政拨款支出预算情况</w:t>
      </w:r>
    </w:p>
    <w:p>
      <w:pPr>
        <w:spacing w:line="555"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2026年度一般公共预算支出943.54万元（不含市对区转移支付项目），比2025年预算数增加66.67万元，增长7.60%，主要是由于</w:t>
      </w:r>
      <w:r>
        <w:rPr>
          <w:rFonts w:hint="eastAsia" w:ascii="仿宋_GB2312" w:hAnsi="仿宋_GB2312" w:eastAsia="仿宋_GB2312"/>
          <w:sz w:val="32"/>
          <w:highlight w:val="none"/>
          <w:lang w:val="en-US" w:eastAsia="zh-CN"/>
        </w:rPr>
        <w:t>增加人员支出、公用支出</w:t>
      </w:r>
      <w:r>
        <w:rPr>
          <w:rFonts w:hint="eastAsia" w:ascii="仿宋_GB2312" w:hAnsi="仿宋_GB2312" w:eastAsia="仿宋_GB2312"/>
          <w:sz w:val="32"/>
          <w:highlight w:val="none"/>
        </w:rPr>
        <w:t>。支出项目(按项级科目分类统计)包括：</w:t>
      </w:r>
    </w:p>
    <w:p>
      <w:pPr>
        <w:spacing w:line="555" w:lineRule="exact"/>
        <w:ind w:left="20"/>
        <w:jc w:val="both"/>
        <w:rPr>
          <w:rFonts w:hint="eastAsia" w:ascii="仿宋_GB2312" w:hAnsi="仿宋_GB2312" w:eastAsia="仿宋_GB2312"/>
          <w:sz w:val="32"/>
          <w:highlight w:val="none"/>
        </w:rPr>
      </w:pPr>
      <w:r>
        <w:rPr>
          <w:rFonts w:hint="eastAsia" w:ascii="仿宋_GB2312" w:hAnsi="仿宋_GB2312" w:eastAsia="仿宋_GB2312"/>
          <w:sz w:val="32"/>
          <w:highlight w:val="none"/>
        </w:rPr>
        <w:t>　　1.教育支出（类）普通教育（款）学前教育（项）833.69万元。主要用</w:t>
      </w:r>
      <w:r>
        <w:rPr>
          <w:rFonts w:hint="eastAsia" w:ascii="仿宋_GB2312" w:hAnsi="仿宋_GB2312" w:eastAsia="仿宋_GB2312"/>
          <w:sz w:val="32"/>
          <w:highlight w:val="none"/>
          <w:lang w:val="en-US" w:eastAsia="zh-CN"/>
        </w:rPr>
        <w:t>于学前教育</w:t>
      </w:r>
      <w:r>
        <w:rPr>
          <w:rFonts w:hint="eastAsia" w:ascii="仿宋_GB2312" w:hAnsi="仿宋_GB2312" w:eastAsia="仿宋_GB2312"/>
          <w:sz w:val="32"/>
          <w:highlight w:val="none"/>
        </w:rPr>
        <w:t>支出。</w:t>
      </w:r>
    </w:p>
    <w:p>
      <w:pPr>
        <w:spacing w:line="555" w:lineRule="exact"/>
        <w:ind w:left="20"/>
        <w:jc w:val="both"/>
        <w:rPr>
          <w:rFonts w:hint="eastAsia" w:ascii="仿宋_GB2312" w:hAnsi="仿宋_GB2312" w:eastAsia="仿宋_GB2312"/>
          <w:sz w:val="32"/>
          <w:highlight w:val="none"/>
        </w:rPr>
      </w:pPr>
      <w:r>
        <w:rPr>
          <w:rFonts w:hint="eastAsia" w:ascii="仿宋_GB2312" w:hAnsi="仿宋_GB2312" w:eastAsia="仿宋_GB2312"/>
          <w:sz w:val="32"/>
          <w:highlight w:val="none"/>
        </w:rPr>
        <w:t>　　2.社会保障和就业支出（类）行政事业单位养老支出（款）事业单位离退休（项）8.32万元。主要用</w:t>
      </w:r>
      <w:r>
        <w:rPr>
          <w:rFonts w:hint="eastAsia" w:ascii="仿宋_GB2312" w:hAnsi="仿宋_GB2312" w:eastAsia="仿宋_GB2312"/>
          <w:sz w:val="32"/>
          <w:highlight w:val="none"/>
          <w:lang w:val="en-US" w:eastAsia="zh-CN"/>
        </w:rPr>
        <w:t>于</w:t>
      </w:r>
      <w:r>
        <w:rPr>
          <w:rFonts w:hint="eastAsia" w:ascii="仿宋_GB2312" w:hAnsi="仿宋_GB2312" w:eastAsia="仿宋_GB2312"/>
          <w:sz w:val="32"/>
          <w:highlight w:val="none"/>
        </w:rPr>
        <w:t>事业单位退休</w:t>
      </w:r>
      <w:r>
        <w:rPr>
          <w:rFonts w:hint="eastAsia" w:ascii="仿宋_GB2312" w:hAnsi="仿宋_GB2312" w:eastAsia="仿宋_GB2312"/>
          <w:sz w:val="32"/>
          <w:highlight w:val="none"/>
          <w:lang w:eastAsia="zh-CN"/>
        </w:rPr>
        <w:t>人员费用</w:t>
      </w:r>
      <w:r>
        <w:rPr>
          <w:rFonts w:hint="eastAsia" w:ascii="仿宋_GB2312" w:hAnsi="仿宋_GB2312" w:eastAsia="仿宋_GB2312"/>
          <w:sz w:val="32"/>
          <w:highlight w:val="none"/>
        </w:rPr>
        <w:t>支出。</w:t>
      </w:r>
    </w:p>
    <w:p>
      <w:pPr>
        <w:spacing w:line="555" w:lineRule="exact"/>
        <w:ind w:left="20"/>
        <w:jc w:val="both"/>
        <w:rPr>
          <w:rFonts w:hint="eastAsia" w:ascii="仿宋_GB2312" w:hAnsi="仿宋_GB2312" w:eastAsia="仿宋_GB2312"/>
          <w:sz w:val="32"/>
          <w:highlight w:val="none"/>
        </w:rPr>
      </w:pPr>
      <w:r>
        <w:rPr>
          <w:rFonts w:hint="eastAsia" w:ascii="仿宋_GB2312" w:hAnsi="仿宋_GB2312" w:eastAsia="仿宋_GB2312"/>
          <w:sz w:val="32"/>
          <w:highlight w:val="none"/>
        </w:rPr>
        <w:t>　　3.社会保障和就业支出（类）行政事业单位养老支出（款）机关事业单位基本养老保险缴费支出（项）27.17万元。主要用</w:t>
      </w:r>
      <w:r>
        <w:rPr>
          <w:rFonts w:hint="eastAsia" w:ascii="仿宋_GB2312" w:hAnsi="仿宋_GB2312" w:eastAsia="仿宋_GB2312"/>
          <w:sz w:val="32"/>
          <w:highlight w:val="none"/>
          <w:lang w:val="en-US" w:eastAsia="zh-CN"/>
        </w:rPr>
        <w:t>于机关事业单位基本养老保险缴费</w:t>
      </w:r>
      <w:r>
        <w:rPr>
          <w:rFonts w:hint="eastAsia" w:ascii="仿宋_GB2312" w:hAnsi="仿宋_GB2312" w:eastAsia="仿宋_GB2312"/>
          <w:sz w:val="32"/>
          <w:highlight w:val="none"/>
        </w:rPr>
        <w:t>支出。</w:t>
      </w:r>
    </w:p>
    <w:p>
      <w:pPr>
        <w:spacing w:line="555" w:lineRule="exact"/>
        <w:ind w:left="20"/>
        <w:jc w:val="both"/>
        <w:rPr>
          <w:rFonts w:hint="eastAsia" w:ascii="仿宋_GB2312" w:hAnsi="仿宋_GB2312" w:eastAsia="仿宋_GB2312"/>
          <w:sz w:val="32"/>
          <w:highlight w:val="none"/>
        </w:rPr>
      </w:pPr>
      <w:r>
        <w:rPr>
          <w:rFonts w:hint="eastAsia" w:ascii="仿宋_GB2312" w:hAnsi="仿宋_GB2312" w:eastAsia="仿宋_GB2312"/>
          <w:sz w:val="32"/>
          <w:highlight w:val="none"/>
        </w:rPr>
        <w:t>　　4.社会保障和就业支出（类）行政事业单位养老支出（款）机关事业单位职业年金缴费支出（项）25.58万元。主要用于机关事业单位职业年金缴费支出。</w:t>
      </w:r>
    </w:p>
    <w:p>
      <w:pPr>
        <w:tabs>
          <w:tab w:val="left" w:pos="720"/>
        </w:tabs>
        <w:spacing w:line="555" w:lineRule="exact"/>
        <w:ind w:left="20"/>
        <w:jc w:val="both"/>
        <w:rPr>
          <w:rFonts w:hint="eastAsia" w:ascii="仿宋_GB2312" w:hAnsi="仿宋_GB2312" w:eastAsia="仿宋_GB2312"/>
          <w:sz w:val="32"/>
          <w:highlight w:val="none"/>
        </w:rPr>
      </w:pPr>
      <w:r>
        <w:rPr>
          <w:rFonts w:hint="eastAsia" w:ascii="仿宋_GB2312" w:hAnsi="仿宋_GB2312" w:eastAsia="仿宋_GB2312"/>
          <w:sz w:val="32"/>
          <w:highlight w:val="none"/>
        </w:rPr>
        <w:t>　　5.卫生健康支出（类）行政事业单位医疗（款）事业单位医疗（项）11.63万元。主要用于事业单位医疗支出。</w:t>
      </w:r>
    </w:p>
    <w:p>
      <w:pPr>
        <w:spacing w:line="555" w:lineRule="exact"/>
        <w:ind w:left="20"/>
        <w:jc w:val="both"/>
        <w:rPr>
          <w:rFonts w:hint="eastAsia" w:ascii="仿宋_GB2312" w:hAnsi="仿宋_GB2312" w:eastAsia="仿宋_GB2312"/>
          <w:sz w:val="32"/>
          <w:highlight w:val="none"/>
        </w:rPr>
      </w:pPr>
      <w:r>
        <w:rPr>
          <w:rFonts w:hint="eastAsia" w:ascii="仿宋_GB2312" w:hAnsi="仿宋_GB2312" w:eastAsia="仿宋_GB2312"/>
          <w:sz w:val="32"/>
          <w:highlight w:val="none"/>
        </w:rPr>
        <w:t>　　6.卫生健康支出（类）行政事业单位医疗（款）其他行政事业单位医疗支出（项）5.94万元。主要用于事业单位医疗</w:t>
      </w:r>
      <w:r>
        <w:rPr>
          <w:rFonts w:hint="eastAsia" w:ascii="仿宋_GB2312" w:hAnsi="仿宋_GB2312" w:eastAsia="仿宋_GB2312"/>
          <w:sz w:val="32"/>
          <w:highlight w:val="none"/>
          <w:lang w:val="en-US" w:eastAsia="zh-CN"/>
        </w:rPr>
        <w:t>补助</w:t>
      </w:r>
      <w:r>
        <w:rPr>
          <w:rFonts w:hint="eastAsia" w:ascii="仿宋_GB2312" w:hAnsi="仿宋_GB2312" w:eastAsia="仿宋_GB2312"/>
          <w:sz w:val="32"/>
          <w:highlight w:val="none"/>
        </w:rPr>
        <w:t>支出。</w:t>
      </w:r>
    </w:p>
    <w:p>
      <w:pPr>
        <w:spacing w:line="555" w:lineRule="exact"/>
        <w:ind w:left="20"/>
        <w:jc w:val="both"/>
        <w:rPr>
          <w:rFonts w:hint="eastAsia" w:ascii="仿宋_GB2312" w:hAnsi="仿宋_GB2312" w:eastAsia="仿宋_GB2312"/>
          <w:sz w:val="32"/>
          <w:highlight w:val="none"/>
        </w:rPr>
      </w:pPr>
      <w:r>
        <w:rPr>
          <w:rFonts w:hint="eastAsia" w:ascii="仿宋_GB2312" w:hAnsi="仿宋_GB2312" w:eastAsia="仿宋_GB2312"/>
          <w:sz w:val="32"/>
          <w:highlight w:val="none"/>
        </w:rPr>
        <w:t>　　7.住房保障支出（类）住房改革支出（款）购房补贴（项）31.20万元。主要用于</w:t>
      </w:r>
      <w:r>
        <w:rPr>
          <w:rFonts w:hint="eastAsia" w:ascii="仿宋_GB2312" w:hAnsi="仿宋_GB2312" w:eastAsia="仿宋_GB2312"/>
          <w:sz w:val="32"/>
          <w:highlight w:val="none"/>
          <w:lang w:val="en-US" w:eastAsia="zh-CN"/>
        </w:rPr>
        <w:t>教职工住房货币化补贴</w:t>
      </w:r>
      <w:r>
        <w:rPr>
          <w:rFonts w:hint="eastAsia" w:ascii="仿宋_GB2312" w:hAnsi="仿宋_GB2312" w:eastAsia="仿宋_GB2312"/>
          <w:sz w:val="32"/>
          <w:highlight w:val="none"/>
        </w:rPr>
        <w:t>支出。</w:t>
      </w:r>
    </w:p>
    <w:p>
      <w:pPr>
        <w:spacing w:line="555" w:lineRule="exact"/>
        <w:jc w:val="both"/>
        <w:rPr>
          <w:rFonts w:hint="default" w:ascii="仿宋_GB2312" w:hAnsi="仿宋_GB2312" w:eastAsia="仿宋_GB2312"/>
          <w:sz w:val="32"/>
          <w:highlight w:val="none"/>
        </w:rPr>
      </w:pPr>
      <w:r>
        <w:rPr>
          <w:rFonts w:hint="eastAsia" w:ascii="黑体" w:hAnsi="黑体" w:eastAsia="黑体"/>
          <w:sz w:val="32"/>
          <w:highlight w:val="none"/>
        </w:rPr>
        <w:t>　　三、政府性基金预算财政拨款支出情况</w:t>
      </w:r>
    </w:p>
    <w:p>
      <w:pPr>
        <w:spacing w:line="555"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2026年度政府性基金支出0.00万元（不含市对区转移支付项目），比2025年预算数增加0.00万元，增长0</w:t>
      </w:r>
      <w:r>
        <w:rPr>
          <w:rFonts w:hint="eastAsia" w:ascii="仿宋_GB2312" w:hAnsi="仿宋_GB2312" w:eastAsia="仿宋_GB2312"/>
          <w:sz w:val="32"/>
          <w:highlight w:val="none"/>
          <w:lang w:val="en-US" w:eastAsia="zh-CN"/>
        </w:rPr>
        <w:t>.00</w:t>
      </w:r>
      <w:r>
        <w:rPr>
          <w:rFonts w:hint="eastAsia" w:ascii="仿宋_GB2312" w:hAnsi="仿宋_GB2312" w:eastAsia="仿宋_GB2312"/>
          <w:sz w:val="32"/>
          <w:highlight w:val="none"/>
        </w:rPr>
        <w:t>%，</w:t>
      </w:r>
      <w:r>
        <w:rPr>
          <w:rFonts w:hint="eastAsia" w:ascii="仿宋_GB2312" w:hAnsi="仿宋_GB2312" w:eastAsia="仿宋_GB2312"/>
          <w:sz w:val="32"/>
          <w:highlight w:val="none"/>
          <w:lang w:eastAsia="zh-CN"/>
        </w:rPr>
        <w:t>主</w:t>
      </w:r>
      <w:r>
        <w:rPr>
          <w:rFonts w:hint="eastAsia" w:ascii="仿宋_GB2312" w:hAnsi="仿宋_GB2312" w:eastAsia="仿宋_GB2312"/>
          <w:color w:val="auto"/>
          <w:sz w:val="32"/>
        </w:rPr>
        <w:t>要</w:t>
      </w:r>
      <w:r>
        <w:rPr>
          <w:rFonts w:hint="eastAsia" w:ascii="仿宋_GB2312" w:hAnsi="仿宋_GB2312" w:eastAsia="仿宋_GB2312"/>
          <w:color w:val="auto"/>
          <w:sz w:val="32"/>
          <w:lang w:eastAsia="zh-CN"/>
        </w:rPr>
        <w:t>原因</w:t>
      </w:r>
      <w:r>
        <w:rPr>
          <w:rFonts w:hint="eastAsia" w:ascii="仿宋_GB2312" w:hAnsi="仿宋_GB2312" w:eastAsia="仿宋_GB2312"/>
          <w:color w:val="auto"/>
          <w:sz w:val="32"/>
        </w:rPr>
        <w:t>是</w:t>
      </w:r>
      <w:r>
        <w:rPr>
          <w:rFonts w:hint="eastAsia" w:ascii="仿宋_GB2312" w:hAnsi="仿宋_GB2312" w:eastAsia="仿宋_GB2312"/>
          <w:color w:val="auto"/>
          <w:sz w:val="32"/>
          <w:lang w:val="en-US" w:eastAsia="zh-CN"/>
        </w:rPr>
        <w:t>2026</w:t>
      </w:r>
      <w:r>
        <w:rPr>
          <w:rFonts w:hint="eastAsia" w:ascii="仿宋" w:hAnsi="仿宋" w:eastAsia="仿宋"/>
          <w:color w:val="auto"/>
          <w:sz w:val="32"/>
          <w:lang w:val="en-US" w:eastAsia="zh-CN"/>
        </w:rPr>
        <w:t>年度本单位没有政府性基金预算支出安排</w:t>
      </w:r>
      <w:r>
        <w:rPr>
          <w:rFonts w:hint="eastAsia" w:ascii="仿宋_GB2312" w:hAnsi="仿宋_GB2312" w:eastAsia="仿宋_GB2312"/>
          <w:sz w:val="32"/>
          <w:highlight w:val="none"/>
        </w:rPr>
        <w:t>。</w:t>
      </w:r>
    </w:p>
    <w:p>
      <w:pPr>
        <w:spacing w:line="555" w:lineRule="exact"/>
        <w:jc w:val="both"/>
        <w:rPr>
          <w:rFonts w:hint="default" w:ascii="仿宋_GB2312" w:hAnsi="仿宋_GB2312" w:eastAsia="仿宋_GB2312"/>
          <w:sz w:val="32"/>
          <w:highlight w:val="none"/>
        </w:rPr>
      </w:pPr>
      <w:r>
        <w:rPr>
          <w:rFonts w:hint="eastAsia" w:ascii="黑体" w:hAnsi="黑体" w:eastAsia="黑体"/>
          <w:sz w:val="32"/>
          <w:highlight w:val="none"/>
        </w:rPr>
        <w:t>　　四、“三公”经费财政拨款预算情况</w:t>
      </w:r>
    </w:p>
    <w:p>
      <w:pPr>
        <w:spacing w:line="555"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厦门市禾盛幼儿园单位2026年“三公”经费财政拨款预算数为0.00万元，其中：因公出国（境）经费0.00万元，公务接待费0.00万元，公务用车购置及运行费0.00万元。具体情况如下：</w:t>
      </w:r>
    </w:p>
    <w:p>
      <w:pPr>
        <w:spacing w:line="555" w:lineRule="exact"/>
        <w:ind w:firstLine="320" w:firstLineChars="100"/>
        <w:jc w:val="both"/>
        <w:rPr>
          <w:rFonts w:hint="default" w:ascii="仿宋_GB2312" w:hAnsi="仿宋_GB2312" w:eastAsia="仿宋_GB2312"/>
          <w:sz w:val="32"/>
          <w:highlight w:val="none"/>
        </w:rPr>
      </w:pPr>
      <w:r>
        <w:rPr>
          <w:rFonts w:hint="eastAsia" w:ascii="楷体" w:hAnsi="楷体" w:eastAsia="楷体"/>
          <w:sz w:val="32"/>
          <w:highlight w:val="none"/>
        </w:rPr>
        <w:t>（一）因公出国（境）经费</w:t>
      </w:r>
    </w:p>
    <w:p>
      <w:pPr>
        <w:spacing w:line="555"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2026年预算安排0.00万元。与上年预算相比</w:t>
      </w:r>
      <w:r>
        <w:rPr>
          <w:rFonts w:hint="eastAsia" w:ascii="仿宋_GB2312" w:hAnsi="仿宋_GB2312" w:eastAsia="仿宋_GB2312"/>
          <w:sz w:val="32"/>
          <w:highlight w:val="none"/>
          <w:lang w:val="en-US" w:eastAsia="zh-CN"/>
        </w:rPr>
        <w:t>下降0.00%</w:t>
      </w:r>
      <w:r>
        <w:rPr>
          <w:rFonts w:hint="eastAsia" w:ascii="仿宋_GB2312" w:hAnsi="仿宋_GB2312" w:eastAsia="仿宋_GB2312"/>
          <w:sz w:val="32"/>
          <w:highlight w:val="none"/>
        </w:rPr>
        <w:t>，主要原因是:无因公出国（境）计划，</w:t>
      </w:r>
      <w:r>
        <w:rPr>
          <w:rFonts w:hint="eastAsia" w:ascii="仿宋_GB2312" w:hAnsi="仿宋_GB2312" w:eastAsia="仿宋_GB2312"/>
          <w:sz w:val="32"/>
          <w:highlight w:val="none"/>
          <w:lang w:val="en-US" w:eastAsia="zh-CN"/>
        </w:rPr>
        <w:t>无此项目预算安排</w:t>
      </w:r>
      <w:r>
        <w:rPr>
          <w:rFonts w:hint="eastAsia" w:ascii="仿宋_GB2312" w:hAnsi="仿宋_GB2312" w:eastAsia="仿宋_GB2312"/>
          <w:sz w:val="32"/>
          <w:highlight w:val="none"/>
        </w:rPr>
        <w:t>。</w:t>
      </w:r>
    </w:p>
    <w:p>
      <w:pPr>
        <w:spacing w:line="555" w:lineRule="exact"/>
        <w:ind w:firstLine="320" w:firstLineChars="100"/>
        <w:jc w:val="both"/>
        <w:rPr>
          <w:rFonts w:hint="default" w:ascii="仿宋_GB2312" w:hAnsi="仿宋_GB2312" w:eastAsia="仿宋_GB2312"/>
          <w:sz w:val="32"/>
          <w:highlight w:val="none"/>
        </w:rPr>
      </w:pPr>
      <w:r>
        <w:rPr>
          <w:rFonts w:hint="eastAsia" w:ascii="楷体" w:hAnsi="楷体" w:eastAsia="楷体"/>
          <w:sz w:val="32"/>
          <w:highlight w:val="none"/>
        </w:rPr>
        <w:t>（二）公务接待费</w:t>
      </w:r>
    </w:p>
    <w:p>
      <w:pPr>
        <w:spacing w:line="555" w:lineRule="exact"/>
        <w:jc w:val="both"/>
        <w:rPr>
          <w:rFonts w:hint="eastAsia" w:ascii="仿宋_GB2312" w:hAnsi="仿宋_GB2312" w:eastAsia="仿宋_GB2312"/>
          <w:sz w:val="32"/>
          <w:highlight w:val="none"/>
          <w:lang w:val="en-US" w:eastAsia="zh-CN"/>
        </w:rPr>
      </w:pPr>
      <w:r>
        <w:rPr>
          <w:rFonts w:hint="eastAsia" w:ascii="仿宋_GB2312" w:hAnsi="仿宋_GB2312" w:eastAsia="仿宋_GB2312"/>
          <w:sz w:val="32"/>
          <w:highlight w:val="none"/>
        </w:rPr>
        <w:t>　　2026年预算安排0.00万元。与上年预算相比</w:t>
      </w:r>
      <w:r>
        <w:rPr>
          <w:rFonts w:hint="eastAsia" w:ascii="仿宋_GB2312" w:hAnsi="仿宋_GB2312" w:eastAsia="仿宋_GB2312"/>
          <w:sz w:val="32"/>
          <w:highlight w:val="none"/>
          <w:lang w:val="en-US" w:eastAsia="zh-CN"/>
        </w:rPr>
        <w:t>下降0.00%</w:t>
      </w:r>
      <w:r>
        <w:rPr>
          <w:rFonts w:hint="eastAsia" w:ascii="仿宋_GB2312" w:hAnsi="仿宋_GB2312" w:eastAsia="仿宋_GB2312"/>
          <w:sz w:val="32"/>
          <w:highlight w:val="none"/>
        </w:rPr>
        <w:t>，主要原因是:无公务接待计划，</w:t>
      </w:r>
      <w:r>
        <w:rPr>
          <w:rFonts w:hint="eastAsia" w:ascii="仿宋_GB2312" w:hAnsi="仿宋_GB2312" w:eastAsia="仿宋_GB2312"/>
          <w:sz w:val="32"/>
          <w:highlight w:val="none"/>
          <w:lang w:val="en-US" w:eastAsia="zh-CN"/>
        </w:rPr>
        <w:t>无此项目预算安排</w:t>
      </w:r>
      <w:r>
        <w:rPr>
          <w:rFonts w:hint="eastAsia" w:ascii="仿宋_GB2312" w:hAnsi="仿宋_GB2312" w:eastAsia="仿宋_GB2312"/>
          <w:sz w:val="32"/>
          <w:highlight w:val="none"/>
        </w:rPr>
        <w:t>。</w:t>
      </w:r>
    </w:p>
    <w:p>
      <w:pPr>
        <w:spacing w:line="555" w:lineRule="exact"/>
        <w:ind w:firstLine="320" w:firstLineChars="100"/>
        <w:jc w:val="both"/>
        <w:rPr>
          <w:rFonts w:hint="default" w:ascii="仿宋_GB2312" w:hAnsi="仿宋_GB2312" w:eastAsia="仿宋_GB2312"/>
          <w:sz w:val="32"/>
          <w:highlight w:val="none"/>
        </w:rPr>
      </w:pPr>
      <w:r>
        <w:rPr>
          <w:rFonts w:hint="eastAsia" w:ascii="楷体" w:hAnsi="楷体" w:eastAsia="楷体"/>
          <w:sz w:val="32"/>
          <w:highlight w:val="none"/>
        </w:rPr>
        <w:t>（三）公务用车购置及运行费</w:t>
      </w:r>
    </w:p>
    <w:p>
      <w:pPr>
        <w:spacing w:line="555" w:lineRule="exact"/>
        <w:ind w:firstLine="640" w:firstLineChars="200"/>
        <w:jc w:val="both"/>
        <w:rPr>
          <w:rFonts w:hint="eastAsia" w:ascii="仿宋_GB2312" w:hAnsi="仿宋_GB2312" w:eastAsia="仿宋_GB2312"/>
          <w:sz w:val="32"/>
          <w:highlight w:val="none"/>
          <w:lang w:eastAsia="zh-CN"/>
        </w:rPr>
      </w:pPr>
      <w:r>
        <w:rPr>
          <w:rFonts w:hint="eastAsia" w:ascii="仿宋_GB2312" w:hAnsi="仿宋_GB2312" w:eastAsia="仿宋_GB2312"/>
          <w:sz w:val="32"/>
          <w:highlight w:val="none"/>
        </w:rPr>
        <w:t>2026年预算安排0.00万元，其中：公务用车运行费0.00万元，公务用车购置费0.00万元。与上年预算相比</w:t>
      </w:r>
      <w:r>
        <w:rPr>
          <w:rFonts w:hint="eastAsia" w:ascii="仿宋_GB2312" w:hAnsi="仿宋_GB2312" w:eastAsia="仿宋_GB2312"/>
          <w:sz w:val="32"/>
          <w:highlight w:val="none"/>
          <w:lang w:val="en-US" w:eastAsia="zh-CN"/>
        </w:rPr>
        <w:t>下降0.00%</w:t>
      </w:r>
      <w:r>
        <w:rPr>
          <w:rFonts w:hint="eastAsia" w:ascii="仿宋_GB2312" w:hAnsi="仿宋_GB2312" w:eastAsia="仿宋_GB2312"/>
          <w:sz w:val="32"/>
          <w:highlight w:val="none"/>
        </w:rPr>
        <w:t>，主要原因是:</w:t>
      </w:r>
      <w:r>
        <w:rPr>
          <w:rFonts w:hint="eastAsia" w:ascii="仿宋_GB2312" w:hAnsi="华文仿宋" w:eastAsia="仿宋_GB2312"/>
          <w:color w:val="auto"/>
          <w:sz w:val="32"/>
          <w:highlight w:val="none"/>
        </w:rPr>
        <w:t>无公务用车购置及运行</w:t>
      </w:r>
      <w:r>
        <w:rPr>
          <w:rFonts w:hint="eastAsia" w:ascii="仿宋_GB2312" w:hAnsi="华文仿宋" w:eastAsia="仿宋_GB2312"/>
          <w:color w:val="auto"/>
          <w:sz w:val="32"/>
          <w:highlight w:val="none"/>
          <w:lang w:eastAsia="zh-CN"/>
        </w:rPr>
        <w:t>费支出计划</w:t>
      </w:r>
      <w:r>
        <w:rPr>
          <w:rFonts w:hint="eastAsia" w:ascii="仿宋_GB2312" w:hAnsi="华文仿宋" w:eastAsia="仿宋_GB2312"/>
          <w:color w:val="auto"/>
          <w:sz w:val="32"/>
          <w:highlight w:val="none"/>
        </w:rPr>
        <w:t>，</w:t>
      </w:r>
      <w:r>
        <w:rPr>
          <w:rFonts w:hint="eastAsia" w:ascii="仿宋_GB2312" w:hAnsi="仿宋_GB2312" w:eastAsia="仿宋_GB2312"/>
          <w:sz w:val="32"/>
          <w:highlight w:val="none"/>
          <w:lang w:val="en-US" w:eastAsia="zh-CN"/>
        </w:rPr>
        <w:t>无此项目预算安排</w:t>
      </w:r>
      <w:r>
        <w:rPr>
          <w:rFonts w:hint="eastAsia" w:ascii="仿宋_GB2312" w:hAnsi="仿宋_GB2312" w:eastAsia="仿宋_GB2312"/>
          <w:sz w:val="32"/>
          <w:highlight w:val="none"/>
          <w:lang w:eastAsia="zh-CN"/>
        </w:rPr>
        <w:t>。</w:t>
      </w:r>
    </w:p>
    <w:p>
      <w:pPr>
        <w:spacing w:line="555" w:lineRule="exact"/>
        <w:ind w:firstLine="640" w:firstLineChars="200"/>
        <w:jc w:val="both"/>
        <w:rPr>
          <w:rFonts w:hint="default" w:ascii="华文仿宋" w:hAnsi="华文仿宋" w:eastAsia="华文仿宋"/>
          <w:sz w:val="32"/>
          <w:highlight w:val="none"/>
        </w:rPr>
      </w:pPr>
      <w:r>
        <w:rPr>
          <w:rFonts w:hint="eastAsia" w:ascii="黑体" w:hAnsi="黑体" w:eastAsia="黑体"/>
          <w:sz w:val="32"/>
          <w:highlight w:val="none"/>
        </w:rPr>
        <w:t>五、其他重要事项的情况说明</w:t>
      </w:r>
    </w:p>
    <w:p>
      <w:pPr>
        <w:spacing w:line="555" w:lineRule="exact"/>
        <w:ind w:firstLine="640" w:firstLineChars="200"/>
        <w:jc w:val="both"/>
        <w:rPr>
          <w:rFonts w:hint="eastAsia" w:ascii="仿宋_GB2312" w:hAnsi="仿宋_GB2312" w:eastAsia="仿宋_GB2312"/>
          <w:sz w:val="32"/>
          <w:highlight w:val="none"/>
        </w:rPr>
      </w:pPr>
      <w:r>
        <w:rPr>
          <w:rFonts w:hint="eastAsia" w:ascii="楷体" w:hAnsi="楷体" w:eastAsia="楷体"/>
          <w:sz w:val="32"/>
          <w:highlight w:val="none"/>
        </w:rPr>
        <w:t>（一）机关运行经费</w:t>
      </w:r>
    </w:p>
    <w:p>
      <w:pPr>
        <w:spacing w:line="555" w:lineRule="exact"/>
        <w:jc w:val="both"/>
        <w:rPr>
          <w:rFonts w:hint="eastAsia" w:ascii="仿宋_GB2312" w:hAnsi="华文仿宋" w:eastAsia="仿宋_GB2312"/>
          <w:color w:val="auto"/>
          <w:sz w:val="32"/>
          <w:highlight w:val="none"/>
        </w:rPr>
      </w:pPr>
      <w:r>
        <w:rPr>
          <w:rFonts w:hint="eastAsia" w:ascii="仿宋_GB2312" w:hAnsi="仿宋_GB2312" w:eastAsia="仿宋_GB2312"/>
          <w:sz w:val="32"/>
          <w:highlight w:val="none"/>
        </w:rPr>
        <w:t>　　2026年厦门市禾盛幼儿园的机关运行经费财政拨款预算</w:t>
      </w:r>
      <w:r>
        <w:rPr>
          <w:rFonts w:hint="eastAsia" w:ascii="仿宋_GB2312" w:hAnsi="仿宋_GB2312" w:eastAsia="仿宋_GB2312"/>
          <w:sz w:val="32"/>
          <w:highlight w:val="none"/>
          <w:lang w:val="en-US" w:eastAsia="zh-CN"/>
        </w:rPr>
        <w:t>0.00</w:t>
      </w:r>
      <w:r>
        <w:rPr>
          <w:rFonts w:hint="eastAsia" w:ascii="仿宋_GB2312" w:hAnsi="仿宋_GB2312" w:eastAsia="仿宋_GB2312"/>
          <w:sz w:val="32"/>
          <w:highlight w:val="none"/>
        </w:rPr>
        <w:t>万元，比2025年预算减少</w:t>
      </w:r>
      <w:r>
        <w:rPr>
          <w:rFonts w:hint="eastAsia" w:ascii="仿宋_GB2312" w:hAnsi="仿宋_GB2312" w:eastAsia="仿宋_GB2312"/>
          <w:sz w:val="32"/>
          <w:highlight w:val="none"/>
          <w:lang w:val="en-US" w:eastAsia="zh-CN"/>
        </w:rPr>
        <w:t>0.00</w:t>
      </w:r>
      <w:r>
        <w:rPr>
          <w:rFonts w:hint="eastAsia" w:ascii="仿宋_GB2312" w:hAnsi="仿宋_GB2312" w:eastAsia="仿宋_GB2312"/>
          <w:sz w:val="32"/>
          <w:highlight w:val="none"/>
        </w:rPr>
        <w:t>万元，下降</w:t>
      </w:r>
      <w:r>
        <w:rPr>
          <w:rFonts w:hint="eastAsia" w:ascii="仿宋_GB2312" w:hAnsi="仿宋_GB2312" w:eastAsia="仿宋_GB2312"/>
          <w:sz w:val="32"/>
          <w:highlight w:val="none"/>
          <w:lang w:val="en-US" w:eastAsia="zh-CN"/>
        </w:rPr>
        <w:t>0.00</w:t>
      </w:r>
      <w:r>
        <w:rPr>
          <w:rFonts w:hint="eastAsia" w:ascii="仿宋_GB2312" w:hAnsi="仿宋_GB2312" w:eastAsia="仿宋_GB2312"/>
          <w:sz w:val="32"/>
          <w:highlight w:val="none"/>
        </w:rPr>
        <w:t>%。</w:t>
      </w:r>
      <w:r>
        <w:rPr>
          <w:rFonts w:hint="eastAsia" w:ascii="仿宋_GB2312" w:hAnsi="仿宋_GB2312" w:eastAsia="仿宋_GB2312"/>
          <w:sz w:val="32"/>
          <w:lang w:eastAsia="zh-CN"/>
        </w:rPr>
        <w:t>主要原因</w:t>
      </w:r>
      <w:r>
        <w:rPr>
          <w:rFonts w:hint="eastAsia" w:ascii="仿宋_GB2312" w:hAnsi="仿宋_GB2312" w:eastAsia="仿宋_GB2312"/>
          <w:sz w:val="32"/>
        </w:rPr>
        <w:t>:本</w:t>
      </w:r>
      <w:r>
        <w:rPr>
          <w:rFonts w:hint="eastAsia" w:ascii="仿宋_GB2312" w:hAnsi="仿宋_GB2312" w:eastAsia="仿宋_GB2312"/>
          <w:sz w:val="32"/>
          <w:lang w:eastAsia="zh-CN"/>
        </w:rPr>
        <w:t>单位</w:t>
      </w:r>
      <w:r>
        <w:rPr>
          <w:rFonts w:hint="eastAsia" w:ascii="仿宋" w:hAnsi="仿宋" w:eastAsia="仿宋"/>
          <w:color w:val="auto"/>
          <w:sz w:val="32"/>
        </w:rPr>
        <w:t>为事业单位，</w:t>
      </w:r>
      <w:r>
        <w:rPr>
          <w:rFonts w:hint="eastAsia" w:ascii="仿宋" w:hAnsi="仿宋" w:eastAsia="仿宋"/>
          <w:color w:val="auto"/>
          <w:sz w:val="32"/>
          <w:lang w:val="en-US" w:eastAsia="zh-CN"/>
        </w:rPr>
        <w:t>2026年</w:t>
      </w:r>
      <w:r>
        <w:rPr>
          <w:rFonts w:hint="eastAsia" w:ascii="仿宋" w:hAnsi="仿宋" w:eastAsia="仿宋"/>
          <w:color w:val="auto"/>
          <w:sz w:val="32"/>
        </w:rPr>
        <w:t>没有机关运行经费</w:t>
      </w:r>
      <w:r>
        <w:rPr>
          <w:rFonts w:hint="eastAsia" w:ascii="仿宋" w:hAnsi="仿宋" w:eastAsia="仿宋"/>
          <w:color w:val="auto"/>
          <w:sz w:val="32"/>
          <w:lang w:eastAsia="zh-CN"/>
        </w:rPr>
        <w:t>预算</w:t>
      </w:r>
      <w:r>
        <w:rPr>
          <w:rFonts w:hint="eastAsia" w:ascii="仿宋_GB2312" w:hAnsi="华文仿宋" w:eastAsia="仿宋_GB2312"/>
          <w:color w:val="auto"/>
          <w:sz w:val="32"/>
          <w:highlight w:val="none"/>
        </w:rPr>
        <w:t>。</w:t>
      </w:r>
    </w:p>
    <w:p>
      <w:pPr>
        <w:spacing w:line="555" w:lineRule="exact"/>
        <w:jc w:val="both"/>
        <w:rPr>
          <w:rFonts w:hint="eastAsia" w:ascii="仿宋_GB2312" w:hAnsi="仿宋_GB2312" w:eastAsia="仿宋_GB2312"/>
          <w:sz w:val="32"/>
          <w:highlight w:val="none"/>
        </w:rPr>
      </w:pPr>
      <w:r>
        <w:rPr>
          <w:rFonts w:hint="default" w:ascii="华文仿宋" w:hAnsi="华文仿宋" w:eastAsia="华文仿宋"/>
          <w:sz w:val="32"/>
          <w:highlight w:val="none"/>
        </w:rPr>
        <w:t>　</w:t>
      </w:r>
      <w:r>
        <w:rPr>
          <w:rFonts w:hint="eastAsia" w:ascii="楷体" w:hAnsi="楷体" w:eastAsia="楷体"/>
          <w:sz w:val="32"/>
          <w:highlight w:val="none"/>
        </w:rPr>
        <w:t>（二）政府采购情况</w:t>
      </w:r>
    </w:p>
    <w:p>
      <w:pPr>
        <w:spacing w:line="555" w:lineRule="exact"/>
        <w:ind w:firstLine="640"/>
        <w:jc w:val="both"/>
        <w:rPr>
          <w:rFonts w:hint="default"/>
          <w:sz w:val="24"/>
          <w:highlight w:val="none"/>
        </w:rPr>
      </w:pPr>
      <w:r>
        <w:rPr>
          <w:rFonts w:hint="eastAsia" w:ascii="仿宋_GB2312" w:hAnsi="仿宋_GB2312" w:eastAsia="仿宋_GB2312"/>
          <w:sz w:val="32"/>
          <w:highlight w:val="none"/>
        </w:rPr>
        <w:t>2026年厦门市禾盛幼儿园政府采购预算总额0.00万元，其中：政府采购货物预算0.00万元，政府采购工程预算0.00万元，政府采购服务预算0.00万元。</w:t>
      </w:r>
      <w:r>
        <w:rPr>
          <w:rFonts w:hint="eastAsia" w:ascii="仿宋_GB2312" w:hAnsi="仿宋_GB2312" w:eastAsia="仿宋_GB2312"/>
          <w:sz w:val="32"/>
          <w:highlight w:val="none"/>
          <w:lang w:val="en-US" w:eastAsia="zh-CN"/>
        </w:rPr>
        <w:t>主要原因是：</w:t>
      </w:r>
      <w:r>
        <w:rPr>
          <w:rFonts w:hint="eastAsia" w:ascii="仿宋_GB2312" w:hAnsi="仿宋_GB2312" w:eastAsia="仿宋_GB2312"/>
          <w:sz w:val="32"/>
          <w:highlight w:val="none"/>
        </w:rPr>
        <w:t>202</w:t>
      </w:r>
      <w:r>
        <w:rPr>
          <w:rFonts w:hint="eastAsia" w:ascii="仿宋_GB2312" w:hAnsi="仿宋_GB2312" w:eastAsia="仿宋_GB2312"/>
          <w:sz w:val="32"/>
          <w:highlight w:val="none"/>
          <w:lang w:val="en-US" w:eastAsia="zh-CN"/>
        </w:rPr>
        <w:t>6</w:t>
      </w:r>
      <w:r>
        <w:rPr>
          <w:rFonts w:hint="eastAsia" w:ascii="仿宋_GB2312" w:hAnsi="仿宋_GB2312" w:eastAsia="仿宋_GB2312"/>
          <w:sz w:val="32"/>
          <w:highlight w:val="none"/>
        </w:rPr>
        <w:t>年度没有此项经费预算</w:t>
      </w:r>
      <w:r>
        <w:rPr>
          <w:rFonts w:hint="eastAsia" w:ascii="仿宋_GB2312" w:hAnsi="仿宋_GB2312" w:eastAsia="仿宋_GB2312"/>
          <w:sz w:val="32"/>
          <w:highlight w:val="none"/>
          <w:lang w:eastAsia="zh-CN"/>
        </w:rPr>
        <w:t>安排</w:t>
      </w:r>
      <w:r>
        <w:rPr>
          <w:rFonts w:hint="eastAsia" w:ascii="仿宋_GB2312" w:hAnsi="仿宋_GB2312" w:eastAsia="仿宋_GB2312"/>
          <w:sz w:val="32"/>
          <w:highlight w:val="none"/>
        </w:rPr>
        <w:t>。</w:t>
      </w:r>
    </w:p>
    <w:p>
      <w:pPr>
        <w:spacing w:line="555" w:lineRule="exact"/>
        <w:jc w:val="both"/>
        <w:rPr>
          <w:rFonts w:hint="eastAsia" w:ascii="仿宋_GB2312" w:hAnsi="仿宋_GB2312" w:eastAsia="仿宋_GB2312"/>
          <w:sz w:val="32"/>
          <w:highlight w:val="none"/>
        </w:rPr>
      </w:pPr>
      <w:r>
        <w:rPr>
          <w:rFonts w:hint="eastAsia" w:ascii="Dialog" w:hAnsi="Dialog" w:eastAsia="仿宋_GB2312"/>
          <w:sz w:val="32"/>
          <w:highlight w:val="none"/>
        </w:rPr>
        <w:t>　　</w:t>
      </w:r>
      <w:r>
        <w:rPr>
          <w:rFonts w:hint="eastAsia" w:ascii="楷体" w:hAnsi="楷体" w:eastAsia="楷体"/>
          <w:sz w:val="32"/>
          <w:highlight w:val="none"/>
        </w:rPr>
        <w:t>（三）国有资产占有使用情况</w:t>
      </w:r>
    </w:p>
    <w:p>
      <w:pPr>
        <w:spacing w:line="555" w:lineRule="exact"/>
        <w:ind w:firstLine="640"/>
        <w:jc w:val="both"/>
        <w:rPr>
          <w:rFonts w:hint="eastAsia" w:ascii="楷体_GB2312" w:hAnsi="楷体_GB2312" w:eastAsia="楷体_GB2312"/>
          <w:sz w:val="32"/>
          <w:highlight w:val="none"/>
        </w:rPr>
      </w:pPr>
      <w:r>
        <w:rPr>
          <w:rFonts w:hint="eastAsia" w:ascii="仿宋_GB2312" w:hAnsi="仿宋_GB2312" w:eastAsia="仿宋_GB2312"/>
          <w:sz w:val="32"/>
          <w:highlight w:val="none"/>
        </w:rPr>
        <w:t>截至2025年12月31日，厦门市禾盛幼儿园所属各预算单位共有车辆</w:t>
      </w:r>
      <w:r>
        <w:rPr>
          <w:rFonts w:hint="eastAsia" w:ascii="仿宋_GB2312" w:hAnsi="仿宋_GB2312" w:eastAsia="仿宋_GB2312"/>
          <w:sz w:val="32"/>
          <w:highlight w:val="none"/>
          <w:lang w:val="en-US" w:eastAsia="zh-CN"/>
        </w:rPr>
        <w:t>0</w:t>
      </w:r>
      <w:r>
        <w:rPr>
          <w:rFonts w:hint="eastAsia" w:ascii="仿宋_GB2312" w:hAnsi="仿宋_GB2312" w:eastAsia="仿宋_GB2312"/>
          <w:sz w:val="32"/>
          <w:highlight w:val="none"/>
        </w:rPr>
        <w:t>辆，单位价值100万元以上设备</w:t>
      </w:r>
      <w:r>
        <w:rPr>
          <w:rFonts w:hint="eastAsia" w:ascii="仿宋_GB2312" w:hAnsi="仿宋_GB2312" w:eastAsia="仿宋_GB2312"/>
          <w:sz w:val="32"/>
          <w:highlight w:val="none"/>
          <w:lang w:val="en-US" w:eastAsia="zh-CN"/>
        </w:rPr>
        <w:t>0</w:t>
      </w:r>
      <w:r>
        <w:rPr>
          <w:rFonts w:hint="eastAsia" w:ascii="仿宋_GB2312" w:hAnsi="仿宋_GB2312" w:eastAsia="仿宋_GB2312"/>
          <w:sz w:val="32"/>
          <w:highlight w:val="none"/>
        </w:rPr>
        <w:t>台（套）。</w:t>
      </w:r>
      <w:r>
        <w:rPr>
          <w:rFonts w:hint="eastAsia" w:ascii="仿宋_GB2312" w:hAnsi="仿宋_GB2312" w:eastAsia="仿宋_GB2312"/>
          <w:sz w:val="32"/>
          <w:highlight w:val="none"/>
          <w:lang w:val="en-US" w:eastAsia="zh-CN"/>
        </w:rPr>
        <w:t>主要原因是：</w:t>
      </w:r>
      <w:r>
        <w:rPr>
          <w:rFonts w:hint="eastAsia" w:ascii="仿宋_GB2312" w:hAnsi="仿宋_GB2312" w:eastAsia="仿宋_GB2312"/>
          <w:sz w:val="32"/>
          <w:lang w:eastAsia="zh-CN"/>
        </w:rPr>
        <w:t>本单位没有国有资产占有使用情况</w:t>
      </w:r>
      <w:r>
        <w:rPr>
          <w:rFonts w:hint="eastAsia" w:ascii="仿宋_GB2312" w:hAnsi="华文仿宋" w:eastAsia="仿宋_GB2312"/>
          <w:color w:val="auto"/>
          <w:sz w:val="32"/>
          <w:highlight w:val="none"/>
        </w:rPr>
        <w:t>。</w:t>
      </w:r>
    </w:p>
    <w:p>
      <w:pPr>
        <w:spacing w:line="555" w:lineRule="exact"/>
        <w:jc w:val="both"/>
        <w:rPr>
          <w:rFonts w:hint="eastAsia" w:ascii="仿宋_GB2312" w:hAnsi="仿宋_GB2312" w:eastAsia="仿宋_GB2312"/>
          <w:sz w:val="32"/>
          <w:highlight w:val="none"/>
        </w:rPr>
      </w:pPr>
      <w:r>
        <w:rPr>
          <w:rFonts w:hint="eastAsia" w:ascii="Dialog" w:hAnsi="Dialog" w:eastAsia="仿宋_GB2312"/>
          <w:sz w:val="32"/>
          <w:highlight w:val="none"/>
        </w:rPr>
        <w:t>　　</w:t>
      </w:r>
      <w:r>
        <w:rPr>
          <w:rFonts w:hint="eastAsia" w:ascii="楷体" w:hAnsi="楷体" w:eastAsia="楷体"/>
          <w:sz w:val="32"/>
          <w:highlight w:val="none"/>
        </w:rPr>
        <w:t>（四）绩效目标设置情况</w:t>
      </w:r>
    </w:p>
    <w:p>
      <w:pPr>
        <w:spacing w:line="580" w:lineRule="exact"/>
        <w:ind w:firstLine="660"/>
        <w:jc w:val="both"/>
        <w:rPr>
          <w:rFonts w:hint="eastAsia" w:ascii="仿宋_GB2312" w:hAnsi="仿宋_GB2312" w:eastAsia="仿宋_GB2312"/>
          <w:sz w:val="32"/>
          <w:highlight w:val="none"/>
        </w:rPr>
      </w:pPr>
      <w:r>
        <w:rPr>
          <w:rFonts w:hint="eastAsia" w:ascii="仿宋_GB2312" w:hAnsi="仿宋_GB2312" w:eastAsia="仿宋_GB2312"/>
          <w:sz w:val="32"/>
          <w:highlight w:val="none"/>
        </w:rPr>
        <w:t>厦门市禾盛幼儿园2026年实行绩效目标管理的二级项目0个，涉及一般公共预算拨款0.00万元、政府性基金预算拨款0.00万元。</w:t>
      </w:r>
      <w:r>
        <w:rPr>
          <w:rFonts w:hint="eastAsia" w:ascii="仿宋_GB2312" w:hAnsi="华文仿宋" w:eastAsia="仿宋_GB2312"/>
          <w:color w:val="auto"/>
          <w:sz w:val="32"/>
          <w:highlight w:val="none"/>
        </w:rPr>
        <w:t>主要原因</w:t>
      </w:r>
      <w:r>
        <w:rPr>
          <w:rFonts w:hint="eastAsia" w:ascii="仿宋_GB2312" w:hAnsi="华文仿宋" w:eastAsia="仿宋_GB2312"/>
          <w:color w:val="auto"/>
          <w:sz w:val="32"/>
          <w:highlight w:val="none"/>
          <w:lang w:val="en-US" w:eastAsia="zh-CN"/>
        </w:rPr>
        <w:t>是</w:t>
      </w:r>
      <w:r>
        <w:rPr>
          <w:rFonts w:hint="eastAsia" w:ascii="仿宋_GB2312" w:hAnsi="华文仿宋" w:eastAsia="仿宋_GB2312"/>
          <w:color w:val="auto"/>
          <w:sz w:val="32"/>
          <w:highlight w:val="none"/>
        </w:rPr>
        <w:t>：</w:t>
      </w:r>
      <w:r>
        <w:rPr>
          <w:rFonts w:hint="eastAsia" w:ascii="FangSong_GB2312" w:hAnsi="FangSong_GB2312" w:eastAsia="FangSong_GB2312"/>
          <w:color w:val="auto"/>
          <w:sz w:val="32"/>
          <w:lang w:eastAsia="zh-CN"/>
        </w:rPr>
        <w:t>本单位</w:t>
      </w:r>
      <w:r>
        <w:rPr>
          <w:rFonts w:hint="eastAsia" w:ascii="仿宋_GB2312" w:hAnsi="仿宋_GB2312" w:eastAsia="仿宋_GB2312"/>
          <w:color w:val="auto"/>
          <w:sz w:val="32"/>
          <w:lang w:val="en-US" w:eastAsia="zh-CN"/>
        </w:rPr>
        <w:t>2026年</w:t>
      </w:r>
      <w:r>
        <w:rPr>
          <w:rFonts w:hint="eastAsia" w:ascii="FangSong_GB2312" w:hAnsi="FangSong_GB2312" w:eastAsia="FangSong_GB2312"/>
          <w:color w:val="auto"/>
          <w:sz w:val="32"/>
          <w:lang w:eastAsia="zh-CN"/>
        </w:rPr>
        <w:t>没有项目预算安排</w:t>
      </w:r>
      <w:r>
        <w:rPr>
          <w:rFonts w:hint="eastAsia" w:ascii="仿宋_GB2312" w:hAnsi="仿宋_GB2312" w:eastAsia="仿宋_GB2312"/>
          <w:color w:val="auto"/>
          <w:sz w:val="32"/>
          <w:highlight w:val="none"/>
        </w:rPr>
        <w:t>。</w:t>
      </w:r>
    </w:p>
    <w:p>
      <w:pPr>
        <w:spacing w:line="555" w:lineRule="exact"/>
        <w:ind w:firstLine="2240" w:firstLineChars="700"/>
        <w:jc w:val="both"/>
        <w:rPr>
          <w:rFonts w:hint="eastAsia" w:ascii="黑体" w:hAnsi="黑体" w:eastAsia="黑体"/>
          <w:sz w:val="32"/>
          <w:highlight w:val="none"/>
        </w:rPr>
      </w:pPr>
    </w:p>
    <w:p>
      <w:pPr>
        <w:spacing w:line="555" w:lineRule="exact"/>
        <w:jc w:val="center"/>
        <w:rPr>
          <w:rFonts w:hint="eastAsia" w:ascii="仿宋_GB2312" w:hAnsi="仿宋_GB2312" w:eastAsia="仿宋_GB2312"/>
          <w:sz w:val="32"/>
          <w:highlight w:val="none"/>
        </w:rPr>
      </w:pPr>
      <w:r>
        <w:rPr>
          <w:rFonts w:hint="eastAsia" w:ascii="黑体" w:hAnsi="黑体" w:eastAsia="黑体"/>
          <w:sz w:val="32"/>
          <w:highlight w:val="none"/>
        </w:rPr>
        <w:t>第三部分  名词解释</w:t>
      </w:r>
    </w:p>
    <w:p>
      <w:pPr>
        <w:spacing w:line="555" w:lineRule="exact"/>
        <w:ind w:firstLine="640" w:firstLineChars="200"/>
        <w:jc w:val="both"/>
        <w:rPr>
          <w:rFonts w:hint="eastAsia" w:ascii="楷体_GB2312" w:hAnsi="楷体_GB2312" w:eastAsia="楷体_GB2312"/>
          <w:sz w:val="32"/>
          <w:highlight w:val="none"/>
        </w:rPr>
      </w:pPr>
      <w:r>
        <w:rPr>
          <w:rFonts w:hint="eastAsia" w:ascii="楷体_GB2312" w:hAnsi="楷体_GB2312" w:eastAsia="楷体_GB2312"/>
          <w:sz w:val="32"/>
          <w:highlight w:val="none"/>
        </w:rPr>
        <w:t>一、基本支出</w:t>
      </w:r>
      <w:r>
        <w:rPr>
          <w:rFonts w:hint="eastAsia" w:ascii="楷体" w:hAnsi="楷体" w:eastAsia="楷体"/>
          <w:sz w:val="32"/>
          <w:highlight w:val="none"/>
        </w:rPr>
        <w:t>：</w:t>
      </w:r>
      <w:r>
        <w:rPr>
          <w:rFonts w:hint="eastAsia" w:ascii="仿宋_GB2312" w:hAnsi="仿宋_GB2312" w:eastAsia="仿宋_GB2312"/>
          <w:sz w:val="32"/>
          <w:highlight w:val="none"/>
        </w:rPr>
        <w:t>指为保障机构正常运转、完成日常工作任务而发生的人员支出、对个人和家庭的补助支出和公用支出。</w:t>
      </w:r>
    </w:p>
    <w:p>
      <w:pPr>
        <w:spacing w:line="555" w:lineRule="exact"/>
        <w:jc w:val="both"/>
        <w:rPr>
          <w:rFonts w:hint="eastAsia" w:ascii="楷体_GB2312" w:hAnsi="楷体_GB2312" w:eastAsia="楷体_GB2312"/>
          <w:sz w:val="32"/>
          <w:highlight w:val="none"/>
        </w:rPr>
      </w:pPr>
      <w:r>
        <w:rPr>
          <w:rFonts w:hint="eastAsia" w:ascii="楷体_GB2312" w:hAnsi="楷体_GB2312" w:eastAsia="楷体_GB2312"/>
          <w:sz w:val="32"/>
          <w:highlight w:val="none"/>
        </w:rPr>
        <w:t>　　二、项目支出：</w:t>
      </w:r>
      <w:r>
        <w:rPr>
          <w:rFonts w:hint="eastAsia" w:ascii="仿宋_GB2312" w:hAnsi="仿宋_GB2312" w:eastAsia="仿宋_GB2312"/>
          <w:sz w:val="32"/>
          <w:highlight w:val="none"/>
        </w:rPr>
        <w:t>指在基本支出之外为完成特定行政任务和事业发展目标所发生的支出，包括部门专项、发展经费和基建项目。</w:t>
      </w:r>
    </w:p>
    <w:p>
      <w:pPr>
        <w:spacing w:line="555" w:lineRule="exact"/>
        <w:jc w:val="both"/>
        <w:rPr>
          <w:rFonts w:hint="eastAsia" w:ascii="楷体_GB2312" w:hAnsi="楷体_GB2312" w:eastAsia="楷体_GB2312"/>
          <w:sz w:val="32"/>
          <w:highlight w:val="none"/>
        </w:rPr>
      </w:pPr>
      <w:r>
        <w:rPr>
          <w:rFonts w:hint="eastAsia" w:ascii="楷体_GB2312" w:hAnsi="楷体_GB2312" w:eastAsia="楷体_GB2312"/>
          <w:sz w:val="32"/>
          <w:highlight w:val="none"/>
        </w:rPr>
        <w:t>　　三、“三公”经费：</w:t>
      </w:r>
      <w:r>
        <w:rPr>
          <w:rFonts w:hint="eastAsia" w:ascii="仿宋_GB2312" w:hAnsi="仿宋_GB2312" w:eastAsia="仿宋_GB2312"/>
          <w:sz w:val="32"/>
          <w:highlight w:val="none"/>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line="555" w:lineRule="exact"/>
        <w:jc w:val="both"/>
        <w:rPr>
          <w:rFonts w:hint="eastAsia" w:ascii="楷体_GB2312" w:hAnsi="楷体_GB2312" w:eastAsia="楷体_GB2312"/>
          <w:sz w:val="32"/>
          <w:highlight w:val="none"/>
        </w:rPr>
      </w:pPr>
      <w:r>
        <w:rPr>
          <w:rFonts w:hint="eastAsia" w:ascii="楷体_GB2312" w:hAnsi="楷体_GB2312" w:eastAsia="楷体_GB2312"/>
          <w:sz w:val="32"/>
          <w:highlight w:val="none"/>
        </w:rPr>
        <w:t>　　四、机关运行经费：</w:t>
      </w:r>
      <w:r>
        <w:rPr>
          <w:rFonts w:hint="eastAsia" w:ascii="仿宋_GB2312" w:hAnsi="仿宋_GB2312" w:eastAsia="仿宋_GB2312"/>
          <w:sz w:val="32"/>
          <w:highlight w:val="none"/>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555" w:lineRule="exact"/>
        <w:jc w:val="both"/>
        <w:rPr>
          <w:rFonts w:hint="eastAsia" w:ascii="黑体" w:hAnsi="黑体" w:eastAsia="黑体"/>
          <w:sz w:val="32"/>
          <w:highlight w:val="none"/>
        </w:rPr>
      </w:pPr>
      <w:r>
        <w:rPr>
          <w:rFonts w:hint="eastAsia" w:ascii="楷体_GB2312" w:hAnsi="楷体_GB2312" w:eastAsia="楷体_GB2312"/>
          <w:sz w:val="32"/>
          <w:highlight w:val="none"/>
        </w:rPr>
        <w:t>　　五、其他名词解释。</w:t>
      </w:r>
      <w:r>
        <w:rPr>
          <w:rFonts w:hint="eastAsia" w:ascii="仿宋_GB2312" w:hAnsi="仿宋_GB2312" w:eastAsia="仿宋_GB2312"/>
          <w:sz w:val="32"/>
          <w:highlight w:val="none"/>
          <w:lang w:eastAsia="zh-CN"/>
        </w:rPr>
        <w:t>无</w:t>
      </w:r>
    </w:p>
    <w:p>
      <w:pPr>
        <w:spacing w:line="555" w:lineRule="exact"/>
        <w:ind w:left="20"/>
        <w:jc w:val="both"/>
        <w:rPr>
          <w:rFonts w:hint="eastAsia" w:ascii="黑体" w:hAnsi="黑体" w:eastAsia="黑体"/>
          <w:sz w:val="32"/>
          <w:highlight w:val="none"/>
        </w:rPr>
      </w:pPr>
    </w:p>
    <w:p>
      <w:pPr>
        <w:spacing w:line="555" w:lineRule="exact"/>
        <w:ind w:left="20"/>
        <w:jc w:val="center"/>
        <w:rPr>
          <w:rFonts w:hint="eastAsia" w:ascii="仿宋_GB2312" w:hAnsi="仿宋_GB2312" w:eastAsia="仿宋_GB2312"/>
          <w:sz w:val="32"/>
          <w:highlight w:val="none"/>
        </w:rPr>
      </w:pPr>
      <w:bookmarkStart w:id="0" w:name="_GoBack"/>
      <w:r>
        <w:rPr>
          <w:rFonts w:hint="eastAsia" w:ascii="黑体" w:hAnsi="黑体" w:eastAsia="黑体"/>
          <w:sz w:val="32"/>
          <w:highlight w:val="none"/>
        </w:rPr>
        <w:t>第四部分  2026年单位预算附表</w:t>
      </w:r>
    </w:p>
    <w:bookmarkEnd w:id="0"/>
    <w:p>
      <w:pPr>
        <w:spacing w:line="540"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一、部门收支预算总体情况表</w:t>
      </w:r>
    </w:p>
    <w:p>
      <w:pPr>
        <w:spacing w:line="540"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二、部门收入预算总体情况表</w:t>
      </w:r>
    </w:p>
    <w:p>
      <w:pPr>
        <w:spacing w:line="540"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三、部门支出预算总体情况表</w:t>
      </w:r>
    </w:p>
    <w:p>
      <w:pPr>
        <w:spacing w:line="540"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四、财政拨款收支预算总体情况表</w:t>
      </w:r>
    </w:p>
    <w:p>
      <w:pPr>
        <w:spacing w:line="540"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五、一般公共预算支出情况表</w:t>
      </w:r>
    </w:p>
    <w:p>
      <w:pPr>
        <w:spacing w:line="540"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六、一般公共预算基本支出情况表（经济分类款级科目）</w:t>
      </w:r>
    </w:p>
    <w:p>
      <w:pPr>
        <w:spacing w:line="540"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七、一般公共预算“三公”经费支出情况表</w:t>
      </w:r>
    </w:p>
    <w:p>
      <w:pPr>
        <w:spacing w:line="540" w:lineRule="exact"/>
        <w:jc w:val="both"/>
        <w:rPr>
          <w:rFonts w:hint="eastAsia" w:ascii="仿宋_GB2312" w:hAnsi="仿宋_GB2312" w:eastAsia="仿宋_GB2312"/>
          <w:sz w:val="32"/>
          <w:highlight w:val="none"/>
        </w:rPr>
      </w:pPr>
      <w:r>
        <w:rPr>
          <w:rFonts w:hint="eastAsia" w:ascii="仿宋_GB2312" w:hAnsi="仿宋_GB2312" w:eastAsia="仿宋_GB2312"/>
          <w:sz w:val="32"/>
          <w:highlight w:val="none"/>
        </w:rPr>
        <w:t>　　八、政府性基金预算支出情况表</w:t>
      </w:r>
    </w:p>
    <w:p>
      <w:pPr>
        <w:spacing w:line="540" w:lineRule="exact"/>
        <w:jc w:val="both"/>
        <w:rPr>
          <w:rFonts w:hint="eastAsia" w:ascii="仿宋" w:hAnsi="仿宋" w:eastAsia="仿宋"/>
          <w:sz w:val="32"/>
          <w:highlight w:val="none"/>
        </w:rPr>
      </w:pPr>
      <w:r>
        <w:rPr>
          <w:rFonts w:hint="eastAsia" w:ascii="仿宋_GB2312" w:hAnsi="仿宋_GB2312" w:eastAsia="仿宋_GB2312"/>
          <w:sz w:val="32"/>
          <w:highlight w:val="none"/>
        </w:rPr>
        <w:t>　　九、区对镇（街）转移支付项目支出预算表</w:t>
      </w:r>
    </w:p>
    <w:p>
      <w:pPr>
        <w:spacing w:line="540" w:lineRule="exact"/>
        <w:jc w:val="both"/>
        <w:rPr>
          <w:rFonts w:hint="default" w:ascii="仿宋_GB2312" w:hAnsi="仿宋_GB2312" w:eastAsia="仿宋_GB2312"/>
          <w:sz w:val="32"/>
          <w:highlight w:val="none"/>
        </w:rPr>
      </w:pPr>
      <w:r>
        <w:rPr>
          <w:rFonts w:hint="eastAsia" w:ascii="仿宋_GB2312" w:hAnsi="仿宋_GB2312" w:eastAsia="仿宋_GB2312"/>
          <w:sz w:val="32"/>
          <w:highlight w:val="none"/>
        </w:rPr>
        <w:t>　　</w:t>
      </w:r>
      <w:r>
        <w:rPr>
          <w:rFonts w:hint="eastAsia" w:ascii="仿宋_GB2312" w:hAnsi="仿宋_GB2312" w:eastAsia="仿宋_GB2312"/>
          <w:sz w:val="32"/>
          <w:highlight w:val="none"/>
          <w:lang w:val="en-US" w:eastAsia="zh-CN"/>
        </w:rPr>
        <w:t>十、二级项目绩效目标表</w:t>
      </w:r>
    </w:p>
    <w:sectPr>
      <w:footerReference r:id="rId3" w:type="default"/>
      <w:pgSz w:w="11905" w:h="16837"/>
      <w:pgMar w:top="1388" w:right="1559" w:bottom="1388" w:left="1559"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altName w:val="黑体"/>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楷体">
    <w:panose1 w:val="02010609060101010101"/>
    <w:charset w:val="86"/>
    <w:family w:val="roman"/>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Dialog">
    <w:altName w:val="Times New Roman"/>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roma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FangSong_GB2312">
    <w:altName w:val="仿宋"/>
    <w:panose1 w:val="00000000000000000000"/>
    <w:charset w:val="86"/>
    <w:family w:val="roma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163" w:type="dxa"/>
          <w:tcBorders>
            <w:top w:val="nil"/>
            <w:left w:val="nil"/>
            <w:bottom w:val="nil"/>
            <w:right w:val="nil"/>
            <w:tl2br w:val="nil"/>
            <w:tr2bl w:val="nil"/>
          </w:tcBorders>
          <w:shd w:val="clear" w:color="auto" w:fill="FFFFFF"/>
          <w:noWrap w:val="0"/>
          <w:vAlign w:val="top"/>
        </w:tcPr>
        <w:p>
          <w:pPr>
            <w:rPr>
              <w:rFonts w:hint="default"/>
              <w:sz w:val="24"/>
            </w:rPr>
          </w:pPr>
        </w:p>
      </w:tc>
      <w:tc>
        <w:tcPr>
          <w:tcW w:w="3163" w:type="dxa"/>
          <w:tcBorders>
            <w:top w:val="nil"/>
            <w:left w:val="nil"/>
            <w:bottom w:val="nil"/>
            <w:right w:val="nil"/>
            <w:tl2br w:val="nil"/>
            <w:tr2bl w:val="nil"/>
          </w:tcBorders>
          <w:shd w:val="clear" w:color="auto" w:fill="FFFFFF"/>
          <w:noWrap w:val="0"/>
          <w:vAlign w:val="top"/>
        </w:tcPr>
        <w:p>
          <w:pPr>
            <w:spacing w:line="320" w:lineRule="atLeast"/>
            <w:jc w:val="center"/>
            <w:rPr>
              <w:rFonts w:hint="eastAsia" w:ascii="宋体" w:hAnsi="宋体"/>
              <w:sz w:val="18"/>
            </w:rPr>
          </w:pPr>
          <w:r>
            <w:rPr>
              <w:rFonts w:hint="eastAsia" w:ascii="宋体" w:hAnsi="宋体"/>
              <w:sz w:val="18"/>
            </w:rPr>
            <w:fldChar w:fldCharType="begin"/>
          </w:r>
          <w:r>
            <w:rPr>
              <w:rFonts w:hint="eastAsia" w:ascii="宋体" w:hAnsi="宋体"/>
              <w:sz w:val="18"/>
            </w:rPr>
            <w:instrText xml:space="preserve">PAGE</w:instrText>
          </w:r>
          <w:r>
            <w:rPr>
              <w:rFonts w:hint="eastAsia" w:ascii="宋体" w:hAnsi="宋体"/>
              <w:sz w:val="18"/>
            </w:rPr>
            <w:fldChar w:fldCharType="separate"/>
          </w:r>
          <w:r>
            <w:rPr>
              <w:rFonts w:hint="eastAsia" w:ascii="宋体" w:hAnsi="宋体"/>
              <w:sz w:val="18"/>
            </w:rPr>
            <w:t xml:space="preserve"> </w:t>
          </w:r>
          <w:r>
            <w:rPr>
              <w:rFonts w:hint="eastAsia" w:ascii="宋体" w:hAnsi="宋体"/>
              <w:sz w:val="18"/>
            </w:rPr>
            <w:fldChar w:fldCharType="end"/>
          </w:r>
          <w:r>
            <w:rPr>
              <w:rFonts w:hint="eastAsia" w:ascii="宋体" w:hAnsi="宋体"/>
              <w:sz w:val="18"/>
            </w:rPr>
            <w:t xml:space="preserve"> </w:t>
          </w:r>
        </w:p>
      </w:tc>
      <w:tc>
        <w:tcPr>
          <w:tcW w:w="3163" w:type="dxa"/>
          <w:tcBorders>
            <w:top w:val="nil"/>
            <w:left w:val="nil"/>
            <w:bottom w:val="nil"/>
            <w:right w:val="nil"/>
            <w:tl2br w:val="nil"/>
            <w:tr2bl w:val="nil"/>
          </w:tcBorders>
          <w:shd w:val="clear" w:color="auto" w:fill="FFFFFF"/>
          <w:noWrap w:val="0"/>
          <w:vAlign w:val="top"/>
        </w:tcPr>
        <w:p>
          <w:pPr>
            <w:rPr>
              <w:rFonts w:hint="default"/>
              <w:sz w:val="24"/>
            </w:rPr>
          </w:pPr>
        </w:p>
      </w:tc>
    </w:tr>
  </w:tbl>
  <w:p>
    <w:pPr>
      <w:rPr>
        <w:rFonts w:hint="default"/>
        <w:sz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023147"/>
    <w:multiLevelType w:val="singleLevel"/>
    <w:tmpl w:val="E9023147"/>
    <w:lvl w:ilvl="0" w:tentative="0">
      <w:start w:val="1"/>
      <w:numFmt w:val="chineseCounting"/>
      <w:suff w:val="nothing"/>
      <w:lvlText w:val="（%1）"/>
      <w:lvlJc w:val="left"/>
      <w:pPr>
        <w:ind w:left="8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kNGM2YzE5NTVhYjZhMmUyYjliODQ3ZWFkM2JhY2UifQ=="/>
  </w:docVars>
  <w:rsids>
    <w:rsidRoot w:val="00172A27"/>
    <w:rsid w:val="01235E48"/>
    <w:rsid w:val="012B6580"/>
    <w:rsid w:val="043028EA"/>
    <w:rsid w:val="09D806FA"/>
    <w:rsid w:val="0B963C0B"/>
    <w:rsid w:val="0D3D4D40"/>
    <w:rsid w:val="0FB5159D"/>
    <w:rsid w:val="17281C94"/>
    <w:rsid w:val="19586A28"/>
    <w:rsid w:val="1A280B44"/>
    <w:rsid w:val="2E2D1F79"/>
    <w:rsid w:val="2E8669D4"/>
    <w:rsid w:val="31EA4B5D"/>
    <w:rsid w:val="31F3170E"/>
    <w:rsid w:val="33351576"/>
    <w:rsid w:val="339322AD"/>
    <w:rsid w:val="349B33A1"/>
    <w:rsid w:val="353D47D8"/>
    <w:rsid w:val="37062E2A"/>
    <w:rsid w:val="3DE6014B"/>
    <w:rsid w:val="3EB63E13"/>
    <w:rsid w:val="43320280"/>
    <w:rsid w:val="4AD640FD"/>
    <w:rsid w:val="55F41AE0"/>
    <w:rsid w:val="5A115D4F"/>
    <w:rsid w:val="5A176C19"/>
    <w:rsid w:val="5BDE3B04"/>
    <w:rsid w:val="5C40268E"/>
    <w:rsid w:val="5D6D693D"/>
    <w:rsid w:val="60B065E5"/>
    <w:rsid w:val="641920A8"/>
    <w:rsid w:val="64BF655C"/>
    <w:rsid w:val="65CA6BEF"/>
    <w:rsid w:val="680B5EBF"/>
    <w:rsid w:val="6A1737C8"/>
    <w:rsid w:val="70AC0D65"/>
    <w:rsid w:val="72AA1E29"/>
    <w:rsid w:val="7A996F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0"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hint="default" w:ascii="Arial" w:hAnsi="Arial" w:eastAsia="宋体" w:cs="Times New Roman"/>
      <w:color w:val="000000"/>
      <w:sz w:val="24"/>
    </w:rPr>
  </w:style>
  <w:style w:type="paragraph" w:styleId="3">
    <w:name w:val="heading 1"/>
    <w:next w:val="1"/>
    <w:unhideWhenUsed/>
    <w:qFormat/>
    <w:uiPriority w:val="99"/>
    <w:pPr>
      <w:widowControl w:val="0"/>
      <w:autoSpaceDE w:val="0"/>
      <w:autoSpaceDN w:val="0"/>
      <w:adjustRightInd w:val="0"/>
    </w:pPr>
    <w:rPr>
      <w:rFonts w:hint="default" w:ascii="Arial" w:hAnsi="Arial" w:eastAsia="宋体" w:cs="Times New Roman"/>
      <w:b/>
      <w:color w:val="000000"/>
      <w:sz w:val="32"/>
    </w:rPr>
  </w:style>
  <w:style w:type="paragraph" w:styleId="4">
    <w:name w:val="heading 2"/>
    <w:next w:val="1"/>
    <w:unhideWhenUsed/>
    <w:qFormat/>
    <w:uiPriority w:val="99"/>
    <w:pPr>
      <w:widowControl w:val="0"/>
      <w:autoSpaceDE w:val="0"/>
      <w:autoSpaceDN w:val="0"/>
      <w:adjustRightInd w:val="0"/>
    </w:pPr>
    <w:rPr>
      <w:rFonts w:hint="default" w:ascii="Arial" w:hAnsi="Arial" w:eastAsia="宋体" w:cs="Times New Roman"/>
      <w:b/>
      <w:i/>
      <w:color w:val="000000"/>
      <w:sz w:val="28"/>
    </w:rPr>
  </w:style>
  <w:style w:type="paragraph" w:styleId="5">
    <w:name w:val="heading 3"/>
    <w:next w:val="1"/>
    <w:unhideWhenUsed/>
    <w:qFormat/>
    <w:uiPriority w:val="99"/>
    <w:pPr>
      <w:widowControl w:val="0"/>
      <w:autoSpaceDE w:val="0"/>
      <w:autoSpaceDN w:val="0"/>
      <w:adjustRightInd w:val="0"/>
    </w:pPr>
    <w:rPr>
      <w:rFonts w:hint="default" w:ascii="Arial" w:hAnsi="Arial" w:eastAsia="宋体" w:cs="Times New Roman"/>
      <w:b/>
      <w:color w:val="000000"/>
      <w:sz w:val="26"/>
    </w:rPr>
  </w:style>
  <w:style w:type="character" w:default="1" w:styleId="7">
    <w:name w:val="Default Paragraph Font"/>
    <w:unhideWhenUsed/>
    <w:qFormat/>
    <w:uiPriority w:val="99"/>
    <w:rPr>
      <w:rFonts w:hint="default"/>
      <w:sz w:val="24"/>
    </w:rPr>
  </w:style>
  <w:style w:type="table" w:default="1" w:styleId="8">
    <w:name w:val="Normal Table"/>
    <w:qFormat/>
    <w:uiPriority w:val="99"/>
    <w:tblPr>
      <w:tblLayout w:type="fixed"/>
      <w:tblCellMar>
        <w:top w:w="0" w:type="dxa"/>
        <w:left w:w="108" w:type="dxa"/>
        <w:bottom w:w="0" w:type="dxa"/>
        <w:right w:w="108" w:type="dxa"/>
      </w:tblCellMar>
    </w:tblPr>
  </w:style>
  <w:style w:type="paragraph" w:customStyle="1" w:styleId="2">
    <w:name w:val="1.正文"/>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3670</Words>
  <Characters>4463</Characters>
  <TotalTime>0</TotalTime>
  <ScaleCrop>false</ScaleCrop>
  <LinksUpToDate>false</LinksUpToDate>
  <CharactersWithSpaces>4640</CharactersWithSpaces>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2026-01-21T05:07:00Z</dcterms:created>
  <dc:creator>Administrator</dc:creator>
  <cp:lastModifiedBy>Administrator</cp:lastModifiedBy>
  <cp:lastPrinted>2026-01-21T10:04:00Z</cp:lastPrinted>
  <dcterms:modified xsi:type="dcterms:W3CDTF">2026-01-28T03:21:42Z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TemplateDocerSaveRecord">
    <vt:lpwstr>eyJoZGlkIjoiMTA0YWEzYWMxZTZmZjRjOTUzZjNkOGQ0MmQ4ZDYxMjMiLCJ1c2VySWQiOiI1NDQyODkxMDUifQ==</vt:lpwstr>
  </property>
  <property fmtid="{D5CDD505-2E9C-101B-9397-08002B2CF9AE}" pid="4" name="ICV">
    <vt:lpwstr>46172F8C86774AAB9F191A9025C2D9A3_13</vt:lpwstr>
  </property>
</Properties>
</file>