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sz w:val="2"/>
          <w:szCs w:val="24"/>
        </w:rPr>
      </w:pPr>
    </w:p>
    <w:p>
      <w:pPr>
        <w:spacing w:line="525" w:lineRule="exact"/>
        <w:jc w:val="center"/>
        <w:rPr>
          <w:rFonts w:hint="eastAsia" w:ascii="黑体" w:hAnsi="黑体" w:eastAsia="黑体"/>
          <w:sz w:val="30"/>
          <w:szCs w:val="24"/>
        </w:rPr>
      </w:pPr>
      <w:r>
        <w:rPr>
          <w:rFonts w:hint="eastAsia" w:ascii="方正小标宋简体" w:hAnsi="方正小标宋简体" w:eastAsia="方正小标宋简体"/>
          <w:sz w:val="44"/>
          <w:szCs w:val="24"/>
        </w:rPr>
        <w:t>2026年度厦门市高林南区幼儿园单位预算</w:t>
      </w:r>
    </w:p>
    <w:p>
      <w:pPr>
        <w:spacing w:line="525" w:lineRule="exact"/>
        <w:jc w:val="center"/>
        <w:rPr>
          <w:rFonts w:hint="eastAsia" w:ascii="黑体" w:hAnsi="黑体" w:eastAsia="黑体"/>
          <w:sz w:val="30"/>
          <w:szCs w:val="24"/>
        </w:rPr>
      </w:pPr>
    </w:p>
    <w:p>
      <w:pPr>
        <w:spacing w:line="525" w:lineRule="exact"/>
        <w:jc w:val="center"/>
        <w:rPr>
          <w:rFonts w:hint="eastAsia" w:ascii="黑体" w:hAnsi="黑体" w:eastAsia="黑体"/>
          <w:sz w:val="32"/>
          <w:szCs w:val="24"/>
        </w:rPr>
      </w:pPr>
      <w:r>
        <w:rPr>
          <w:rFonts w:hint="eastAsia" w:ascii="黑体" w:hAnsi="黑体" w:eastAsia="黑体"/>
          <w:sz w:val="32"/>
          <w:szCs w:val="24"/>
        </w:rPr>
        <w:t>目　　录</w:t>
      </w:r>
    </w:p>
    <w:p>
      <w:pPr>
        <w:spacing w:line="555" w:lineRule="exact"/>
        <w:jc w:val="both"/>
        <w:rPr>
          <w:rFonts w:hint="eastAsia" w:ascii="仿宋" w:hAnsi="仿宋" w:eastAsia="仿宋"/>
          <w:sz w:val="32"/>
          <w:szCs w:val="24"/>
        </w:rPr>
      </w:pPr>
      <w:r>
        <w:rPr>
          <w:rFonts w:hint="eastAsia" w:ascii="黑体" w:hAnsi="黑体" w:eastAsia="黑体"/>
          <w:sz w:val="32"/>
          <w:szCs w:val="24"/>
        </w:rPr>
        <w:t>　　第一部分   单位概况</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一、单位主要职责</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二、单位基本情况</w:t>
      </w:r>
    </w:p>
    <w:p>
      <w:pPr>
        <w:spacing w:line="555" w:lineRule="exact"/>
        <w:jc w:val="both"/>
        <w:rPr>
          <w:rFonts w:hint="eastAsia" w:ascii="黑体" w:hAnsi="黑体" w:eastAsia="黑体"/>
          <w:sz w:val="32"/>
          <w:szCs w:val="24"/>
        </w:rPr>
      </w:pPr>
      <w:r>
        <w:rPr>
          <w:rFonts w:hint="eastAsia" w:ascii="仿宋_GB2312" w:hAnsi="仿宋_GB2312" w:eastAsia="仿宋_GB2312"/>
          <w:sz w:val="32"/>
          <w:szCs w:val="24"/>
        </w:rPr>
        <w:t>　　三、单位主要工作任务</w:t>
      </w:r>
    </w:p>
    <w:p>
      <w:pPr>
        <w:spacing w:line="555" w:lineRule="exact"/>
        <w:jc w:val="both"/>
        <w:rPr>
          <w:rFonts w:hint="eastAsia" w:ascii="黑体" w:hAnsi="黑体" w:eastAsia="黑体"/>
          <w:sz w:val="32"/>
          <w:szCs w:val="24"/>
        </w:rPr>
      </w:pPr>
      <w:r>
        <w:rPr>
          <w:rFonts w:hint="eastAsia" w:ascii="黑体" w:hAnsi="黑体" w:eastAsia="黑体"/>
          <w:sz w:val="32"/>
          <w:szCs w:val="24"/>
        </w:rPr>
        <w:t>　　第二部分   2026年单位预算说明</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一、2026年单位预算收支总体情况</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二、一般公共预算财政拨款支出预算情况</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三、政府性基金预算财政拨款支出情况</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四、“三公”经费财政拨款预算情况</w:t>
      </w:r>
    </w:p>
    <w:p>
      <w:pPr>
        <w:spacing w:line="555" w:lineRule="exact"/>
        <w:jc w:val="both"/>
        <w:rPr>
          <w:rFonts w:hint="eastAsia" w:ascii="黑体" w:hAnsi="黑体" w:eastAsia="黑体"/>
          <w:sz w:val="32"/>
          <w:szCs w:val="24"/>
        </w:rPr>
      </w:pPr>
      <w:r>
        <w:rPr>
          <w:rFonts w:hint="eastAsia" w:ascii="仿宋_GB2312" w:hAnsi="仿宋_GB2312" w:eastAsia="仿宋_GB2312"/>
          <w:sz w:val="32"/>
          <w:szCs w:val="24"/>
        </w:rPr>
        <w:t>　　五、其他重要事项的情况说明</w:t>
      </w:r>
    </w:p>
    <w:p>
      <w:pPr>
        <w:spacing w:line="555" w:lineRule="exact"/>
        <w:jc w:val="both"/>
        <w:rPr>
          <w:rFonts w:hint="eastAsia" w:ascii="黑体" w:hAnsi="黑体" w:eastAsia="黑体"/>
          <w:sz w:val="32"/>
          <w:szCs w:val="24"/>
        </w:rPr>
      </w:pPr>
      <w:r>
        <w:rPr>
          <w:rFonts w:hint="eastAsia" w:ascii="黑体" w:hAnsi="黑体" w:eastAsia="黑体"/>
          <w:sz w:val="32"/>
          <w:szCs w:val="24"/>
        </w:rPr>
        <w:t>　　第三部分   名词解释</w:t>
      </w:r>
    </w:p>
    <w:p>
      <w:pPr>
        <w:spacing w:line="555" w:lineRule="exact"/>
        <w:jc w:val="both"/>
        <w:rPr>
          <w:rFonts w:hint="eastAsia" w:ascii="黑体" w:hAnsi="黑体" w:eastAsia="黑体"/>
          <w:sz w:val="32"/>
          <w:szCs w:val="24"/>
        </w:rPr>
      </w:pPr>
      <w:r>
        <w:rPr>
          <w:rFonts w:hint="eastAsia" w:ascii="黑体" w:hAnsi="黑体" w:eastAsia="黑体"/>
          <w:sz w:val="32"/>
          <w:szCs w:val="24"/>
        </w:rPr>
        <w:t>　　第四部分   2026年单位预算附表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一、部门收支预算总体情况表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二、部门收入预算总体情况表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三、部门支出预算总体情况表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四、财政拨款收支预算总体情况表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五、 一般公共预算支出情况表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六、一般公共预算基本支出情况表（经济分类款级科目）</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七、一般公共预算“三公”经费支出情况表</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八、政府性基金预算支出情况表</w:t>
      </w:r>
    </w:p>
    <w:p>
      <w:pPr>
        <w:keepNext w:val="0"/>
        <w:keepLines w:val="0"/>
        <w:pageBreakBefore w:val="0"/>
        <w:widowControl w:val="0"/>
        <w:kinsoku/>
        <w:wordWrap/>
        <w:overflowPunct/>
        <w:topLinePunct w:val="0"/>
        <w:autoSpaceDE w:val="0"/>
        <w:autoSpaceDN w:val="0"/>
        <w:bidi w:val="0"/>
        <w:adjustRightInd w:val="0"/>
        <w:snapToGrid/>
        <w:spacing w:line="555" w:lineRule="exact"/>
        <w:ind w:firstLine="640" w:firstLineChars="200"/>
        <w:jc w:val="both"/>
        <w:textAlignment w:val="auto"/>
        <w:rPr>
          <w:rFonts w:hint="eastAsia" w:ascii="仿宋_GB2312" w:hAnsi="仿宋_GB2312" w:eastAsia="仿宋_GB2312"/>
          <w:sz w:val="32"/>
          <w:szCs w:val="24"/>
        </w:rPr>
      </w:pPr>
      <w:r>
        <w:rPr>
          <w:rFonts w:hint="eastAsia" w:ascii="仿宋_GB2312" w:hAnsi="仿宋_GB2312" w:eastAsia="仿宋_GB2312"/>
          <w:sz w:val="32"/>
          <w:szCs w:val="24"/>
        </w:rPr>
        <w:t>九、区对镇（街）转移支付支出预算表</w:t>
      </w:r>
    </w:p>
    <w:p>
      <w:pPr>
        <w:pStyle w:val="6"/>
        <w:keepNext w:val="0"/>
        <w:keepLines w:val="0"/>
        <w:pageBreakBefore w:val="0"/>
        <w:widowControl w:val="0"/>
        <w:kinsoku/>
        <w:wordWrap/>
        <w:overflowPunct/>
        <w:topLinePunct w:val="0"/>
        <w:autoSpaceDE w:val="0"/>
        <w:autoSpaceDN w:val="0"/>
        <w:bidi w:val="0"/>
        <w:adjustRightInd w:val="0"/>
        <w:snapToGrid/>
        <w:spacing w:line="555" w:lineRule="exact"/>
        <w:jc w:val="both"/>
        <w:textAlignment w:val="auto"/>
        <w:rPr>
          <w:rFonts w:hint="default" w:eastAsia="宋体"/>
          <w:lang w:val="en-US" w:eastAsia="zh-CN"/>
        </w:rPr>
      </w:pPr>
      <w:r>
        <w:rPr>
          <w:rFonts w:hint="eastAsia"/>
          <w:lang w:val="en-US" w:eastAsia="zh-CN"/>
        </w:rPr>
        <w:t xml:space="preserve">   </w:t>
      </w:r>
      <w:r>
        <w:rPr>
          <w:rFonts w:hint="eastAsia" w:ascii="仿宋_GB2312" w:hAnsi="仿宋_GB2312" w:eastAsia="仿宋_GB2312" w:cs="Times New Roman"/>
          <w:color w:val="000000"/>
          <w:sz w:val="32"/>
          <w:szCs w:val="24"/>
          <w:lang w:val="en-US" w:eastAsia="zh-CN"/>
        </w:rPr>
        <w:t xml:space="preserve"> 十、二级项目绩效目标表</w:t>
      </w:r>
    </w:p>
    <w:p>
      <w:pPr>
        <w:spacing w:line="555" w:lineRule="exact"/>
        <w:ind w:left="20"/>
        <w:jc w:val="center"/>
        <w:rPr>
          <w:rFonts w:hint="eastAsia" w:ascii="黑体" w:hAnsi="黑体" w:eastAsia="黑体"/>
          <w:sz w:val="32"/>
          <w:szCs w:val="24"/>
        </w:rPr>
      </w:pPr>
      <w:r>
        <w:rPr>
          <w:rFonts w:hint="eastAsia" w:ascii="黑体" w:hAnsi="黑体" w:eastAsia="黑体"/>
          <w:sz w:val="32"/>
          <w:szCs w:val="24"/>
        </w:rPr>
        <w:t>第一部分  单位概况</w:t>
      </w:r>
    </w:p>
    <w:p>
      <w:pPr>
        <w:spacing w:line="555" w:lineRule="exact"/>
        <w:jc w:val="both"/>
        <w:rPr>
          <w:rFonts w:hint="default" w:ascii="仿宋_GB2312" w:hAnsi="仿宋_GB2312" w:eastAsia="仿宋_GB2312"/>
          <w:sz w:val="32"/>
          <w:szCs w:val="24"/>
        </w:rPr>
      </w:pPr>
      <w:r>
        <w:rPr>
          <w:rFonts w:hint="eastAsia" w:ascii="黑体" w:hAnsi="黑体" w:eastAsia="黑体"/>
          <w:sz w:val="32"/>
          <w:szCs w:val="24"/>
        </w:rPr>
        <w:t>　　一、单位主要职责</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厦门市高林南区幼儿园的主要职责是：</w:t>
      </w:r>
    </w:p>
    <w:p>
      <w:pPr>
        <w:spacing w:beforeLines="0" w:afterLines="0" w:line="555" w:lineRule="exact"/>
        <w:jc w:val="both"/>
        <w:rPr>
          <w:rFonts w:hint="eastAsia" w:ascii="仿宋_GB2312" w:hAnsi="仿宋_GB2312" w:eastAsia="仿宋_GB2312"/>
          <w:color w:val="auto"/>
          <w:sz w:val="32"/>
          <w:szCs w:val="24"/>
        </w:rPr>
      </w:pPr>
      <w:r>
        <w:rPr>
          <w:rFonts w:hint="eastAsia" w:ascii="仿宋_GB2312" w:hAnsi="仿宋_GB2312" w:eastAsia="仿宋_GB2312"/>
          <w:sz w:val="32"/>
          <w:szCs w:val="24"/>
        </w:rPr>
        <w:t>　　（一）</w:t>
      </w:r>
      <w:r>
        <w:rPr>
          <w:rFonts w:hint="eastAsia" w:ascii="仿宋_GB2312" w:hAnsi="仿宋_GB2312" w:eastAsia="仿宋_GB2312"/>
          <w:color w:val="auto"/>
          <w:sz w:val="32"/>
          <w:szCs w:val="24"/>
          <w:lang w:eastAsia="zh-CN"/>
        </w:rPr>
        <w:t>为</w:t>
      </w:r>
      <w:r>
        <w:rPr>
          <w:rFonts w:hint="eastAsia" w:ascii="仿宋_GB2312" w:hAnsi="仿宋" w:eastAsia="仿宋_GB2312"/>
          <w:color w:val="auto"/>
          <w:sz w:val="32"/>
          <w:szCs w:val="24"/>
        </w:rPr>
        <w:t>学龄前儿童提供保育和教育服务</w:t>
      </w:r>
      <w:r>
        <w:rPr>
          <w:rFonts w:hint="eastAsia" w:ascii="仿宋_GB2312" w:hAnsi="仿宋_GB2312" w:eastAsia="仿宋_GB2312"/>
          <w:color w:val="auto"/>
          <w:sz w:val="32"/>
          <w:szCs w:val="24"/>
        </w:rPr>
        <w:t>。</w:t>
      </w:r>
    </w:p>
    <w:p>
      <w:pPr>
        <w:spacing w:beforeLines="0" w:afterLines="0" w:line="555" w:lineRule="exact"/>
        <w:jc w:val="both"/>
        <w:rPr>
          <w:rFonts w:hint="eastAsia" w:ascii="黑体" w:hAnsi="黑体" w:eastAsia="黑体"/>
          <w:sz w:val="32"/>
          <w:szCs w:val="24"/>
        </w:rPr>
      </w:pPr>
      <w:r>
        <w:rPr>
          <w:rFonts w:hint="eastAsia" w:ascii="仿宋_GB2312" w:hAnsi="仿宋_GB2312" w:eastAsia="仿宋_GB2312"/>
          <w:color w:val="auto"/>
          <w:sz w:val="32"/>
          <w:szCs w:val="24"/>
        </w:rPr>
        <w:t>　　（二）</w:t>
      </w:r>
      <w:r>
        <w:rPr>
          <w:rFonts w:hint="eastAsia" w:ascii="仿宋_GB2312" w:hAnsi="仿宋_GB2312" w:eastAsia="仿宋_GB2312"/>
          <w:color w:val="auto"/>
          <w:sz w:val="32"/>
          <w:szCs w:val="24"/>
          <w:lang w:eastAsia="zh-CN"/>
        </w:rPr>
        <w:t>幼</w:t>
      </w:r>
      <w:r>
        <w:rPr>
          <w:rFonts w:hint="eastAsia" w:ascii="仿宋_GB2312" w:hAnsi="仿宋" w:eastAsia="仿宋_GB2312"/>
          <w:color w:val="auto"/>
          <w:sz w:val="32"/>
          <w:szCs w:val="24"/>
        </w:rPr>
        <w:t>儿保育，幼儿教育</w:t>
      </w:r>
      <w:r>
        <w:rPr>
          <w:rFonts w:hint="eastAsia" w:ascii="仿宋_GB2312" w:hAnsi="仿宋" w:eastAsia="仿宋_GB2312"/>
          <w:color w:val="auto"/>
          <w:sz w:val="32"/>
          <w:szCs w:val="24"/>
          <w:lang w:eastAsia="zh-CN"/>
        </w:rPr>
        <w:t>，</w:t>
      </w:r>
      <w:r>
        <w:rPr>
          <w:rFonts w:hint="eastAsia" w:ascii="仿宋_GB2312" w:hAnsi="仿宋" w:eastAsia="仿宋_GB2312"/>
          <w:color w:val="auto"/>
          <w:sz w:val="32"/>
          <w:szCs w:val="24"/>
          <w:lang w:val="en-US" w:eastAsia="zh-CN"/>
        </w:rPr>
        <w:t>婴幼儿托育服务</w:t>
      </w:r>
      <w:r>
        <w:rPr>
          <w:rFonts w:hint="eastAsia" w:ascii="仿宋_GB2312" w:hAnsi="仿宋_GB2312" w:eastAsia="仿宋_GB2312"/>
          <w:color w:val="auto"/>
          <w:sz w:val="32"/>
          <w:szCs w:val="24"/>
        </w:rPr>
        <w:t>。</w:t>
      </w:r>
    </w:p>
    <w:p>
      <w:pPr>
        <w:spacing w:line="555" w:lineRule="exact"/>
        <w:jc w:val="both"/>
        <w:rPr>
          <w:rFonts w:hint="default" w:ascii="仿宋_GB2312" w:hAnsi="仿宋_GB2312" w:eastAsia="仿宋_GB2312"/>
          <w:sz w:val="32"/>
          <w:szCs w:val="24"/>
        </w:rPr>
      </w:pPr>
      <w:r>
        <w:rPr>
          <w:rFonts w:hint="eastAsia" w:ascii="黑体" w:hAnsi="黑体" w:eastAsia="黑体"/>
          <w:sz w:val="32"/>
          <w:szCs w:val="24"/>
        </w:rPr>
        <w:t>　　二、单位基本情况</w:t>
      </w:r>
    </w:p>
    <w:p>
      <w:pPr>
        <w:spacing w:line="555" w:lineRule="exact"/>
        <w:jc w:val="both"/>
        <w:rPr>
          <w:rFonts w:hint="eastAsia" w:ascii="仿宋_GB2312" w:hAnsi="仿宋_GB2312" w:eastAsia="仿宋_GB2312"/>
          <w:sz w:val="24"/>
          <w:szCs w:val="24"/>
        </w:rPr>
      </w:pPr>
      <w:r>
        <w:rPr>
          <w:rFonts w:hint="eastAsia" w:ascii="仿宋_GB2312" w:hAnsi="仿宋_GB2312" w:eastAsia="仿宋_GB2312"/>
          <w:sz w:val="32"/>
          <w:szCs w:val="24"/>
        </w:rPr>
        <w:t>　　厦门市高林南区幼儿园内设</w:t>
      </w:r>
      <w:r>
        <w:rPr>
          <w:rFonts w:hint="eastAsia" w:ascii="仿宋_GB2312" w:hAnsi="仿宋_GB2312" w:eastAsia="仿宋_GB2312"/>
          <w:color w:val="auto"/>
          <w:sz w:val="32"/>
          <w:szCs w:val="24"/>
          <w:lang w:val="en-US" w:eastAsia="zh-CN"/>
        </w:rPr>
        <w:t>2</w:t>
      </w:r>
      <w:r>
        <w:rPr>
          <w:rFonts w:hint="eastAsia" w:ascii="仿宋_GB2312" w:hAnsi="仿宋_GB2312" w:eastAsia="仿宋_GB2312"/>
          <w:color w:val="auto"/>
          <w:sz w:val="32"/>
          <w:szCs w:val="24"/>
        </w:rPr>
        <w:t>个</w:t>
      </w:r>
      <w:r>
        <w:rPr>
          <w:rFonts w:hint="eastAsia" w:ascii="仿宋_GB2312" w:hAnsi="仿宋_GB2312" w:eastAsia="仿宋_GB2312"/>
          <w:sz w:val="32"/>
          <w:szCs w:val="24"/>
        </w:rPr>
        <w:t>科室，包</w:t>
      </w:r>
      <w:r>
        <w:rPr>
          <w:rFonts w:hint="eastAsia" w:ascii="仿宋_GB2312" w:hAnsi="仿宋_GB2312" w:eastAsia="仿宋_GB2312" w:cs="Times New Roman"/>
          <w:sz w:val="32"/>
          <w:szCs w:val="24"/>
        </w:rPr>
        <w:t>括：</w:t>
      </w:r>
      <w:r>
        <w:rPr>
          <w:rFonts w:hint="eastAsia" w:ascii="仿宋_GB2312" w:hAnsi="仿宋_GB2312" w:eastAsia="仿宋_GB2312" w:cs="Times New Roman"/>
          <w:sz w:val="32"/>
          <w:szCs w:val="24"/>
          <w:lang w:eastAsia="zh-CN"/>
        </w:rPr>
        <w:t>园长办公室及总务科</w:t>
      </w:r>
      <w:r>
        <w:rPr>
          <w:rFonts w:hint="eastAsia" w:ascii="仿宋_GB2312" w:hAnsi="仿宋_GB2312" w:eastAsia="仿宋_GB2312" w:cs="Times New Roman"/>
          <w:sz w:val="32"/>
          <w:szCs w:val="24"/>
          <w:lang w:val="en-US" w:eastAsia="zh-CN"/>
        </w:rPr>
        <w:t>。</w:t>
      </w:r>
    </w:p>
    <w:p>
      <w:pPr>
        <w:spacing w:line="555" w:lineRule="exact"/>
        <w:jc w:val="both"/>
        <w:rPr>
          <w:rFonts w:hint="default" w:ascii="仿宋_GB2312" w:hAnsi="仿宋_GB2312" w:eastAsia="仿宋_GB2312"/>
          <w:sz w:val="32"/>
          <w:szCs w:val="24"/>
        </w:rPr>
      </w:pPr>
      <w:r>
        <w:rPr>
          <w:rFonts w:hint="eastAsia" w:ascii="黑体" w:hAnsi="黑体" w:eastAsia="黑体"/>
          <w:sz w:val="32"/>
          <w:szCs w:val="24"/>
        </w:rPr>
        <w:t>　　三、单位主要工作任务</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2026年，厦门市高林南区幼儿园主要任务是：坚持贯彻党的方针政策，依据幼儿园的发展规划，继续在“爱于心 美于行”办园理念的指引下，以保教结合为原则，以贯彻安全工作为主线，以促进幼儿发展为目的，以促进师资队伍建设与内涵建设为重点，抓好园所文化、教师队伍及家长、社区工作三项建设，有效开展幼儿园工作。围绕上述任务，重点抓好以下工作：</w:t>
      </w:r>
    </w:p>
    <w:p>
      <w:pPr>
        <w:spacing w:line="555" w:lineRule="exact"/>
        <w:ind w:firstLine="640" w:firstLineChars="200"/>
        <w:jc w:val="both"/>
        <w:rPr>
          <w:rFonts w:hint="eastAsia" w:ascii="仿宋_GB2312" w:hAnsi="仿宋_GB2312" w:eastAsia="仿宋_GB2312"/>
          <w:sz w:val="32"/>
          <w:szCs w:val="24"/>
        </w:rPr>
      </w:pPr>
      <w:r>
        <w:rPr>
          <w:rFonts w:hint="eastAsia" w:ascii="仿宋_GB2312" w:hAnsi="仿宋_GB2312" w:eastAsia="仿宋_GB2312"/>
          <w:sz w:val="32"/>
          <w:szCs w:val="24"/>
          <w:lang w:val="en-US" w:eastAsia="zh-CN"/>
        </w:rPr>
        <w:t>（一）深化“一园一品”建设，凸显办园特色与品牌内涵。</w:t>
      </w:r>
      <w:r>
        <w:rPr>
          <w:rFonts w:hint="eastAsia" w:ascii="仿宋_GB2312" w:hAnsi="仿宋_GB2312" w:eastAsia="仿宋_GB2312"/>
          <w:sz w:val="32"/>
          <w:szCs w:val="24"/>
          <w:lang w:val="en-US" w:eastAsia="zh-CN"/>
        </w:rPr>
        <w:br w:type="textWrapping"/>
      </w:r>
      <w:r>
        <w:rPr>
          <w:rFonts w:hint="eastAsia" w:ascii="仿宋_GB2312" w:hAnsi="仿宋_GB2312" w:eastAsia="仿宋_GB2312"/>
          <w:sz w:val="32"/>
          <w:szCs w:val="24"/>
          <w:lang w:val="en-US" w:eastAsia="zh-CN"/>
        </w:rPr>
        <w:t xml:space="preserve">    （二）强化党建引领，推动党建与校园文化、教育教学等工作有机融合。</w:t>
      </w:r>
      <w:r>
        <w:rPr>
          <w:rFonts w:hint="eastAsia" w:ascii="仿宋_GB2312" w:hAnsi="仿宋_GB2312" w:eastAsia="仿宋_GB2312"/>
          <w:sz w:val="32"/>
          <w:szCs w:val="24"/>
          <w:lang w:val="en-US" w:eastAsia="zh-CN"/>
        </w:rPr>
        <w:br w:type="textWrapping"/>
      </w:r>
      <w:r>
        <w:rPr>
          <w:rFonts w:hint="eastAsia" w:ascii="仿宋_GB2312" w:hAnsi="仿宋_GB2312" w:eastAsia="仿宋_GB2312"/>
          <w:sz w:val="32"/>
          <w:szCs w:val="24"/>
          <w:lang w:val="en-US" w:eastAsia="zh-CN"/>
        </w:rPr>
        <w:t xml:space="preserve">    （三）加强党政领导班子建设，提升行政管理专业化水平与管理效能。</w:t>
      </w:r>
      <w:r>
        <w:rPr>
          <w:rFonts w:hint="eastAsia" w:ascii="仿宋_GB2312" w:hAnsi="仿宋_GB2312" w:eastAsia="仿宋_GB2312"/>
          <w:sz w:val="32"/>
          <w:szCs w:val="24"/>
          <w:lang w:val="en-US" w:eastAsia="zh-CN"/>
        </w:rPr>
        <w:br w:type="textWrapping"/>
      </w:r>
      <w:r>
        <w:rPr>
          <w:rFonts w:hint="eastAsia" w:ascii="仿宋_GB2312" w:hAnsi="仿宋_GB2312" w:eastAsia="仿宋_GB2312"/>
          <w:sz w:val="32"/>
          <w:szCs w:val="24"/>
          <w:lang w:val="en-US" w:eastAsia="zh-CN"/>
        </w:rPr>
        <w:t xml:space="preserve">    （四）优化两园教研管理机制，提高联动教研实效，打造教研协作特色。</w:t>
      </w:r>
      <w:r>
        <w:rPr>
          <w:rFonts w:hint="eastAsia" w:ascii="仿宋_GB2312" w:hAnsi="仿宋_GB2312" w:eastAsia="仿宋_GB2312"/>
          <w:sz w:val="32"/>
          <w:szCs w:val="24"/>
          <w:lang w:val="en-US" w:eastAsia="zh-CN"/>
        </w:rPr>
        <w:br w:type="textWrapping"/>
      </w:r>
      <w:r>
        <w:rPr>
          <w:rFonts w:hint="eastAsia" w:ascii="仿宋_GB2312" w:hAnsi="仿宋_GB2312" w:eastAsia="仿宋_GB2312"/>
          <w:sz w:val="32"/>
          <w:szCs w:val="24"/>
          <w:lang w:val="en-US" w:eastAsia="zh-CN"/>
        </w:rPr>
        <w:t xml:space="preserve">    （五）扎实推进卫生保健工作，保障幼儿身心健康发展，争创区级卫生保健先进。</w:t>
      </w:r>
      <w:r>
        <w:rPr>
          <w:rFonts w:hint="eastAsia" w:ascii="仿宋_GB2312" w:hAnsi="仿宋_GB2312" w:eastAsia="仿宋_GB2312"/>
          <w:sz w:val="32"/>
          <w:szCs w:val="24"/>
          <w:lang w:val="en-US" w:eastAsia="zh-CN"/>
        </w:rPr>
        <w:br w:type="textWrapping"/>
      </w:r>
      <w:r>
        <w:rPr>
          <w:rFonts w:hint="eastAsia" w:ascii="仿宋_GB2312" w:hAnsi="仿宋_GB2312" w:eastAsia="仿宋_GB2312"/>
          <w:sz w:val="32"/>
          <w:szCs w:val="24"/>
          <w:lang w:val="en-US" w:eastAsia="zh-CN"/>
        </w:rPr>
        <w:t xml:space="preserve">    （六）积极营造“爱于心、美于行”的和谐校园文化氛围。</w:t>
      </w:r>
    </w:p>
    <w:p>
      <w:pPr>
        <w:spacing w:line="555" w:lineRule="exact"/>
        <w:ind w:left="20"/>
        <w:jc w:val="center"/>
        <w:rPr>
          <w:rFonts w:hint="eastAsia" w:ascii="黑体" w:hAnsi="黑体" w:eastAsia="黑体"/>
          <w:sz w:val="32"/>
          <w:szCs w:val="24"/>
        </w:rPr>
      </w:pPr>
      <w:r>
        <w:rPr>
          <w:rFonts w:hint="eastAsia" w:ascii="黑体" w:hAnsi="黑体" w:eastAsia="黑体"/>
          <w:sz w:val="32"/>
          <w:szCs w:val="24"/>
        </w:rPr>
        <w:t>第二部分  2026年单位预算说明</w:t>
      </w:r>
    </w:p>
    <w:p>
      <w:pPr>
        <w:spacing w:line="555" w:lineRule="exact"/>
        <w:jc w:val="both"/>
        <w:rPr>
          <w:rFonts w:hint="default" w:ascii="仿宋_GB2312" w:hAnsi="仿宋_GB2312" w:eastAsia="仿宋_GB2312"/>
          <w:sz w:val="32"/>
          <w:szCs w:val="24"/>
        </w:rPr>
      </w:pPr>
      <w:r>
        <w:rPr>
          <w:rFonts w:hint="eastAsia" w:ascii="黑体" w:hAnsi="黑体" w:eastAsia="黑体"/>
          <w:sz w:val="32"/>
          <w:szCs w:val="24"/>
        </w:rPr>
        <w:t>　　一、2026年单位预算收支总体情况</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根据预算管理的有关规定，单位的全部收入和支出均纳入部门预算管理。</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（一）厦门市高林南区幼儿园2026年收入预算为1,385.90万元，比2025年预算数减少67.81万元，下降4.66％，具体情况如下：</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1.财政拨款收入1,385.90万元，其中一般公共预算拨款收入1,385.90万元，政府性基金拨款收入0.00万元，国有资本经营预算拨款收入0.00万元；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2.财政专户管理资金收入0.00万元；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3.事业收入0.00万元；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4.事业单位经营收入0.00万元；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5.上级补助收入0.00万元；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6.附属单位上缴收入0.00万元；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7.其他收入0.00万元；</w:t>
      </w:r>
    </w:p>
    <w:p>
      <w:pPr>
        <w:spacing w:line="555" w:lineRule="exact"/>
        <w:jc w:val="both"/>
        <w:rPr>
          <w:rFonts w:hint="eastAsia" w:ascii="仿宋_GB2312" w:hAnsi="仿宋_GB2312" w:eastAsia="仿宋_GB2312"/>
          <w:sz w:val="32"/>
          <w:szCs w:val="24"/>
        </w:rPr>
      </w:pPr>
      <w:r>
        <w:rPr>
          <w:rFonts w:hint="eastAsia" w:ascii="仿宋_GB2312" w:hAnsi="仿宋_GB2312" w:eastAsia="仿宋_GB2312"/>
          <w:sz w:val="32"/>
          <w:szCs w:val="24"/>
        </w:rPr>
        <w:t>　　8.上年结转结余0.00万元。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（二）厦门市高林南区幼儿园2026年支出预算为1,385.90万元（不含市对区转移支付项目），比2025年预算数减少67.81万元，下降4.66％，具体情况如下：</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1.财政拨款基本支出1,385.90万元，其中，人员支出704.39万元，公用支出681.51万元；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2.财政拨款项目支出0.00万元；</w:t>
      </w:r>
    </w:p>
    <w:p>
      <w:pPr>
        <w:spacing w:line="555" w:lineRule="exact"/>
        <w:jc w:val="both"/>
        <w:rPr>
          <w:rFonts w:hint="default" w:ascii="仿宋_GB2312" w:hAnsi="仿宋_GB2312" w:eastAsia="仿宋_GB2312"/>
          <w:sz w:val="32"/>
          <w:szCs w:val="24"/>
        </w:rPr>
      </w:pPr>
      <w:r>
        <w:rPr>
          <w:rFonts w:hint="eastAsia" w:ascii="仿宋_GB2312" w:hAnsi="仿宋_GB2312" w:eastAsia="仿宋_GB2312"/>
          <w:sz w:val="32"/>
          <w:szCs w:val="24"/>
        </w:rPr>
        <w:t>　　3.非财政拨款支出0.00万元。</w:t>
      </w:r>
    </w:p>
    <w:p>
      <w:pPr>
        <w:spacing w:line="555" w:lineRule="exact"/>
        <w:jc w:val="both"/>
        <w:rPr>
          <w:rFonts w:hint="eastAsia" w:ascii="仿宋_GB2312" w:hAnsi="仿宋_GB2312" w:eastAsia="仿宋_GB2312"/>
          <w:sz w:val="32"/>
          <w:szCs w:val="24"/>
        </w:rPr>
      </w:pPr>
      <w:r>
        <w:rPr>
          <w:rFonts w:hint="eastAsia" w:ascii="仿宋_GB2312" w:hAnsi="仿宋_GB2312" w:eastAsia="仿宋_GB2312"/>
          <w:sz w:val="32"/>
          <w:szCs w:val="24"/>
        </w:rPr>
        <w:t>　　（三）厦门市高林南区幼儿园2026年区对镇（街）转移支付项目预算为</w:t>
      </w:r>
      <w:r>
        <w:rPr>
          <w:rFonts w:hint="eastAsia" w:ascii="仿宋_GB2312" w:hAnsi="仿宋_GB2312" w:eastAsia="仿宋_GB2312"/>
          <w:sz w:val="32"/>
          <w:szCs w:val="24"/>
          <w:lang w:val="en-US" w:eastAsia="zh-CN"/>
        </w:rPr>
        <w:t>0.00</w:t>
      </w:r>
      <w:r>
        <w:rPr>
          <w:rFonts w:hint="eastAsia" w:ascii="仿宋_GB2312" w:hAnsi="仿宋_GB2312" w:eastAsia="仿宋_GB2312"/>
          <w:sz w:val="32"/>
          <w:szCs w:val="24"/>
        </w:rPr>
        <w:t>万元。</w:t>
      </w:r>
    </w:p>
    <w:p>
      <w:pPr>
        <w:spacing w:line="555" w:lineRule="exact"/>
        <w:jc w:val="both"/>
        <w:rPr>
          <w:rFonts w:hint="default" w:ascii="仿宋_GB2312" w:hAnsi="仿宋_GB2312" w:eastAsia="仿宋_GB2312"/>
          <w:sz w:val="32"/>
          <w:szCs w:val="24"/>
        </w:rPr>
      </w:pPr>
      <w:r>
        <w:rPr>
          <w:rFonts w:hint="eastAsia" w:ascii="黑体" w:hAnsi="黑体" w:eastAsia="黑体"/>
          <w:sz w:val="32"/>
          <w:szCs w:val="24"/>
        </w:rPr>
        <w:t>　　二、一般公共预算财政拨款支出预算情况</w:t>
      </w:r>
    </w:p>
    <w:p>
      <w:pPr>
        <w:spacing w:line="555" w:lineRule="exact"/>
        <w:jc w:val="both"/>
        <w:rPr>
          <w:rFonts w:hint="eastAsia" w:ascii="仿宋_GB2312" w:hAnsi="仿宋_GB2312" w:eastAsia="仿宋_GB2312"/>
          <w:sz w:val="32"/>
          <w:szCs w:val="24"/>
        </w:rPr>
      </w:pPr>
      <w:r>
        <w:rPr>
          <w:rFonts w:hint="eastAsia" w:ascii="仿宋_GB2312" w:hAnsi="仿宋_GB2312" w:eastAsia="仿宋_GB2312"/>
          <w:sz w:val="32"/>
          <w:szCs w:val="24"/>
        </w:rPr>
        <w:t>　　2026年度一般公共预算支出1,385.90万元（不含市对区转移支付项目），比2025年预算数减少67.81万元，下降4.66%，主要是</w:t>
      </w:r>
      <w:r>
        <w:rPr>
          <w:rFonts w:hint="eastAsia" w:ascii="仿宋_GB2312" w:hAnsi="仿宋_GB2312" w:eastAsia="仿宋_GB2312" w:cs="Times New Roman"/>
          <w:color w:val="000000"/>
          <w:sz w:val="32"/>
          <w:szCs w:val="24"/>
        </w:rPr>
        <w:t>幼儿生数</w:t>
      </w:r>
      <w:r>
        <w:rPr>
          <w:rFonts w:hint="eastAsia" w:ascii="仿宋_GB2312" w:hAnsi="仿宋_GB2312" w:eastAsia="仿宋_GB2312" w:cs="Times New Roman"/>
          <w:color w:val="000000"/>
          <w:sz w:val="32"/>
          <w:szCs w:val="24"/>
          <w:lang w:eastAsia="zh-CN"/>
        </w:rPr>
        <w:t>减少</w:t>
      </w:r>
      <w:r>
        <w:rPr>
          <w:rFonts w:hint="eastAsia" w:ascii="仿宋_GB2312" w:hAnsi="仿宋_GB2312" w:eastAsia="仿宋_GB2312" w:cs="Times New Roman"/>
          <w:color w:val="000000"/>
          <w:sz w:val="32"/>
          <w:szCs w:val="24"/>
        </w:rPr>
        <w:t>，人员经费及公用经费</w:t>
      </w:r>
      <w:r>
        <w:rPr>
          <w:rFonts w:hint="eastAsia" w:ascii="仿宋_GB2312" w:hAnsi="仿宋_GB2312" w:eastAsia="仿宋_GB2312" w:cs="Times New Roman"/>
          <w:color w:val="000000"/>
          <w:sz w:val="32"/>
          <w:szCs w:val="24"/>
          <w:lang w:eastAsia="zh-CN"/>
        </w:rPr>
        <w:t>减少</w:t>
      </w:r>
      <w:r>
        <w:rPr>
          <w:rFonts w:hint="eastAsia" w:ascii="仿宋_GB2312" w:hAnsi="仿宋_GB2312" w:eastAsia="仿宋_GB2312"/>
          <w:sz w:val="32"/>
          <w:szCs w:val="24"/>
        </w:rPr>
        <w:t>。支出项目(按项级科目分类统计)包括：</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1.教育支出（类）普通教育（款）学前教育（项）1,247.97万元。主要用于学前教育支出。</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2.社会保障和就业支出（类）行政事业单位养老支出（款）事业单位离退休（项）6.22万元。</w:t>
      </w:r>
      <w:r>
        <w:rPr>
          <w:rFonts w:hint="eastAsia" w:ascii="仿宋_GB2312" w:hAnsi="仿宋_GB2312" w:eastAsia="仿宋_GB2312" w:cs="Times New Roman"/>
          <w:color w:val="000000"/>
          <w:sz w:val="32"/>
          <w:szCs w:val="24"/>
        </w:rPr>
        <w:t>主要用于事业单位退休</w:t>
      </w:r>
      <w:r>
        <w:rPr>
          <w:rFonts w:hint="eastAsia" w:ascii="仿宋_GB2312" w:hAnsi="仿宋_GB2312" w:eastAsia="仿宋_GB2312" w:cs="Times New Roman"/>
          <w:color w:val="000000"/>
          <w:sz w:val="32"/>
          <w:szCs w:val="24"/>
          <w:lang w:eastAsia="zh-CN"/>
        </w:rPr>
        <w:t>人员费用</w:t>
      </w:r>
      <w:r>
        <w:rPr>
          <w:rFonts w:hint="eastAsia" w:ascii="仿宋_GB2312" w:hAnsi="仿宋_GB2312" w:eastAsia="仿宋_GB2312" w:cs="Times New Roman"/>
          <w:color w:val="000000"/>
          <w:sz w:val="32"/>
          <w:szCs w:val="24"/>
        </w:rPr>
        <w:t>支出</w:t>
      </w:r>
      <w:r>
        <w:rPr>
          <w:rFonts w:hint="eastAsia" w:ascii="仿宋_GB2312" w:hAnsi="仿宋_GB2312" w:eastAsia="仿宋_GB2312"/>
          <w:sz w:val="32"/>
          <w:szCs w:val="24"/>
        </w:rPr>
        <w:t>。</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3.社会保障和就业支出（类）行政事业单位养老支出（款）机关事业单位基本养老保险缴费支出（项）51.66万元。</w:t>
      </w:r>
      <w:r>
        <w:rPr>
          <w:rFonts w:hint="eastAsia" w:ascii="仿宋_GB2312" w:hAnsi="仿宋_GB2312" w:eastAsia="仿宋_GB2312" w:cs="Times New Roman"/>
          <w:color w:val="000000"/>
          <w:sz w:val="32"/>
          <w:szCs w:val="24"/>
        </w:rPr>
        <w:t>主要用于机关事业单位基本养老保险缴费支出</w:t>
      </w:r>
      <w:r>
        <w:rPr>
          <w:rFonts w:hint="eastAsia" w:ascii="仿宋_GB2312" w:hAnsi="仿宋_GB2312" w:eastAsia="仿宋_GB2312"/>
          <w:sz w:val="32"/>
          <w:szCs w:val="24"/>
        </w:rPr>
        <w:t>。</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4.社会保障和就业支出（类）行政事业单位养老支出（款）机关事业单位职业年金缴费支出（项）25.83万元。</w:t>
      </w:r>
      <w:r>
        <w:rPr>
          <w:rFonts w:hint="eastAsia" w:ascii="仿宋_GB2312" w:hAnsi="仿宋_GB2312" w:eastAsia="仿宋_GB2312" w:cs="Times New Roman"/>
          <w:color w:val="000000"/>
          <w:sz w:val="32"/>
          <w:szCs w:val="24"/>
        </w:rPr>
        <w:t>主要用于机关事业单位职业年金缴费支出</w:t>
      </w:r>
      <w:r>
        <w:rPr>
          <w:rFonts w:hint="eastAsia" w:ascii="仿宋_GB2312" w:hAnsi="仿宋_GB2312" w:eastAsia="仿宋_GB2312"/>
          <w:sz w:val="32"/>
          <w:szCs w:val="24"/>
        </w:rPr>
        <w:t>。</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5.卫生健康支出（类）行政事业单位医疗（款）事业单位医疗（项）22.12万元。</w:t>
      </w:r>
      <w:r>
        <w:rPr>
          <w:rFonts w:hint="eastAsia" w:ascii="仿宋_GB2312" w:hAnsi="仿宋_GB2312" w:eastAsia="仿宋_GB2312" w:cs="Times New Roman"/>
          <w:color w:val="000000"/>
          <w:sz w:val="32"/>
          <w:szCs w:val="24"/>
        </w:rPr>
        <w:t>主要用于职工基本医疗保险缴费支出</w:t>
      </w:r>
      <w:r>
        <w:rPr>
          <w:rFonts w:hint="eastAsia" w:ascii="仿宋_GB2312" w:hAnsi="仿宋_GB2312" w:eastAsia="仿宋_GB2312"/>
          <w:sz w:val="32"/>
          <w:szCs w:val="24"/>
        </w:rPr>
        <w:t>。</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6.卫生健康支出（类）行政事业单位医疗（款）其他行政事业单位医疗支出（项）11.30万元。</w:t>
      </w:r>
      <w:r>
        <w:rPr>
          <w:rFonts w:hint="eastAsia" w:ascii="仿宋_GB2312" w:hAnsi="仿宋_GB2312" w:eastAsia="仿宋_GB2312" w:cs="Times New Roman"/>
          <w:color w:val="000000"/>
          <w:sz w:val="32"/>
          <w:szCs w:val="24"/>
        </w:rPr>
        <w:t>主要用于</w:t>
      </w:r>
      <w:r>
        <w:rPr>
          <w:rFonts w:hint="eastAsia" w:ascii="仿宋_GB2312" w:hAnsi="仿宋_GB2312" w:eastAsia="仿宋_GB2312"/>
          <w:sz w:val="32"/>
          <w:szCs w:val="24"/>
        </w:rPr>
        <w:t>其他行政事业单位医疗支出。</w:t>
      </w:r>
    </w:p>
    <w:p>
      <w:pPr>
        <w:spacing w:line="555" w:lineRule="exact"/>
        <w:ind w:left="20"/>
        <w:jc w:val="both"/>
        <w:rPr>
          <w:rFonts w:hint="eastAsia" w:ascii="仿宋_GB2312" w:hAnsi="仿宋_GB2312" w:eastAsia="仿宋_GB2312"/>
          <w:sz w:val="32"/>
          <w:szCs w:val="24"/>
        </w:rPr>
      </w:pPr>
      <w:r>
        <w:rPr>
          <w:rFonts w:hint="eastAsia" w:ascii="仿宋_GB2312" w:hAnsi="仿宋_GB2312" w:eastAsia="仿宋_GB2312"/>
          <w:sz w:val="32"/>
          <w:szCs w:val="24"/>
        </w:rPr>
        <w:t>　　7.住房保障支出（类）住房改革支出（款）购房补贴（项）20.80万元。</w:t>
      </w:r>
      <w:r>
        <w:rPr>
          <w:rFonts w:hint="eastAsia" w:ascii="仿宋_GB2312" w:hAnsi="仿宋_GB2312" w:eastAsia="仿宋_GB2312" w:cs="Times New Roman"/>
          <w:color w:val="000000"/>
          <w:sz w:val="32"/>
          <w:szCs w:val="24"/>
        </w:rPr>
        <w:t>主要用于教职工</w:t>
      </w:r>
      <w:r>
        <w:rPr>
          <w:rFonts w:hint="eastAsia" w:ascii="仿宋_GB2312" w:hAnsi="仿宋_GB2312" w:eastAsia="仿宋_GB2312" w:cs="Times New Roman"/>
          <w:color w:val="000000"/>
          <w:sz w:val="32"/>
          <w:szCs w:val="24"/>
          <w:lang w:eastAsia="zh-CN"/>
        </w:rPr>
        <w:t>住房货币化</w:t>
      </w:r>
      <w:r>
        <w:rPr>
          <w:rFonts w:hint="eastAsia" w:ascii="仿宋_GB2312" w:hAnsi="仿宋_GB2312" w:eastAsia="仿宋_GB2312" w:cs="Times New Roman"/>
          <w:color w:val="000000"/>
          <w:sz w:val="32"/>
          <w:szCs w:val="24"/>
        </w:rPr>
        <w:t>补贴支出</w:t>
      </w:r>
      <w:r>
        <w:rPr>
          <w:rFonts w:hint="eastAsia" w:ascii="仿宋_GB2312" w:hAnsi="仿宋_GB2312" w:eastAsia="仿宋_GB2312"/>
          <w:sz w:val="32"/>
          <w:szCs w:val="24"/>
        </w:rPr>
        <w:t>。</w:t>
      </w:r>
    </w:p>
    <w:p>
      <w:pPr>
        <w:keepNext w:val="0"/>
        <w:keepLines w:val="0"/>
        <w:pageBreakBefore w:val="0"/>
        <w:widowControl w:val="0"/>
        <w:kinsoku/>
        <w:wordWrap/>
        <w:overflowPunct/>
        <w:topLinePunct w:val="0"/>
        <w:autoSpaceDE w:val="0"/>
        <w:autoSpaceDN w:val="0"/>
        <w:bidi w:val="0"/>
        <w:adjustRightInd w:val="0"/>
        <w:snapToGrid/>
        <w:spacing w:line="555" w:lineRule="exact"/>
        <w:jc w:val="both"/>
        <w:textAlignment w:val="auto"/>
        <w:rPr>
          <w:rFonts w:hint="default" w:ascii="仿宋_GB2312" w:hAnsi="仿宋_GB2312" w:eastAsia="仿宋_GB2312"/>
          <w:color w:val="auto"/>
          <w:sz w:val="32"/>
          <w:szCs w:val="24"/>
          <w:highlight w:val="none"/>
        </w:rPr>
      </w:pPr>
      <w:r>
        <w:rPr>
          <w:rFonts w:hint="eastAsia" w:ascii="黑体" w:hAnsi="黑体" w:eastAsia="黑体"/>
          <w:color w:val="auto"/>
          <w:sz w:val="32"/>
          <w:szCs w:val="24"/>
          <w:highlight w:val="none"/>
        </w:rPr>
        <w:t>　　三、政府性基金预算财政拨款支出情况</w:t>
      </w:r>
    </w:p>
    <w:p>
      <w:pPr>
        <w:spacing w:line="555" w:lineRule="exact"/>
        <w:ind w:firstLine="640" w:firstLineChars="200"/>
        <w:jc w:val="both"/>
        <w:rPr>
          <w:rFonts w:hint="default" w:ascii="黑体" w:hAnsi="黑体" w:eastAsia="黑体"/>
          <w:sz w:val="32"/>
          <w:szCs w:val="24"/>
          <w:lang w:val="en-US" w:eastAsia="zh-CN"/>
        </w:rPr>
      </w:pPr>
      <w:r>
        <w:rPr>
          <w:rFonts w:hint="eastAsia" w:ascii="仿宋_GB2312" w:hAnsi="仿宋_GB2312" w:eastAsia="仿宋_GB2312"/>
          <w:color w:val="auto"/>
          <w:sz w:val="32"/>
          <w:szCs w:val="24"/>
          <w:highlight w:val="none"/>
        </w:rPr>
        <w:t>2026年度政府性基金支出0.00万元（不含市对区转移支付项目），比2025年预算数增加0.00万元，增长0%，</w:t>
      </w:r>
      <w:r>
        <w:rPr>
          <w:rFonts w:hint="eastAsia" w:ascii="仿宋_GB2312" w:hAnsi="仿宋_GB2312" w:eastAsia="仿宋_GB2312"/>
          <w:sz w:val="32"/>
        </w:rPr>
        <w:t>主要是</w:t>
      </w:r>
      <w:r>
        <w:rPr>
          <w:rFonts w:hint="eastAsia" w:ascii="仿宋_GB2312" w:hAnsi="仿宋_GB2312" w:eastAsia="仿宋_GB2312"/>
          <w:color w:val="auto"/>
          <w:sz w:val="32"/>
        </w:rPr>
        <w:t>202</w:t>
      </w:r>
      <w:r>
        <w:rPr>
          <w:rFonts w:hint="eastAsia" w:ascii="仿宋_GB2312" w:hAnsi="仿宋_GB2312" w:eastAsia="仿宋_GB2312"/>
          <w:color w:val="auto"/>
          <w:sz w:val="32"/>
          <w:lang w:val="en-US" w:eastAsia="zh-CN"/>
        </w:rPr>
        <w:t>6</w:t>
      </w:r>
      <w:r>
        <w:rPr>
          <w:rFonts w:hint="eastAsia" w:ascii="仿宋_GB2312" w:hAnsi="仿宋_GB2312" w:eastAsia="仿宋_GB2312"/>
          <w:color w:val="auto"/>
          <w:sz w:val="32"/>
        </w:rPr>
        <w:t>年无使用政府性基金预算拨款安排支出</w:t>
      </w:r>
      <w:r>
        <w:rPr>
          <w:rFonts w:hint="eastAsia" w:ascii="仿宋_GB2312" w:hAnsi="仿宋_GB2312" w:eastAsia="仿宋_GB2312"/>
          <w:color w:val="auto"/>
          <w:sz w:val="32"/>
          <w:szCs w:val="24"/>
          <w:lang w:eastAsia="zh-CN"/>
        </w:rPr>
        <w:t>。</w:t>
      </w:r>
    </w:p>
    <w:p>
      <w:pPr>
        <w:keepNext w:val="0"/>
        <w:keepLines w:val="0"/>
        <w:pageBreakBefore w:val="0"/>
        <w:widowControl w:val="0"/>
        <w:kinsoku/>
        <w:wordWrap/>
        <w:overflowPunct/>
        <w:topLinePunct w:val="0"/>
        <w:autoSpaceDE w:val="0"/>
        <w:autoSpaceDN w:val="0"/>
        <w:bidi w:val="0"/>
        <w:adjustRightInd w:val="0"/>
        <w:snapToGrid/>
        <w:spacing w:line="555" w:lineRule="exact"/>
        <w:jc w:val="both"/>
        <w:textAlignment w:val="auto"/>
        <w:rPr>
          <w:rFonts w:hint="default" w:ascii="仿宋_GB2312" w:hAnsi="仿宋_GB2312" w:eastAsia="仿宋_GB2312"/>
          <w:sz w:val="32"/>
          <w:szCs w:val="24"/>
        </w:rPr>
      </w:pPr>
      <w:r>
        <w:rPr>
          <w:rFonts w:hint="eastAsia" w:ascii="黑体" w:hAnsi="黑体" w:eastAsia="黑体"/>
          <w:sz w:val="32"/>
          <w:szCs w:val="24"/>
        </w:rPr>
        <w:t>　　四、“三公”经费财政拨款预算情况</w:t>
      </w:r>
    </w:p>
    <w:p>
      <w:pPr>
        <w:keepNext w:val="0"/>
        <w:keepLines w:val="0"/>
        <w:pageBreakBefore w:val="0"/>
        <w:widowControl w:val="0"/>
        <w:kinsoku/>
        <w:wordWrap/>
        <w:overflowPunct/>
        <w:topLinePunct w:val="0"/>
        <w:autoSpaceDE w:val="0"/>
        <w:autoSpaceDN w:val="0"/>
        <w:bidi w:val="0"/>
        <w:adjustRightInd w:val="0"/>
        <w:snapToGrid/>
        <w:spacing w:line="555" w:lineRule="exact"/>
        <w:jc w:val="both"/>
        <w:textAlignment w:val="auto"/>
        <w:rPr>
          <w:rFonts w:hint="eastAsia" w:ascii="仿宋_GB2312" w:hAnsi="仿宋_GB2312" w:eastAsia="仿宋_GB2312"/>
          <w:sz w:val="32"/>
          <w:szCs w:val="24"/>
        </w:rPr>
      </w:pPr>
      <w:r>
        <w:rPr>
          <w:rFonts w:hint="eastAsia" w:ascii="仿宋_GB2312" w:hAnsi="仿宋_GB2312" w:eastAsia="仿宋_GB2312"/>
          <w:sz w:val="32"/>
          <w:szCs w:val="24"/>
        </w:rPr>
        <w:t>　　厦门市高林南区幼儿园单位2026年“三公”经费财政拨款预算数为0.00万元，其中：因公出国（境）经费0.00万元，公务接待费0.00万元，公务用车购置及运行费0.00万元。具体情况如下：</w:t>
      </w:r>
    </w:p>
    <w:p>
      <w:pPr>
        <w:spacing w:beforeLines="0" w:afterLines="0" w:line="555" w:lineRule="exact"/>
        <w:ind w:firstLine="640" w:firstLineChars="200"/>
        <w:jc w:val="both"/>
        <w:rPr>
          <w:rFonts w:hint="eastAsia" w:ascii="仿宋_GB2312" w:hAnsi="仿宋_GB2312" w:eastAsia="仿宋_GB2312"/>
          <w:sz w:val="32"/>
        </w:rPr>
      </w:pPr>
      <w:r>
        <w:rPr>
          <w:rFonts w:hint="eastAsia" w:ascii="楷体" w:hAnsi="楷体" w:eastAsia="楷体"/>
          <w:sz w:val="32"/>
        </w:rPr>
        <w:t>（一）因公出国（境）经费</w:t>
      </w:r>
    </w:p>
    <w:p>
      <w:pPr>
        <w:spacing w:beforeLines="0" w:afterLines="0" w:line="555" w:lineRule="exact"/>
        <w:ind w:firstLine="640" w:firstLineChars="200"/>
        <w:jc w:val="both"/>
        <w:rPr>
          <w:rFonts w:hint="eastAsia" w:ascii="楷体" w:hAnsi="楷体" w:eastAsia="楷体"/>
          <w:sz w:val="32"/>
        </w:rPr>
      </w:pPr>
      <w:r>
        <w:rPr>
          <w:rFonts w:hint="eastAsia" w:ascii="仿宋_GB2312" w:hAnsi="仿宋_GB2312" w:eastAsia="仿宋_GB2312"/>
          <w:sz w:val="32"/>
        </w:rPr>
        <w:t>2026年预算安排0.00万元。与上年预算相比下降0.00%，主要原因是:本年度无安排</w:t>
      </w:r>
      <w:r>
        <w:rPr>
          <w:rFonts w:hint="eastAsia" w:ascii="仿宋_GB2312" w:hAnsi="仿宋_GB2312" w:eastAsia="仿宋_GB2312"/>
          <w:sz w:val="32"/>
          <w:lang w:eastAsia="zh-CN"/>
        </w:rPr>
        <w:t>因公</w:t>
      </w:r>
      <w:r>
        <w:rPr>
          <w:rFonts w:hint="eastAsia" w:ascii="仿宋_GB2312" w:hAnsi="仿宋_GB2312" w:eastAsia="仿宋_GB2312"/>
          <w:sz w:val="32"/>
        </w:rPr>
        <w:t>出国（境）活动。</w:t>
      </w:r>
    </w:p>
    <w:p>
      <w:pPr>
        <w:spacing w:beforeLines="0" w:afterLines="0" w:line="555" w:lineRule="exact"/>
        <w:ind w:firstLine="640" w:firstLineChars="200"/>
        <w:jc w:val="both"/>
        <w:rPr>
          <w:rFonts w:hint="eastAsia" w:ascii="仿宋_GB2312" w:hAnsi="仿宋_GB2312" w:eastAsia="仿宋_GB2312"/>
          <w:sz w:val="32"/>
        </w:rPr>
      </w:pPr>
      <w:r>
        <w:rPr>
          <w:rFonts w:hint="eastAsia" w:ascii="楷体" w:hAnsi="楷体" w:eastAsia="楷体"/>
          <w:sz w:val="32"/>
        </w:rPr>
        <w:t>（二）公务接待费</w:t>
      </w:r>
    </w:p>
    <w:p>
      <w:pPr>
        <w:spacing w:beforeLines="0" w:afterLines="0"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2026年预算安排0.00万元。</w:t>
      </w:r>
      <w:r>
        <w:rPr>
          <w:rFonts w:hint="eastAsia" w:ascii="FangSong_GB2312" w:hAnsi="FangSong_GB2312" w:eastAsia="FangSong_GB2312"/>
          <w:color w:val="auto"/>
          <w:sz w:val="32"/>
        </w:rPr>
        <w:t>与上年预算相比下降</w:t>
      </w:r>
      <w:r>
        <w:rPr>
          <w:rFonts w:hint="eastAsia" w:ascii="FangSong_GB2312" w:hAnsi="FangSong_GB2312" w:eastAsia="FangSong_GB2312"/>
          <w:color w:val="auto"/>
          <w:sz w:val="32"/>
          <w:lang w:val="en-US" w:eastAsia="zh-CN"/>
        </w:rPr>
        <w:t>0.00</w:t>
      </w:r>
      <w:r>
        <w:rPr>
          <w:rFonts w:hint="eastAsia" w:ascii="FangSong_GB2312" w:hAnsi="FangSong_GB2312" w:eastAsia="FangSong_GB2312"/>
          <w:color w:val="auto"/>
          <w:sz w:val="32"/>
        </w:rPr>
        <w:t>%，主要原因是:</w:t>
      </w:r>
      <w:r>
        <w:rPr>
          <w:rFonts w:hint="eastAsia" w:ascii="FangSong_GB2312" w:hAnsi="FangSong_GB2312" w:eastAsia="FangSong_GB2312"/>
          <w:color w:val="auto"/>
          <w:sz w:val="32"/>
          <w:lang w:eastAsia="zh-CN"/>
        </w:rPr>
        <w:t>本年度无安排公务接待活动。</w:t>
      </w:r>
    </w:p>
    <w:p>
      <w:pPr>
        <w:spacing w:beforeLines="0" w:afterLines="0" w:line="555" w:lineRule="exact"/>
        <w:ind w:firstLine="640" w:firstLineChars="200"/>
        <w:jc w:val="both"/>
        <w:rPr>
          <w:rFonts w:hint="eastAsia" w:ascii="仿宋_GB2312" w:hAnsi="仿宋_GB2312" w:eastAsia="仿宋_GB2312"/>
          <w:sz w:val="32"/>
        </w:rPr>
      </w:pPr>
      <w:r>
        <w:rPr>
          <w:rFonts w:hint="eastAsia" w:ascii="楷体" w:hAnsi="楷体" w:eastAsia="楷体"/>
          <w:sz w:val="32"/>
        </w:rPr>
        <w:t>（三）公务用车购置及运行费</w:t>
      </w:r>
    </w:p>
    <w:p>
      <w:pPr>
        <w:spacing w:line="555" w:lineRule="exact"/>
        <w:ind w:firstLine="640"/>
        <w:jc w:val="both"/>
        <w:rPr>
          <w:rFonts w:hint="eastAsia" w:ascii="仿宋_GB2312" w:hAnsi="仿宋_GB2312" w:eastAsia="仿宋_GB2312"/>
          <w:sz w:val="32"/>
          <w:szCs w:val="24"/>
        </w:rPr>
      </w:pPr>
      <w:r>
        <w:rPr>
          <w:rFonts w:hint="eastAsia" w:ascii="仿宋_GB2312" w:hAnsi="仿宋_GB2312" w:eastAsia="仿宋_GB2312"/>
          <w:sz w:val="32"/>
        </w:rPr>
        <w:t>2026年预算安排0.00万元，其中：公务用车运行费0.00万元，公务用车购置费0.00万元。</w:t>
      </w:r>
      <w:r>
        <w:rPr>
          <w:rFonts w:hint="eastAsia" w:ascii="FangSong_GB2312" w:hAnsi="FangSong_GB2312" w:eastAsia="FangSong_GB2312"/>
          <w:color w:val="auto"/>
          <w:sz w:val="32"/>
        </w:rPr>
        <w:t>与上年预算相比下降</w:t>
      </w:r>
      <w:r>
        <w:rPr>
          <w:rFonts w:hint="eastAsia" w:ascii="FangSong_GB2312" w:hAnsi="FangSong_GB2312" w:eastAsia="FangSong_GB2312"/>
          <w:color w:val="auto"/>
          <w:sz w:val="32"/>
          <w:lang w:val="en-US" w:eastAsia="zh-CN"/>
        </w:rPr>
        <w:t>0.00</w:t>
      </w:r>
      <w:r>
        <w:rPr>
          <w:rFonts w:hint="eastAsia" w:ascii="FangSong_GB2312" w:hAnsi="FangSong_GB2312" w:eastAsia="FangSong_GB2312"/>
          <w:color w:val="auto"/>
          <w:sz w:val="32"/>
        </w:rPr>
        <w:t>%，</w:t>
      </w:r>
      <w:r>
        <w:rPr>
          <w:rFonts w:hint="eastAsia" w:ascii="仿宋_GB2312" w:hAnsi="仿宋_GB2312" w:eastAsia="仿宋_GB2312"/>
          <w:sz w:val="32"/>
        </w:rPr>
        <w:t>主要原因是:</w:t>
      </w:r>
      <w:r>
        <w:rPr>
          <w:rFonts w:hint="eastAsia" w:ascii="FangSong_GB2312" w:hAnsi="FangSong_GB2312" w:eastAsia="FangSong_GB2312"/>
          <w:color w:val="auto"/>
          <w:sz w:val="32"/>
          <w:lang w:eastAsia="zh-CN"/>
        </w:rPr>
        <w:t>本年度未编制公务用车购置及运行费用预算</w:t>
      </w:r>
      <w:r>
        <w:rPr>
          <w:rFonts w:hint="eastAsia" w:ascii="仿宋_GB2312" w:hAnsi="仿宋_GB2312" w:eastAsia="仿宋_GB2312"/>
          <w:color w:val="auto"/>
          <w:sz w:val="32"/>
          <w:szCs w:val="24"/>
          <w:lang w:eastAsia="zh-CN"/>
        </w:rPr>
        <w:t>。</w:t>
      </w:r>
    </w:p>
    <w:p>
      <w:pPr>
        <w:spacing w:line="555" w:lineRule="exact"/>
        <w:jc w:val="both"/>
        <w:rPr>
          <w:rFonts w:hint="eastAsia" w:ascii="华文仿宋" w:hAnsi="华文仿宋" w:eastAsia="华文仿宋"/>
          <w:sz w:val="32"/>
          <w:szCs w:val="24"/>
        </w:rPr>
      </w:pPr>
      <w:r>
        <w:rPr>
          <w:rFonts w:hint="eastAsia" w:ascii="黑体" w:hAnsi="黑体" w:eastAsia="黑体"/>
          <w:sz w:val="32"/>
          <w:szCs w:val="24"/>
        </w:rPr>
        <w:t>　　五、其他重要事项的情况说明</w:t>
      </w:r>
    </w:p>
    <w:p>
      <w:pPr>
        <w:spacing w:line="555" w:lineRule="exact"/>
        <w:jc w:val="both"/>
        <w:rPr>
          <w:rFonts w:hint="default" w:ascii="仿宋_GB2312" w:hAnsi="仿宋_GB2312" w:eastAsia="仿宋_GB2312"/>
          <w:sz w:val="32"/>
          <w:szCs w:val="24"/>
        </w:rPr>
      </w:pPr>
      <w:r>
        <w:rPr>
          <w:rFonts w:hint="eastAsia" w:ascii="华文仿宋" w:hAnsi="华文仿宋" w:eastAsia="华文仿宋"/>
          <w:sz w:val="32"/>
          <w:szCs w:val="24"/>
        </w:rPr>
        <w:t>　　</w:t>
      </w:r>
      <w:r>
        <w:rPr>
          <w:rFonts w:hint="eastAsia" w:ascii="楷体" w:hAnsi="楷体" w:eastAsia="楷体"/>
          <w:sz w:val="32"/>
          <w:szCs w:val="24"/>
        </w:rPr>
        <w:t>（一）机关运行经费</w:t>
      </w:r>
    </w:p>
    <w:p>
      <w:pPr>
        <w:keepNext w:val="0"/>
        <w:keepLines w:val="0"/>
        <w:pageBreakBefore w:val="0"/>
        <w:widowControl w:val="0"/>
        <w:kinsoku/>
        <w:wordWrap/>
        <w:overflowPunct/>
        <w:topLinePunct w:val="0"/>
        <w:autoSpaceDE w:val="0"/>
        <w:autoSpaceDN w:val="0"/>
        <w:bidi w:val="0"/>
        <w:adjustRightInd w:val="0"/>
        <w:snapToGrid/>
        <w:spacing w:line="555" w:lineRule="exact"/>
        <w:ind w:firstLine="640" w:firstLineChars="200"/>
        <w:jc w:val="both"/>
        <w:textAlignment w:val="auto"/>
        <w:rPr>
          <w:rFonts w:hint="eastAsia"/>
        </w:rPr>
      </w:pPr>
      <w:r>
        <w:rPr>
          <w:rFonts w:hint="eastAsia" w:ascii="仿宋_GB2312" w:hAnsi="仿宋_GB2312" w:eastAsia="仿宋_GB2312"/>
          <w:color w:val="auto"/>
          <w:sz w:val="32"/>
          <w:szCs w:val="24"/>
        </w:rPr>
        <w:t>2026年厦门市高林南区幼儿园的机关运行经费财政拨款预算</w:t>
      </w:r>
      <w:r>
        <w:rPr>
          <w:rFonts w:hint="eastAsia" w:ascii="仿宋_GB2312" w:hAnsi="仿宋_GB2312" w:eastAsia="仿宋_GB2312"/>
          <w:color w:val="auto"/>
          <w:sz w:val="32"/>
          <w:szCs w:val="24"/>
          <w:lang w:val="en-US" w:eastAsia="zh-CN"/>
        </w:rPr>
        <w:t>0</w:t>
      </w:r>
      <w:r>
        <w:rPr>
          <w:rFonts w:hint="eastAsia" w:ascii="仿宋_GB2312" w:hAnsi="仿宋_GB2312" w:eastAsia="仿宋_GB2312"/>
          <w:color w:val="auto"/>
          <w:sz w:val="32"/>
          <w:szCs w:val="24"/>
        </w:rPr>
        <w:t>万元，比2025年预算减少（增加）</w:t>
      </w:r>
      <w:r>
        <w:rPr>
          <w:rFonts w:hint="eastAsia" w:ascii="仿宋_GB2312" w:hAnsi="仿宋_GB2312" w:eastAsia="仿宋_GB2312"/>
          <w:color w:val="auto"/>
          <w:sz w:val="32"/>
          <w:szCs w:val="24"/>
          <w:lang w:val="en-US" w:eastAsia="zh-CN"/>
        </w:rPr>
        <w:t>0</w:t>
      </w:r>
      <w:r>
        <w:rPr>
          <w:rFonts w:hint="eastAsia" w:ascii="仿宋_GB2312" w:hAnsi="仿宋_GB2312" w:eastAsia="仿宋_GB2312"/>
          <w:color w:val="auto"/>
          <w:sz w:val="32"/>
          <w:szCs w:val="24"/>
        </w:rPr>
        <w:t>万元，下降（增长）</w:t>
      </w:r>
      <w:r>
        <w:rPr>
          <w:rFonts w:hint="eastAsia" w:ascii="仿宋_GB2312" w:hAnsi="仿宋_GB2312" w:eastAsia="仿宋_GB2312"/>
          <w:color w:val="auto"/>
          <w:sz w:val="32"/>
          <w:szCs w:val="24"/>
          <w:lang w:val="en-US" w:eastAsia="zh-CN"/>
        </w:rPr>
        <w:t>0</w:t>
      </w:r>
      <w:r>
        <w:rPr>
          <w:rFonts w:hint="eastAsia" w:ascii="仿宋_GB2312" w:hAnsi="仿宋_GB2312" w:eastAsia="仿宋_GB2312"/>
          <w:color w:val="auto"/>
          <w:sz w:val="32"/>
          <w:szCs w:val="24"/>
        </w:rPr>
        <w:t>%。</w:t>
      </w:r>
      <w:r>
        <w:rPr>
          <w:rFonts w:hint="eastAsia" w:ascii="仿宋_GB2312" w:hAnsi="仿宋_GB2312" w:eastAsia="仿宋_GB2312"/>
          <w:sz w:val="32"/>
        </w:rPr>
        <w:t>主要原因是:</w:t>
      </w:r>
      <w:r>
        <w:rPr>
          <w:rFonts w:hint="eastAsia" w:ascii="仿宋_GB2312" w:hAnsi="仿宋_GB2312" w:eastAsia="仿宋_GB2312"/>
          <w:sz w:val="32"/>
          <w:lang w:eastAsia="zh-CN"/>
        </w:rPr>
        <w:t>本单位为事业单位，</w:t>
      </w:r>
      <w:r>
        <w:rPr>
          <w:rFonts w:hint="eastAsia" w:ascii="仿宋_GB2312" w:hAnsi="仿宋_GB2312" w:eastAsia="仿宋_GB2312"/>
          <w:sz w:val="32"/>
          <w:lang w:val="en-US" w:eastAsia="zh-CN"/>
        </w:rPr>
        <w:t>2026年</w:t>
      </w:r>
      <w:r>
        <w:rPr>
          <w:rFonts w:hint="eastAsia" w:ascii="仿宋_GB2312" w:hAnsi="仿宋_GB2312" w:eastAsia="仿宋_GB2312"/>
          <w:sz w:val="32"/>
          <w:lang w:eastAsia="zh-CN"/>
        </w:rPr>
        <w:t>没有机关运行经费预算</w:t>
      </w:r>
      <w:r>
        <w:rPr>
          <w:rFonts w:hint="eastAsia" w:ascii="仿宋_GB2312" w:hAnsi="仿宋_GB2312" w:eastAsia="仿宋_GB2312" w:cs="Times New Roman"/>
          <w:sz w:val="32"/>
          <w:szCs w:val="24"/>
        </w:rPr>
        <w:t>。</w:t>
      </w:r>
    </w:p>
    <w:p>
      <w:pPr>
        <w:spacing w:line="555" w:lineRule="exact"/>
        <w:jc w:val="both"/>
        <w:rPr>
          <w:rFonts w:hint="default" w:ascii="仿宋_GB2312" w:hAnsi="仿宋_GB2312" w:eastAsia="仿宋_GB2312"/>
          <w:sz w:val="32"/>
          <w:szCs w:val="24"/>
        </w:rPr>
      </w:pPr>
      <w:r>
        <w:rPr>
          <w:rFonts w:hint="eastAsia" w:ascii="华文仿宋" w:hAnsi="华文仿宋" w:eastAsia="华文仿宋"/>
          <w:sz w:val="32"/>
          <w:szCs w:val="24"/>
        </w:rPr>
        <w:t>　　</w:t>
      </w:r>
      <w:r>
        <w:rPr>
          <w:rFonts w:hint="eastAsia" w:ascii="楷体" w:hAnsi="楷体" w:eastAsia="楷体"/>
          <w:sz w:val="32"/>
          <w:szCs w:val="24"/>
        </w:rPr>
        <w:t>（二）政府采购情况</w:t>
      </w:r>
    </w:p>
    <w:p>
      <w:pPr>
        <w:keepNext w:val="0"/>
        <w:keepLines w:val="0"/>
        <w:pageBreakBefore w:val="0"/>
        <w:widowControl w:val="0"/>
        <w:kinsoku/>
        <w:wordWrap/>
        <w:overflowPunct/>
        <w:topLinePunct w:val="0"/>
        <w:autoSpaceDE w:val="0"/>
        <w:autoSpaceDN w:val="0"/>
        <w:bidi w:val="0"/>
        <w:adjustRightInd w:val="0"/>
        <w:snapToGrid/>
        <w:spacing w:line="555" w:lineRule="exact"/>
        <w:ind w:firstLine="640" w:firstLineChars="200"/>
        <w:jc w:val="both"/>
        <w:textAlignment w:val="auto"/>
        <w:rPr>
          <w:rFonts w:hint="eastAsia" w:ascii="仿宋_GB2312" w:hAnsi="仿宋_GB2312" w:eastAsia="仿宋_GB2312" w:cs="Times New Roman"/>
          <w:sz w:val="32"/>
          <w:szCs w:val="24"/>
        </w:rPr>
      </w:pPr>
      <w:r>
        <w:rPr>
          <w:rFonts w:hint="eastAsia" w:ascii="仿宋_GB2312" w:hAnsi="仿宋_GB2312" w:eastAsia="仿宋_GB2312"/>
          <w:sz w:val="32"/>
          <w:szCs w:val="24"/>
        </w:rPr>
        <w:t>2026年厦门市高林南区幼儿园政府采购预算总额0.00万元，其中：政府采购货物预算0.00万元，政府采购工程预算0.00万元，政府采购服务预算0.00万元。</w:t>
      </w:r>
      <w:r>
        <w:rPr>
          <w:rFonts w:hint="eastAsia" w:ascii="FangSong_GB2312" w:hAnsi="FangSong_GB2312" w:eastAsia="FangSong_GB2312"/>
          <w:color w:val="auto"/>
          <w:sz w:val="32"/>
        </w:rPr>
        <w:t>主要原因是:</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FangSong_GB2312" w:hAnsi="FangSong_GB2312" w:eastAsia="FangSong_GB2312"/>
          <w:color w:val="auto"/>
          <w:sz w:val="32"/>
          <w:lang w:val="en-US" w:eastAsia="zh-CN"/>
        </w:rPr>
        <w:t>2026年</w:t>
      </w:r>
      <w:r>
        <w:rPr>
          <w:rFonts w:hint="eastAsia" w:ascii="FangSong_GB2312" w:hAnsi="FangSong_GB2312" w:eastAsia="FangSong_GB2312"/>
          <w:color w:val="auto"/>
          <w:sz w:val="32"/>
          <w:lang w:eastAsia="zh-CN"/>
        </w:rPr>
        <w:t>没有政府采购预算安排</w:t>
      </w:r>
      <w:r>
        <w:rPr>
          <w:rFonts w:hint="eastAsia" w:ascii="仿宋_GB2312" w:hAnsi="仿宋_GB2312" w:eastAsia="仿宋_GB2312" w:cs="Times New Roman"/>
          <w:sz w:val="32"/>
          <w:szCs w:val="24"/>
        </w:rPr>
        <w:t>。</w:t>
      </w:r>
    </w:p>
    <w:p>
      <w:pPr>
        <w:spacing w:line="555" w:lineRule="exact"/>
        <w:jc w:val="both"/>
        <w:rPr>
          <w:rFonts w:hint="default" w:ascii="仿宋_GB2312" w:hAnsi="仿宋_GB2312" w:eastAsia="仿宋_GB2312"/>
          <w:sz w:val="32"/>
          <w:szCs w:val="24"/>
        </w:rPr>
      </w:pPr>
      <w:r>
        <w:rPr>
          <w:rFonts w:hint="eastAsia" w:ascii="Dialog" w:hAnsi="Dialog" w:eastAsia="仿宋_GB2312"/>
          <w:sz w:val="32"/>
          <w:szCs w:val="24"/>
        </w:rPr>
        <w:t>　　</w:t>
      </w:r>
      <w:r>
        <w:rPr>
          <w:rFonts w:hint="eastAsia" w:ascii="楷体" w:hAnsi="楷体" w:eastAsia="楷体"/>
          <w:sz w:val="32"/>
          <w:szCs w:val="24"/>
        </w:rPr>
        <w:t>（三）国有资产占有使用情况</w:t>
      </w:r>
    </w:p>
    <w:p>
      <w:pPr>
        <w:spacing w:line="555" w:lineRule="exact"/>
        <w:ind w:firstLine="640"/>
        <w:jc w:val="both"/>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截至2025年12月31日，厦门市高林南区幼儿园所属各预算单位共有车辆</w:t>
      </w:r>
      <w:r>
        <w:rPr>
          <w:rFonts w:hint="eastAsia" w:ascii="仿宋_GB2312" w:hAnsi="仿宋_GB2312" w:eastAsia="仿宋_GB2312"/>
          <w:color w:val="auto"/>
          <w:sz w:val="32"/>
          <w:szCs w:val="24"/>
          <w:lang w:val="en-US" w:eastAsia="zh-CN"/>
        </w:rPr>
        <w:t>0</w:t>
      </w:r>
      <w:r>
        <w:rPr>
          <w:rFonts w:hint="eastAsia" w:ascii="仿宋_GB2312" w:hAnsi="仿宋_GB2312" w:eastAsia="仿宋_GB2312"/>
          <w:color w:val="auto"/>
          <w:sz w:val="32"/>
          <w:szCs w:val="24"/>
        </w:rPr>
        <w:t>辆，单位价值100万元以上设备</w:t>
      </w:r>
      <w:r>
        <w:rPr>
          <w:rFonts w:hint="eastAsia" w:ascii="仿宋_GB2312" w:hAnsi="仿宋_GB2312" w:eastAsia="仿宋_GB2312"/>
          <w:color w:val="auto"/>
          <w:sz w:val="32"/>
          <w:szCs w:val="24"/>
          <w:lang w:val="en-US" w:eastAsia="zh-CN"/>
        </w:rPr>
        <w:t>0</w:t>
      </w:r>
      <w:r>
        <w:rPr>
          <w:rFonts w:hint="eastAsia" w:ascii="仿宋_GB2312" w:hAnsi="仿宋_GB2312" w:eastAsia="仿宋_GB2312"/>
          <w:color w:val="auto"/>
          <w:sz w:val="32"/>
          <w:szCs w:val="24"/>
        </w:rPr>
        <w:t>台（套）。</w:t>
      </w:r>
      <w:r>
        <w:rPr>
          <w:rFonts w:hint="default" w:ascii="仿宋_GB2312" w:hAnsi="??_GB2312" w:eastAsia="仿宋_GB2312"/>
          <w:sz w:val="32"/>
        </w:rPr>
        <w:t>说明：本单位没有国有资产占有使用情况</w:t>
      </w:r>
      <w:r>
        <w:rPr>
          <w:rFonts w:hint="eastAsia" w:ascii="仿宋_GB2312" w:hAnsi="仿宋_GB2312" w:eastAsia="仿宋_GB2312"/>
          <w:color w:val="auto"/>
          <w:sz w:val="32"/>
          <w:szCs w:val="24"/>
        </w:rPr>
        <w:t>。</w:t>
      </w:r>
    </w:p>
    <w:p>
      <w:pPr>
        <w:spacing w:line="555" w:lineRule="exact"/>
        <w:ind w:firstLine="640"/>
        <w:jc w:val="both"/>
        <w:rPr>
          <w:rFonts w:hint="default" w:ascii="仿宋_GB2312" w:hAnsi="仿宋_GB2312" w:eastAsia="仿宋_GB2312"/>
          <w:sz w:val="32"/>
          <w:szCs w:val="24"/>
        </w:rPr>
      </w:pPr>
      <w:r>
        <w:rPr>
          <w:rFonts w:hint="eastAsia" w:ascii="楷体" w:hAnsi="楷体" w:eastAsia="楷体"/>
          <w:sz w:val="32"/>
          <w:szCs w:val="24"/>
        </w:rPr>
        <w:t>（四）绩效目标设置情况</w:t>
      </w:r>
    </w:p>
    <w:p>
      <w:pPr>
        <w:spacing w:line="555" w:lineRule="exact"/>
        <w:ind w:left="20" w:firstLine="640" w:firstLineChars="200"/>
        <w:jc w:val="both"/>
        <w:rPr>
          <w:rFonts w:hint="eastAsia" w:ascii="黑体" w:hAnsi="黑体" w:eastAsia="黑体"/>
          <w:sz w:val="32"/>
          <w:szCs w:val="24"/>
        </w:rPr>
      </w:pPr>
      <w:r>
        <w:rPr>
          <w:rFonts w:hint="eastAsia" w:ascii="仿宋_GB2312" w:hAnsi="仿宋_GB2312" w:eastAsia="仿宋_GB2312"/>
          <w:sz w:val="32"/>
          <w:szCs w:val="24"/>
        </w:rPr>
        <w:t>厦门市高林南区幼儿园2026年实行绩效目标管理的二级项目0个，涉及一般公共预算拨款0.00万元、政府性基金预算拨款0.00万元。</w:t>
      </w:r>
      <w:r>
        <w:rPr>
          <w:rFonts w:hint="default" w:ascii="仿宋_GB2312" w:hAnsi="仿宋_GB2312" w:eastAsia="仿宋_GB2312"/>
          <w:sz w:val="32"/>
        </w:rPr>
        <w:t>说明</w:t>
      </w:r>
      <w:r>
        <w:rPr>
          <w:rFonts w:hint="default" w:ascii="仿宋_GB2312" w:hAnsi="仿宋_GB2312" w:eastAsia="仿宋_GB2312"/>
          <w:sz w:val="32"/>
          <w:lang w:eastAsia="zh-CN"/>
        </w:rPr>
        <w:t>：本单位</w:t>
      </w:r>
      <w:r>
        <w:rPr>
          <w:rFonts w:hint="default" w:ascii="仿宋_GB2312" w:hAnsi="仿宋_GB2312" w:eastAsia="仿宋_GB2312"/>
          <w:sz w:val="32"/>
          <w:lang w:val="en-US" w:eastAsia="zh-CN"/>
        </w:rPr>
        <w:t>2026年没有项目预算安排</w:t>
      </w:r>
      <w:r>
        <w:rPr>
          <w:rFonts w:hint="eastAsia" w:ascii="仿宋_GB2312" w:hAnsi="仿宋_GB2312" w:eastAsia="仿宋_GB2312" w:cs="Times New Roman"/>
          <w:sz w:val="32"/>
          <w:szCs w:val="24"/>
          <w:lang w:eastAsia="zh-CN"/>
        </w:rPr>
        <w:t>。</w:t>
      </w:r>
    </w:p>
    <w:p>
      <w:pPr>
        <w:spacing w:line="555" w:lineRule="exact"/>
        <w:ind w:left="20"/>
        <w:jc w:val="both"/>
        <w:rPr>
          <w:rFonts w:hint="eastAsia" w:ascii="黑体" w:hAnsi="黑体" w:eastAsia="黑体"/>
          <w:sz w:val="32"/>
          <w:szCs w:val="24"/>
        </w:rPr>
      </w:pPr>
    </w:p>
    <w:p>
      <w:pPr>
        <w:spacing w:line="555" w:lineRule="exact"/>
        <w:ind w:left="20"/>
        <w:jc w:val="center"/>
        <w:rPr>
          <w:rFonts w:hint="eastAsia" w:ascii="黑体" w:hAnsi="黑体" w:eastAsia="黑体"/>
          <w:sz w:val="32"/>
          <w:szCs w:val="24"/>
        </w:rPr>
      </w:pPr>
      <w:r>
        <w:rPr>
          <w:rFonts w:hint="eastAsia" w:ascii="黑体" w:hAnsi="黑体" w:eastAsia="黑体"/>
          <w:sz w:val="32"/>
          <w:szCs w:val="24"/>
        </w:rPr>
        <w:t>第三部分  名词解释</w:t>
      </w:r>
    </w:p>
    <w:p>
      <w:pPr>
        <w:spacing w:line="555" w:lineRule="exact"/>
        <w:ind w:firstLine="640" w:firstLineChars="200"/>
        <w:jc w:val="both"/>
        <w:rPr>
          <w:rFonts w:hint="default" w:ascii="楷体_GB2312" w:hAnsi="楷体_GB2312" w:eastAsia="楷体_GB2312"/>
          <w:sz w:val="32"/>
          <w:szCs w:val="24"/>
        </w:rPr>
      </w:pPr>
      <w:r>
        <w:rPr>
          <w:rFonts w:hint="eastAsia" w:ascii="楷体_GB2312" w:hAnsi="楷体_GB2312" w:eastAsia="楷体_GB2312"/>
          <w:sz w:val="32"/>
          <w:szCs w:val="24"/>
        </w:rPr>
        <w:t>一、基本支出</w:t>
      </w:r>
      <w:r>
        <w:rPr>
          <w:rFonts w:hint="eastAsia" w:ascii="楷体" w:hAnsi="楷体" w:eastAsia="楷体"/>
          <w:sz w:val="32"/>
          <w:szCs w:val="24"/>
        </w:rPr>
        <w:t>：</w:t>
      </w:r>
      <w:r>
        <w:rPr>
          <w:rFonts w:hint="eastAsia" w:ascii="仿宋_GB2312" w:hAnsi="仿宋_GB2312" w:eastAsia="仿宋_GB2312"/>
          <w:sz w:val="32"/>
          <w:szCs w:val="24"/>
        </w:rPr>
        <w:t>指为保障机构正常运转、完成日常工作任务而发生的人员支出、对个人和家庭的补助支出和公用支出。</w:t>
      </w:r>
    </w:p>
    <w:p>
      <w:pPr>
        <w:spacing w:line="555" w:lineRule="exact"/>
        <w:jc w:val="both"/>
        <w:rPr>
          <w:rFonts w:hint="default" w:ascii="楷体_GB2312" w:hAnsi="楷体_GB2312" w:eastAsia="楷体_GB2312"/>
          <w:sz w:val="32"/>
          <w:szCs w:val="24"/>
        </w:rPr>
      </w:pPr>
      <w:r>
        <w:rPr>
          <w:rFonts w:hint="eastAsia" w:ascii="楷体_GB2312" w:hAnsi="楷体_GB2312" w:eastAsia="楷体_GB2312"/>
          <w:sz w:val="32"/>
          <w:szCs w:val="24"/>
        </w:rPr>
        <w:t>　　二、项目支出：</w:t>
      </w:r>
      <w:r>
        <w:rPr>
          <w:rFonts w:hint="eastAsia" w:ascii="仿宋_GB2312" w:hAnsi="仿宋_GB2312" w:eastAsia="仿宋_GB2312"/>
          <w:sz w:val="32"/>
          <w:szCs w:val="24"/>
        </w:rPr>
        <w:t>指在基本支出之外为完成特定行政任务和事业发展目标所发生的支出，包括部门专项、发展经费和基建项目。</w:t>
      </w:r>
    </w:p>
    <w:p>
      <w:pPr>
        <w:spacing w:line="555" w:lineRule="exact"/>
        <w:jc w:val="both"/>
        <w:rPr>
          <w:rFonts w:hint="default" w:ascii="楷体_GB2312" w:hAnsi="楷体_GB2312" w:eastAsia="楷体_GB2312"/>
          <w:sz w:val="32"/>
          <w:szCs w:val="24"/>
        </w:rPr>
      </w:pPr>
      <w:r>
        <w:rPr>
          <w:rFonts w:hint="eastAsia" w:ascii="楷体_GB2312" w:hAnsi="楷体_GB2312" w:eastAsia="楷体_GB2312"/>
          <w:sz w:val="32"/>
          <w:szCs w:val="24"/>
        </w:rPr>
        <w:t>　　三、“三公”经费：</w:t>
      </w:r>
      <w:r>
        <w:rPr>
          <w:rFonts w:hint="eastAsia" w:ascii="仿宋_GB2312" w:hAnsi="仿宋_GB2312" w:eastAsia="仿宋_GB2312"/>
          <w:sz w:val="32"/>
          <w:szCs w:val="24"/>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hint="default" w:ascii="楷体_GB2312" w:hAnsi="楷体_GB2312" w:eastAsia="楷体_GB2312"/>
          <w:sz w:val="32"/>
          <w:szCs w:val="24"/>
        </w:rPr>
      </w:pPr>
      <w:r>
        <w:rPr>
          <w:rFonts w:hint="eastAsia" w:ascii="楷体_GB2312" w:hAnsi="楷体_GB2312" w:eastAsia="楷体_GB2312"/>
          <w:sz w:val="32"/>
          <w:szCs w:val="24"/>
        </w:rPr>
        <w:t>　　四、机关运行经费：</w:t>
      </w:r>
      <w:r>
        <w:rPr>
          <w:rFonts w:hint="eastAsia" w:ascii="仿宋_GB2312" w:hAnsi="仿宋_GB2312" w:eastAsia="仿宋_GB2312"/>
          <w:sz w:val="32"/>
          <w:szCs w:val="24"/>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jc w:val="both"/>
        <w:rPr>
          <w:rFonts w:hint="eastAsia" w:ascii="仿宋_GB2312" w:hAnsi="仿宋_GB2312" w:eastAsia="仿宋_GB2312"/>
          <w:sz w:val="32"/>
          <w:szCs w:val="24"/>
        </w:rPr>
      </w:pPr>
      <w:r>
        <w:rPr>
          <w:rFonts w:hint="eastAsia" w:ascii="楷体_GB2312" w:hAnsi="楷体_GB2312" w:eastAsia="楷体_GB2312"/>
          <w:sz w:val="32"/>
          <w:szCs w:val="24"/>
        </w:rPr>
        <w:t>　　五、其他名词解释。</w:t>
      </w:r>
      <w:r>
        <w:rPr>
          <w:rFonts w:hint="eastAsia" w:ascii="仿宋_GB2312" w:hAnsi="仿宋_GB2312" w:eastAsia="仿宋_GB2312" w:cs="Times New Roman"/>
          <w:sz w:val="32"/>
          <w:szCs w:val="24"/>
          <w:lang w:eastAsia="zh-CN"/>
        </w:rPr>
        <w:t>无</w:t>
      </w:r>
    </w:p>
    <w:p>
      <w:pPr>
        <w:spacing w:line="555" w:lineRule="exact"/>
        <w:ind w:left="20"/>
        <w:jc w:val="both"/>
        <w:rPr>
          <w:rFonts w:hint="eastAsia" w:ascii="黑体" w:hAnsi="黑体" w:eastAsia="黑体"/>
          <w:sz w:val="32"/>
          <w:szCs w:val="24"/>
        </w:rPr>
      </w:pPr>
    </w:p>
    <w:p>
      <w:pPr>
        <w:spacing w:line="555" w:lineRule="exact"/>
        <w:ind w:left="20"/>
        <w:jc w:val="center"/>
        <w:rPr>
          <w:rFonts w:hint="eastAsia" w:ascii="黑体" w:hAnsi="黑体" w:eastAsia="黑体"/>
          <w:sz w:val="32"/>
          <w:szCs w:val="24"/>
        </w:rPr>
      </w:pPr>
      <w:r>
        <w:rPr>
          <w:rFonts w:hint="eastAsia" w:ascii="黑体" w:hAnsi="黑体" w:eastAsia="黑体"/>
          <w:sz w:val="32"/>
          <w:szCs w:val="24"/>
        </w:rPr>
        <w:t>第四部分  2026年单位预算附表</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一、部门收支预算总体情况表</w:t>
      </w:r>
      <w:bookmarkStart w:id="0" w:name="_GoBack"/>
      <w:bookmarkEnd w:id="0"/>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二、部门收入预算总体情况表</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三、部门支出预算总体情况表</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四、财政拨款收支预算总体情况表</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五、一般公共预算支出情况表</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六、一般公共预算基本支出情况表（经济分类款级科目）</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七、一般公共预算“三公”经费支出情况表</w:t>
      </w:r>
    </w:p>
    <w:p>
      <w:pPr>
        <w:spacing w:line="540" w:lineRule="exact"/>
        <w:jc w:val="both"/>
        <w:rPr>
          <w:rFonts w:hint="default" w:ascii="仿宋_GB2312" w:hAnsi="仿宋_GB2312" w:eastAsia="仿宋_GB2312"/>
          <w:sz w:val="32"/>
          <w:szCs w:val="24"/>
        </w:rPr>
      </w:pPr>
      <w:r>
        <w:rPr>
          <w:rFonts w:hint="eastAsia" w:ascii="仿宋_GB2312" w:hAnsi="仿宋_GB2312" w:eastAsia="仿宋_GB2312"/>
          <w:sz w:val="32"/>
          <w:szCs w:val="24"/>
        </w:rPr>
        <w:t>　　八、政府性基金预算支出情况表</w:t>
      </w:r>
    </w:p>
    <w:p>
      <w:pPr>
        <w:spacing w:line="540" w:lineRule="exact"/>
        <w:ind w:firstLine="640" w:firstLineChars="200"/>
        <w:jc w:val="both"/>
        <w:rPr>
          <w:rFonts w:hint="eastAsia" w:ascii="仿宋_GB2312" w:hAnsi="仿宋_GB2312" w:eastAsia="仿宋_GB2312"/>
          <w:sz w:val="32"/>
          <w:szCs w:val="24"/>
        </w:rPr>
      </w:pPr>
      <w:r>
        <w:rPr>
          <w:rFonts w:hint="eastAsia" w:ascii="仿宋_GB2312" w:hAnsi="仿宋_GB2312" w:eastAsia="仿宋_GB2312"/>
          <w:sz w:val="32"/>
          <w:szCs w:val="24"/>
        </w:rPr>
        <w:t>九、区对镇（街）转移支付项目支出预算表</w:t>
      </w:r>
    </w:p>
    <w:p>
      <w:pPr>
        <w:spacing w:line="540" w:lineRule="exact"/>
        <w:ind w:firstLine="640" w:firstLineChars="200"/>
        <w:jc w:val="both"/>
        <w:rPr>
          <w:rFonts w:hint="eastAsia" w:ascii="黑体" w:hAnsi="黑体" w:eastAsia="黑体"/>
          <w:sz w:val="32"/>
          <w:szCs w:val="24"/>
        </w:rPr>
      </w:pPr>
      <w:r>
        <w:rPr>
          <w:rFonts w:hint="eastAsia" w:ascii="仿宋_GB2312" w:hAnsi="仿宋_GB2312" w:eastAsia="仿宋_GB2312" w:cs="Times New Roman"/>
          <w:color w:val="000000"/>
          <w:sz w:val="32"/>
          <w:szCs w:val="24"/>
          <w:lang w:val="en-US" w:eastAsia="zh-CN"/>
        </w:rPr>
        <w:t>十、二级项目绩效目标表</w:t>
      </w:r>
    </w:p>
    <w:p>
      <w:pPr>
        <w:rPr>
          <w:rFonts w:hint="default"/>
          <w:sz w:val="24"/>
          <w:szCs w:val="24"/>
        </w:rPr>
      </w:pPr>
    </w:p>
    <w:sectPr>
      <w:footerReference r:id="rId3"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roman"/>
    <w:pitch w:val="default"/>
    <w:sig w:usb0="00000000" w:usb1="00000000" w:usb2="00000012" w:usb3="00000000" w:csb0="00040001"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Dialog">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FangSong_GB2312">
    <w:altName w:val="仿宋"/>
    <w:panose1 w:val="00000000000000000000"/>
    <w:charset w:val="86"/>
    <w:family w:val="roman"/>
    <w:pitch w:val="default"/>
    <w:sig w:usb0="00000000" w:usb1="00000000" w:usb2="00000000" w:usb3="00000000" w:csb0="00040000" w:csb1="00000000"/>
  </w:font>
  <w:font w:name="??_GB2312">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val="0"/>
          <w:vAlign w:val="top"/>
        </w:tcPr>
        <w:p>
          <w:pPr>
            <w:rPr>
              <w:rFonts w:hint="default"/>
              <w:sz w:val="24"/>
              <w:szCs w:val="24"/>
            </w:rPr>
          </w:pPr>
        </w:p>
      </w:tc>
      <w:tc>
        <w:tcPr>
          <w:tcW w:w="3163" w:type="dxa"/>
          <w:tcBorders>
            <w:top w:val="nil"/>
            <w:left w:val="nil"/>
            <w:bottom w:val="nil"/>
            <w:right w:val="nil"/>
            <w:tl2br w:val="nil"/>
            <w:tr2bl w:val="nil"/>
          </w:tcBorders>
          <w:shd w:val="clear" w:color="auto" w:fill="FFFFFF"/>
          <w:noWrap w:val="0"/>
          <w:vAlign w:val="top"/>
        </w:tcPr>
        <w:p>
          <w:pPr>
            <w:spacing w:line="320" w:lineRule="atLeast"/>
            <w:jc w:val="center"/>
            <w:rPr>
              <w:rFonts w:hint="eastAsia" w:ascii="宋体" w:hAnsi="宋体"/>
              <w:sz w:val="18"/>
              <w:szCs w:val="24"/>
            </w:rPr>
          </w:pPr>
          <w:r>
            <w:rPr>
              <w:rFonts w:hint="eastAsia" w:ascii="宋体" w:hAnsi="宋体"/>
              <w:sz w:val="18"/>
              <w:szCs w:val="24"/>
            </w:rPr>
            <w:fldChar w:fldCharType="begin"/>
          </w:r>
          <w:r>
            <w:rPr>
              <w:rFonts w:hint="eastAsia" w:ascii="宋体" w:hAnsi="宋体"/>
              <w:sz w:val="18"/>
              <w:szCs w:val="24"/>
            </w:rPr>
            <w:instrText xml:space="preserve">PAGE</w:instrText>
          </w:r>
          <w:r>
            <w:rPr>
              <w:rFonts w:hint="eastAsia" w:ascii="宋体" w:hAnsi="宋体"/>
              <w:sz w:val="18"/>
              <w:szCs w:val="24"/>
            </w:rPr>
            <w:fldChar w:fldCharType="separate"/>
          </w:r>
          <w:r>
            <w:rPr>
              <w:rFonts w:hint="eastAsia" w:ascii="宋体" w:hAnsi="宋体"/>
              <w:sz w:val="18"/>
              <w:szCs w:val="24"/>
            </w:rPr>
            <w:t xml:space="preserve"> </w:t>
          </w:r>
          <w:r>
            <w:rPr>
              <w:rFonts w:hint="eastAsia" w:ascii="宋体" w:hAnsi="宋体"/>
              <w:sz w:val="18"/>
              <w:szCs w:val="24"/>
            </w:rPr>
            <w:fldChar w:fldCharType="end"/>
          </w:r>
          <w:r>
            <w:rPr>
              <w:rFonts w:hint="eastAsia" w:ascii="宋体" w:hAnsi="宋体"/>
              <w:sz w:val="18"/>
              <w:szCs w:val="24"/>
            </w:rPr>
            <w:t xml:space="preserve"> </w:t>
          </w:r>
        </w:p>
      </w:tc>
      <w:tc>
        <w:tcPr>
          <w:tcW w:w="3163" w:type="dxa"/>
          <w:tcBorders>
            <w:top w:val="nil"/>
            <w:left w:val="nil"/>
            <w:bottom w:val="nil"/>
            <w:right w:val="nil"/>
            <w:tl2br w:val="nil"/>
            <w:tr2bl w:val="nil"/>
          </w:tcBorders>
          <w:shd w:val="clear" w:color="auto" w:fill="FFFFFF"/>
          <w:noWrap w:val="0"/>
          <w:vAlign w:val="top"/>
        </w:tcPr>
        <w:p>
          <w:pPr>
            <w:rPr>
              <w:rFonts w:hint="default"/>
              <w:sz w:val="24"/>
              <w:szCs w:val="24"/>
            </w:rPr>
          </w:pPr>
        </w:p>
      </w:tc>
    </w:tr>
  </w:tbl>
  <w:p>
    <w:pPr>
      <w:rPr>
        <w:rFonts w:hint="default"/>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1C97569"/>
    <w:rsid w:val="428B555B"/>
    <w:rsid w:val="438865FA"/>
    <w:rsid w:val="5A5788DB"/>
    <w:rsid w:val="6B4235BE"/>
    <w:rsid w:val="7A1C0283"/>
    <w:rsid w:val="7DFB5DB6"/>
    <w:rsid w:val="7FFF7D75"/>
    <w:rsid w:val="DFBF72BF"/>
    <w:rsid w:val="FD51C3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Arial" w:hAnsi="Arial" w:eastAsia="宋体" w:cs="Times New Roman"/>
      <w:color w:val="000000"/>
      <w:sz w:val="24"/>
      <w:szCs w:val="24"/>
    </w:rPr>
  </w:style>
  <w:style w:type="paragraph" w:styleId="3">
    <w:name w:val="heading 1"/>
    <w:next w:val="1"/>
    <w:unhideWhenUsed/>
    <w:qFormat/>
    <w:uiPriority w:val="99"/>
    <w:pPr>
      <w:widowControl w:val="0"/>
      <w:autoSpaceDE w:val="0"/>
      <w:autoSpaceDN w:val="0"/>
      <w:adjustRightInd w:val="0"/>
    </w:pPr>
    <w:rPr>
      <w:rFonts w:hint="default" w:ascii="Arial" w:hAnsi="Arial" w:eastAsia="宋体" w:cs="Times New Roman"/>
      <w:b/>
      <w:color w:val="000000"/>
      <w:sz w:val="32"/>
      <w:szCs w:val="24"/>
    </w:rPr>
  </w:style>
  <w:style w:type="paragraph" w:styleId="4">
    <w:name w:val="heading 2"/>
    <w:next w:val="1"/>
    <w:unhideWhenUsed/>
    <w:qFormat/>
    <w:uiPriority w:val="99"/>
    <w:pPr>
      <w:widowControl w:val="0"/>
      <w:autoSpaceDE w:val="0"/>
      <w:autoSpaceDN w:val="0"/>
      <w:adjustRightInd w:val="0"/>
    </w:pPr>
    <w:rPr>
      <w:rFonts w:hint="default" w:ascii="Arial" w:hAnsi="Arial" w:eastAsia="宋体" w:cs="Times New Roman"/>
      <w:b/>
      <w:i/>
      <w:color w:val="000000"/>
      <w:sz w:val="28"/>
      <w:szCs w:val="24"/>
    </w:rPr>
  </w:style>
  <w:style w:type="paragraph" w:styleId="5">
    <w:name w:val="heading 3"/>
    <w:next w:val="1"/>
    <w:unhideWhenUsed/>
    <w:qFormat/>
    <w:uiPriority w:val="99"/>
    <w:pPr>
      <w:widowControl w:val="0"/>
      <w:autoSpaceDE w:val="0"/>
      <w:autoSpaceDN w:val="0"/>
      <w:adjustRightInd w:val="0"/>
    </w:pPr>
    <w:rPr>
      <w:rFonts w:hint="default" w:ascii="Arial" w:hAnsi="Arial" w:eastAsia="宋体" w:cs="Times New Roman"/>
      <w:b/>
      <w:color w:val="000000"/>
      <w:sz w:val="26"/>
      <w:szCs w:val="24"/>
    </w:rPr>
  </w:style>
  <w:style w:type="character" w:default="1" w:styleId="8">
    <w:name w:val="Default Paragraph Font"/>
    <w:unhideWhenUsed/>
    <w:qFormat/>
    <w:uiPriority w:val="99"/>
    <w:rPr>
      <w:rFonts w:hint="default"/>
      <w:sz w:val="24"/>
      <w:szCs w:val="24"/>
    </w:rPr>
  </w:style>
  <w:style w:type="table" w:default="1" w:styleId="9">
    <w:name w:val="Normal Table"/>
    <w:qFormat/>
    <w:uiPriority w:val="99"/>
    <w:tblPr>
      <w:tblLayout w:type="fixed"/>
      <w:tblCellMar>
        <w:top w:w="0" w:type="dxa"/>
        <w:left w:w="108" w:type="dxa"/>
        <w:bottom w:w="0" w:type="dxa"/>
        <w:right w:w="108" w:type="dxa"/>
      </w:tblCellMar>
    </w:tblPr>
  </w:style>
  <w:style w:type="paragraph" w:customStyle="1" w:styleId="2">
    <w:name w:val="1.正文"/>
    <w:basedOn w:val="1"/>
    <w:unhideWhenUsed/>
    <w:qFormat/>
    <w:uiPriority w:val="99"/>
    <w:pPr>
      <w:spacing w:beforeLines="0" w:afterLines="0"/>
    </w:pPr>
    <w:rPr>
      <w:rFonts w:hint="default" w:hAnsi="Times New Roman"/>
      <w:sz w:val="24"/>
    </w:rPr>
  </w:style>
  <w:style w:type="paragraph" w:styleId="6">
    <w:name w:val="Body Text First Indent"/>
    <w:basedOn w:val="7"/>
    <w:unhideWhenUsed/>
    <w:qFormat/>
    <w:uiPriority w:val="99"/>
    <w:pPr>
      <w:spacing w:beforeLines="0" w:afterLines="0"/>
      <w:ind w:firstLine="420" w:firstLineChars="100"/>
    </w:pPr>
    <w:rPr>
      <w:rFonts w:hint="eastAsia" w:ascii="Calibri" w:hAnsi="Calibri"/>
      <w:sz w:val="20"/>
      <w:szCs w:val="24"/>
    </w:rPr>
  </w:style>
  <w:style w:type="paragraph" w:styleId="7">
    <w:name w:val="Body Text"/>
    <w:basedOn w:val="1"/>
    <w:unhideWhenUsed/>
    <w:qFormat/>
    <w:uiPriority w:val="99"/>
    <w:pPr>
      <w:spacing w:beforeLines="0" w:after="120" w:afterLines="0"/>
    </w:pPr>
    <w:rPr>
      <w:rFonts w:hint="eastAs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2025-02-07T17:39:00Z</dcterms:created>
  <dc:creator>uos</dc:creator>
  <cp:lastModifiedBy>Administrator</cp:lastModifiedBy>
  <dcterms:modified xsi:type="dcterms:W3CDTF">2026-01-28T05:53:48Z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BDB9FCFE727A8B3B0E90A467222CC830</vt:lpwstr>
  </property>
</Properties>
</file>