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both"/>
        <w:rPr>
          <w:rFonts w:hint="default"/>
          <w:sz w:val="2"/>
        </w:rPr>
      </w:pPr>
    </w:p>
    <w:p>
      <w:pPr>
        <w:spacing w:line="525" w:lineRule="exact"/>
        <w:jc w:val="center"/>
        <w:rPr>
          <w:rFonts w:hint="eastAsia" w:ascii="黑体" w:hAnsi="黑体" w:eastAsia="黑体"/>
          <w:sz w:val="30"/>
        </w:rPr>
      </w:pPr>
      <w:r>
        <w:rPr>
          <w:rFonts w:hint="eastAsia" w:ascii="方正小标宋简体" w:hAnsi="方正小标宋简体" w:eastAsia="方正小标宋简体"/>
          <w:sz w:val="44"/>
        </w:rPr>
        <w:t>2026年度厦门市吕岭小学单位预算</w:t>
      </w:r>
    </w:p>
    <w:p>
      <w:pPr>
        <w:spacing w:line="525" w:lineRule="exact"/>
        <w:jc w:val="center"/>
        <w:rPr>
          <w:rFonts w:hint="eastAsia" w:ascii="黑体" w:hAnsi="黑体" w:eastAsia="黑体"/>
          <w:sz w:val="30"/>
        </w:rPr>
      </w:pPr>
    </w:p>
    <w:p>
      <w:pPr>
        <w:spacing w:line="525" w:lineRule="exact"/>
        <w:jc w:val="center"/>
        <w:rPr>
          <w:rFonts w:hint="eastAsia" w:ascii="黑体" w:hAnsi="黑体" w:eastAsia="黑体"/>
          <w:sz w:val="32"/>
        </w:rPr>
      </w:pPr>
      <w:r>
        <w:rPr>
          <w:rFonts w:hint="eastAsia" w:ascii="黑体" w:hAnsi="黑体" w:eastAsia="黑体"/>
          <w:sz w:val="32"/>
        </w:rPr>
        <w:t>目　　录</w:t>
      </w:r>
    </w:p>
    <w:p>
      <w:pPr>
        <w:spacing w:line="555" w:lineRule="exact"/>
        <w:jc w:val="both"/>
        <w:rPr>
          <w:rFonts w:hint="eastAsia" w:ascii="仿宋" w:hAnsi="仿宋" w:eastAsia="仿宋"/>
          <w:sz w:val="32"/>
        </w:rPr>
      </w:pPr>
      <w:r>
        <w:rPr>
          <w:rFonts w:hint="eastAsia" w:ascii="黑体" w:hAnsi="黑体" w:eastAsia="黑体"/>
          <w:sz w:val="32"/>
        </w:rPr>
        <w:t>　　第一部分   单位概况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一、单位主要职责</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二、单位基本情况</w:t>
      </w:r>
    </w:p>
    <w:p>
      <w:pPr>
        <w:spacing w:line="555" w:lineRule="exact"/>
        <w:jc w:val="both"/>
        <w:rPr>
          <w:rFonts w:hint="eastAsia" w:ascii="黑体" w:hAnsi="黑体" w:eastAsia="黑体"/>
          <w:sz w:val="32"/>
        </w:rPr>
      </w:pPr>
      <w:r>
        <w:rPr>
          <w:rFonts w:hint="eastAsia" w:ascii="仿宋_GB2312" w:hAnsi="仿宋_GB2312" w:eastAsia="仿宋_GB2312"/>
          <w:sz w:val="32"/>
        </w:rPr>
        <w:t>　　三、单位主要工作任务</w:t>
      </w:r>
    </w:p>
    <w:p>
      <w:pPr>
        <w:spacing w:line="555" w:lineRule="exact"/>
        <w:jc w:val="both"/>
        <w:rPr>
          <w:rFonts w:hint="eastAsia" w:ascii="黑体" w:hAnsi="黑体" w:eastAsia="黑体"/>
          <w:sz w:val="32"/>
        </w:rPr>
      </w:pPr>
      <w:r>
        <w:rPr>
          <w:rFonts w:hint="eastAsia" w:ascii="黑体" w:hAnsi="黑体" w:eastAsia="黑体"/>
          <w:sz w:val="32"/>
        </w:rPr>
        <w:t>　　第二部分   2026年单位预算说明</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一、2026年单位预算收支总体情况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二、一般公共预算财政拨款支出预算情况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三、政府性基金预算财政拨款支出情况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四、“三公”经费财政拨款预算情况</w:t>
      </w:r>
    </w:p>
    <w:p>
      <w:pPr>
        <w:spacing w:line="555" w:lineRule="exact"/>
        <w:jc w:val="both"/>
        <w:rPr>
          <w:rFonts w:hint="eastAsia" w:ascii="黑体" w:hAnsi="黑体" w:eastAsia="黑体"/>
          <w:sz w:val="32"/>
        </w:rPr>
      </w:pPr>
      <w:r>
        <w:rPr>
          <w:rFonts w:hint="eastAsia" w:ascii="仿宋_GB2312" w:hAnsi="仿宋_GB2312" w:eastAsia="仿宋_GB2312"/>
          <w:sz w:val="32"/>
        </w:rPr>
        <w:t>　　五、其他重要事项的情况说明</w:t>
      </w:r>
    </w:p>
    <w:p>
      <w:pPr>
        <w:spacing w:line="555" w:lineRule="exact"/>
        <w:jc w:val="both"/>
        <w:rPr>
          <w:rFonts w:hint="eastAsia" w:ascii="黑体" w:hAnsi="黑体" w:eastAsia="黑体"/>
          <w:sz w:val="32"/>
        </w:rPr>
      </w:pPr>
      <w:r>
        <w:rPr>
          <w:rFonts w:hint="eastAsia" w:ascii="黑体" w:hAnsi="黑体" w:eastAsia="黑体"/>
          <w:sz w:val="32"/>
        </w:rPr>
        <w:t>　　第三部分   名词解释</w:t>
      </w:r>
    </w:p>
    <w:p>
      <w:pPr>
        <w:spacing w:line="555" w:lineRule="exact"/>
        <w:jc w:val="both"/>
        <w:rPr>
          <w:rFonts w:hint="eastAsia" w:ascii="黑体" w:hAnsi="黑体" w:eastAsia="黑体"/>
          <w:sz w:val="32"/>
        </w:rPr>
      </w:pPr>
      <w:r>
        <w:rPr>
          <w:rFonts w:hint="eastAsia" w:ascii="黑体" w:hAnsi="黑体" w:eastAsia="黑体"/>
          <w:sz w:val="32"/>
        </w:rPr>
        <w:t>　　第四部分   2026年单位预算附表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一、部门收支预算总体情况表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二、部门收入预算总体情况表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三、部门支出预算总体情况表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四、财政拨款收支预算总体情况表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五、 一般公共预算支出情况表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七、一般公共预算“三公”经费支出情况表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八、政府性基金预算支出情况表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九、区对镇（街）转移支付支出预算表</w:t>
      </w:r>
    </w:p>
    <w:p>
      <w:pPr>
        <w:spacing w:beforeLines="0" w:afterLines="0" w:line="555" w:lineRule="exact"/>
        <w:ind w:left="20" w:firstLine="640" w:firstLineChars="200"/>
        <w:jc w:val="both"/>
        <w:rPr>
          <w:rFonts w:hint="eastAsia" w:ascii="黑体" w:hAnsi="黑体" w:eastAsia="黑体"/>
          <w:sz w:val="32"/>
        </w:rPr>
      </w:pPr>
      <w:r>
        <w:rPr>
          <w:rFonts w:hint="eastAsia" w:ascii="仿宋_GB2312" w:hAnsi="仿宋_GB2312" w:eastAsia="仿宋_GB2312" w:cs="Times New Roman"/>
          <w:sz w:val="32"/>
          <w:szCs w:val="24"/>
          <w:lang w:eastAsia="zh-CN"/>
        </w:rPr>
        <w:t>十、二级项目绩效目标表</w:t>
      </w:r>
    </w:p>
    <w:p>
      <w:pPr>
        <w:spacing w:line="555" w:lineRule="exact"/>
        <w:ind w:left="20"/>
        <w:jc w:val="center"/>
        <w:rPr>
          <w:rFonts w:hint="eastAsia" w:ascii="黑体" w:hAnsi="黑体" w:eastAsia="黑体"/>
          <w:sz w:val="32"/>
        </w:rPr>
      </w:pPr>
      <w:r>
        <w:rPr>
          <w:rFonts w:hint="eastAsia" w:ascii="黑体" w:hAnsi="黑体" w:eastAsia="黑体"/>
          <w:sz w:val="32"/>
        </w:rPr>
        <w:t>第一部分  单位概况</w:t>
      </w:r>
    </w:p>
    <w:p>
      <w:pPr>
        <w:spacing w:line="555" w:lineRule="exact"/>
        <w:jc w:val="both"/>
        <w:rPr>
          <w:rFonts w:hint="eastAsia" w:ascii="仿宋_GB2312" w:hAnsi="仿宋_GB2312" w:eastAsia="仿宋_GB2312"/>
          <w:sz w:val="32"/>
        </w:rPr>
      </w:pPr>
      <w:r>
        <w:rPr>
          <w:rFonts w:hint="eastAsia" w:ascii="黑体" w:hAnsi="黑体" w:eastAsia="黑体"/>
          <w:sz w:val="32"/>
        </w:rPr>
        <w:t>　　一、单位主要职责</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厦门市吕岭小学的主要职责是：</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　</w:t>
      </w:r>
      <w:r>
        <w:rPr>
          <w:rFonts w:hint="eastAsia" w:ascii="仿宋_GB2312" w:hAnsi="仿宋_GB2312" w:eastAsia="仿宋_GB2312"/>
          <w:sz w:val="32"/>
          <w:lang w:val="en-US" w:eastAsia="zh-CN"/>
        </w:rPr>
        <w:t xml:space="preserve"> </w:t>
      </w:r>
      <w:r>
        <w:rPr>
          <w:rFonts w:hint="eastAsia" w:ascii="仿宋_GB2312" w:hAnsi="仿宋_GB2312" w:eastAsia="仿宋_GB2312" w:cs="Times New Roman"/>
          <w:color w:val="000000"/>
          <w:kern w:val="0"/>
          <w:sz w:val="32"/>
          <w:szCs w:val="22"/>
        </w:rPr>
        <w:t>（一）遵守法律法规,贯彻国家的教育方针，执行国家教育教学标准，保证教育教学质量。</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　</w:t>
      </w:r>
      <w:r>
        <w:rPr>
          <w:rFonts w:hint="eastAsia" w:ascii="仿宋_GB2312" w:hAnsi="仿宋_GB2312" w:eastAsia="仿宋_GB2312" w:cs="Times New Roman"/>
          <w:color w:val="000000"/>
          <w:kern w:val="0"/>
          <w:sz w:val="32"/>
          <w:szCs w:val="22"/>
          <w:lang w:val="en-US" w:eastAsia="zh-CN"/>
        </w:rPr>
        <w:t xml:space="preserve"> </w:t>
      </w:r>
      <w:r>
        <w:rPr>
          <w:rFonts w:hint="eastAsia" w:ascii="仿宋_GB2312" w:hAnsi="仿宋_GB2312" w:eastAsia="仿宋_GB2312" w:cs="Times New Roman"/>
          <w:color w:val="000000"/>
          <w:kern w:val="0"/>
          <w:sz w:val="32"/>
          <w:szCs w:val="22"/>
        </w:rPr>
        <w:t>（二）维护受教育者、教师及其他职工的合法权益.以适当方式为受教育者及其监护人了解受教育者的学业成绩及其他有关情况提供便利.</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　</w:t>
      </w:r>
      <w:r>
        <w:rPr>
          <w:rFonts w:hint="eastAsia" w:ascii="仿宋_GB2312" w:hAnsi="仿宋_GB2312" w:eastAsia="仿宋_GB2312" w:cs="Times New Roman"/>
          <w:color w:val="000000"/>
          <w:kern w:val="0"/>
          <w:sz w:val="32"/>
          <w:szCs w:val="22"/>
          <w:lang w:val="en-US" w:eastAsia="zh-CN"/>
        </w:rPr>
        <w:t xml:space="preserve"> </w:t>
      </w:r>
      <w:r>
        <w:rPr>
          <w:rFonts w:hint="eastAsia" w:ascii="仿宋_GB2312" w:hAnsi="仿宋_GB2312" w:eastAsia="仿宋_GB2312" w:cs="Times New Roman"/>
          <w:color w:val="000000"/>
          <w:kern w:val="0"/>
          <w:sz w:val="32"/>
          <w:szCs w:val="22"/>
        </w:rPr>
        <w:t>（三）遵照国家有关规定收取费用并公开收费项目.依法接受监督按照章程自主管理；</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　</w:t>
      </w:r>
      <w:r>
        <w:rPr>
          <w:rFonts w:hint="eastAsia" w:ascii="仿宋_GB2312" w:hAnsi="仿宋_GB2312" w:eastAsia="仿宋_GB2312" w:cs="Times New Roman"/>
          <w:color w:val="000000"/>
          <w:kern w:val="0"/>
          <w:sz w:val="32"/>
          <w:szCs w:val="22"/>
          <w:lang w:val="en-US" w:eastAsia="zh-CN"/>
        </w:rPr>
        <w:t xml:space="preserve"> </w:t>
      </w:r>
      <w:r>
        <w:rPr>
          <w:rFonts w:hint="eastAsia" w:ascii="仿宋_GB2312" w:hAnsi="仿宋_GB2312" w:eastAsia="仿宋_GB2312" w:cs="Times New Roman"/>
          <w:color w:val="000000"/>
          <w:kern w:val="0"/>
          <w:sz w:val="32"/>
          <w:szCs w:val="22"/>
        </w:rPr>
        <w:t>（四）组织实施教育教学活动；聘任教师及管理、使用本单位的设施和经费，</w:t>
      </w:r>
    </w:p>
    <w:p>
      <w:pPr>
        <w:spacing w:line="555" w:lineRule="exact"/>
        <w:jc w:val="both"/>
        <w:rPr>
          <w:rFonts w:hint="eastAsia" w:ascii="黑体" w:hAnsi="黑体" w:eastAsia="黑体"/>
          <w:sz w:val="32"/>
        </w:rPr>
      </w:pPr>
      <w:r>
        <w:rPr>
          <w:rFonts w:hint="eastAsia" w:ascii="仿宋_GB2312" w:hAnsi="仿宋_GB2312" w:eastAsia="仿宋_GB2312" w:cs="Times New Roman"/>
          <w:color w:val="000000"/>
          <w:kern w:val="0"/>
          <w:sz w:val="32"/>
          <w:szCs w:val="22"/>
        </w:rPr>
        <w:t xml:space="preserve">  </w:t>
      </w:r>
      <w:r>
        <w:rPr>
          <w:rFonts w:hint="eastAsia" w:ascii="仿宋_GB2312" w:hAnsi="仿宋_GB2312" w:eastAsia="仿宋_GB2312" w:cs="Times New Roman"/>
          <w:color w:val="000000"/>
          <w:kern w:val="0"/>
          <w:sz w:val="32"/>
          <w:szCs w:val="22"/>
          <w:lang w:val="en-US" w:eastAsia="zh-CN"/>
        </w:rPr>
        <w:t xml:space="preserve"> </w:t>
      </w:r>
      <w:r>
        <w:rPr>
          <w:rFonts w:hint="eastAsia" w:ascii="仿宋_GB2312" w:hAnsi="仿宋_GB2312" w:eastAsia="仿宋_GB2312" w:cs="Times New Roman"/>
          <w:color w:val="000000"/>
          <w:kern w:val="0"/>
          <w:sz w:val="32"/>
          <w:szCs w:val="22"/>
        </w:rPr>
        <w:t>（五）拒绝任何组织和个人对教育教学活动的非法干涉。</w:t>
      </w:r>
    </w:p>
    <w:p>
      <w:pPr>
        <w:spacing w:line="555" w:lineRule="exact"/>
        <w:jc w:val="both"/>
        <w:rPr>
          <w:rFonts w:hint="eastAsia"/>
          <w:lang w:val="en-US" w:eastAsia="zh-CN"/>
        </w:rPr>
      </w:pPr>
      <w:r>
        <w:rPr>
          <w:rFonts w:hint="eastAsia" w:ascii="黑体" w:hAnsi="黑体" w:eastAsia="黑体"/>
          <w:sz w:val="32"/>
        </w:rPr>
        <w:t>　　二、单位基本情况</w:t>
      </w:r>
      <w:r>
        <w:rPr>
          <w:rFonts w:hint="eastAsia" w:ascii="仿宋_GB2312" w:hAnsi="仿宋_GB2312" w:eastAsia="仿宋_GB2312"/>
          <w:sz w:val="32"/>
        </w:rPr>
        <w:t>　　</w:t>
      </w:r>
      <w:r>
        <w:rPr>
          <w:rFonts w:hint="eastAsia"/>
          <w:lang w:val="en-US" w:eastAsia="zh-CN"/>
        </w:rPr>
        <w:t xml:space="preserve">  </w:t>
      </w:r>
    </w:p>
    <w:p>
      <w:pPr>
        <w:autoSpaceDE w:val="0"/>
        <w:autoSpaceDN w:val="0"/>
        <w:adjustRightInd w:val="0"/>
        <w:spacing w:beforeLines="0" w:afterLines="0" w:line="555" w:lineRule="exact"/>
        <w:ind w:firstLine="640" w:firstLineChars="200"/>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厦门市吕岭小学</w:t>
      </w:r>
      <w:r>
        <w:rPr>
          <w:rFonts w:hint="eastAsia" w:ascii="仿宋_GB2312" w:hAnsi="仿宋_GB2312" w:eastAsia="仿宋_GB2312" w:cs="Times New Roman"/>
          <w:color w:val="000000"/>
          <w:kern w:val="0"/>
          <w:sz w:val="32"/>
          <w:szCs w:val="22"/>
          <w:lang w:eastAsia="zh-CN"/>
        </w:rPr>
        <w:t>内设</w:t>
      </w:r>
      <w:r>
        <w:rPr>
          <w:rFonts w:hint="eastAsia" w:ascii="仿宋_GB2312" w:hAnsi="仿宋_GB2312" w:eastAsia="仿宋_GB2312" w:cs="Times New Roman"/>
          <w:color w:val="000000"/>
          <w:kern w:val="0"/>
          <w:sz w:val="32"/>
          <w:szCs w:val="22"/>
        </w:rPr>
        <w:t>3个处室/科室</w:t>
      </w:r>
      <w:r>
        <w:rPr>
          <w:rFonts w:hint="eastAsia" w:ascii="仿宋_GB2312" w:hAnsi="仿宋_GB2312" w:eastAsia="仿宋_GB2312" w:cs="Times New Roman"/>
          <w:color w:val="000000"/>
          <w:kern w:val="0"/>
          <w:sz w:val="32"/>
          <w:szCs w:val="22"/>
          <w:lang w:eastAsia="zh-CN"/>
        </w:rPr>
        <w:t>，包括：</w:t>
      </w:r>
      <w:r>
        <w:rPr>
          <w:rFonts w:hint="eastAsia" w:ascii="仿宋_GB2312" w:hAnsi="仿宋_GB2312" w:eastAsia="仿宋_GB2312" w:cs="Times New Roman"/>
          <w:color w:val="000000"/>
          <w:kern w:val="0"/>
          <w:sz w:val="32"/>
          <w:szCs w:val="22"/>
        </w:rPr>
        <w:t>总务处、教导处、德育处。</w:t>
      </w:r>
    </w:p>
    <w:p>
      <w:pPr>
        <w:spacing w:line="555" w:lineRule="exact"/>
        <w:ind w:firstLine="640" w:firstLineChars="200"/>
        <w:jc w:val="both"/>
        <w:rPr>
          <w:rFonts w:hint="eastAsia" w:ascii="仿宋_GB2312" w:hAnsi="仿宋_GB2312" w:eastAsia="仿宋_GB2312"/>
          <w:sz w:val="32"/>
        </w:rPr>
      </w:pPr>
      <w:r>
        <w:rPr>
          <w:rFonts w:hint="eastAsia" w:ascii="黑体" w:hAnsi="黑体" w:eastAsia="黑体"/>
          <w:sz w:val="32"/>
        </w:rPr>
        <w:t>三、单位主要工作任务</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　　2026年，厦门市吕岭小学主要任务是：</w:t>
      </w:r>
      <w:r>
        <w:rPr>
          <w:rFonts w:hint="eastAsia" w:ascii="仿宋_GB2312" w:hAnsi="仿宋_GB2312" w:eastAsia="仿宋_GB2312" w:cs="Times New Roman"/>
          <w:color w:val="000000"/>
          <w:kern w:val="0"/>
          <w:sz w:val="32"/>
          <w:szCs w:val="22"/>
        </w:rPr>
        <w:t>办好义务教育阶段的基础教育工作。围绕上述任务，重点抓好以下工作：</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（一）加强组织领导，优化学校管理。</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（二）坚持立德树人，着力培养时代新人。</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（三）推进教改实践，提升教育教学质量。</w:t>
      </w:r>
    </w:p>
    <w:p>
      <w:pPr>
        <w:autoSpaceDE w:val="0"/>
        <w:autoSpaceDN w:val="0"/>
        <w:adjustRightInd w:val="0"/>
        <w:spacing w:beforeLines="0" w:afterLines="0"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（四）提高保障能力，夯实教育发展基础。</w:t>
      </w:r>
    </w:p>
    <w:p>
      <w:pPr>
        <w:spacing w:line="555" w:lineRule="exact"/>
        <w:jc w:val="both"/>
        <w:rPr>
          <w:rFonts w:hint="eastAsia" w:ascii="仿宋_GB2312" w:hAnsi="仿宋_GB2312" w:eastAsia="仿宋_GB2312"/>
          <w:sz w:val="32"/>
        </w:rPr>
      </w:pPr>
      <w:r>
        <w:rPr>
          <w:rFonts w:hint="eastAsia" w:ascii="仿宋_GB2312" w:hAnsi="仿宋_GB2312" w:eastAsia="仿宋_GB2312" w:cs="Times New Roman"/>
          <w:color w:val="000000"/>
          <w:kern w:val="0"/>
          <w:sz w:val="32"/>
          <w:szCs w:val="22"/>
        </w:rPr>
        <w:t>（五）抓好其他工作，促进学校全面发展。</w:t>
      </w:r>
    </w:p>
    <w:p>
      <w:pPr>
        <w:spacing w:line="555" w:lineRule="exact"/>
        <w:ind w:left="20"/>
        <w:jc w:val="both"/>
        <w:rPr>
          <w:rFonts w:hint="eastAsia" w:ascii="黑体" w:hAnsi="黑体" w:eastAsia="黑体"/>
          <w:sz w:val="32"/>
        </w:rPr>
      </w:pPr>
    </w:p>
    <w:p>
      <w:pPr>
        <w:spacing w:line="555" w:lineRule="exact"/>
        <w:ind w:left="20"/>
        <w:jc w:val="center"/>
        <w:rPr>
          <w:rFonts w:hint="eastAsia" w:ascii="黑体" w:hAnsi="黑体" w:eastAsia="黑体"/>
          <w:sz w:val="32"/>
        </w:rPr>
      </w:pPr>
      <w:r>
        <w:rPr>
          <w:rFonts w:hint="eastAsia" w:ascii="黑体" w:hAnsi="黑体" w:eastAsia="黑体"/>
          <w:sz w:val="32"/>
        </w:rPr>
        <w:t>第二部分  2026年单位预算说明</w:t>
      </w:r>
    </w:p>
    <w:p>
      <w:pPr>
        <w:spacing w:line="555" w:lineRule="exact"/>
        <w:jc w:val="both"/>
        <w:rPr>
          <w:rFonts w:hint="eastAsia" w:ascii="仿宋_GB2312" w:hAnsi="仿宋_GB2312" w:eastAsia="仿宋_GB2312"/>
          <w:sz w:val="32"/>
        </w:rPr>
      </w:pPr>
      <w:r>
        <w:rPr>
          <w:rFonts w:hint="eastAsia" w:ascii="黑体" w:hAnsi="黑体" w:eastAsia="黑体"/>
          <w:sz w:val="32"/>
        </w:rPr>
        <w:t>　　一、2026年单位预算收支总体情况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根据预算管理的有关规定，单位的全部收入和支出均纳入部门预算管理。</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（一）厦门市吕岭小学2026年收入预算为1,865.27万元，比2025年预算数减少32.79万元，下降1.73％，具体情况如下：</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1.财政拨款收入1,865.27万元，其中一般公共预算拨款收入1,865.27万元，政府性基金拨款收入0.00万元，国有资本经营预算拨款收入0.00万元；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2.财政专户管理资金收入0.00万元；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3.事业收入0.00万元；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4.事业单位经营收入0.00万元；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5.上级补助收入0.00万元；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6.附属单位上缴收入0.00万元；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7.其他收入0.00万元；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8.上年结转结余0.00万元。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（二）厦门市吕岭小学2026年支出预算为1,865.27万元（不含市对区转移支付项目），比2025年预算数减少32.79万元，下降1.73％，具体情况如下：</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1.财政拨款基本支出1,865.27万元，其中，人员支出1,580.09万元，公用支出285.18万元；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2.财政拨款项目支出0.00万元；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3.非财政拨款支出0.00万元。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（三）厦门市吕岭小学2026年区对镇（街）转移支付项目预算为</w:t>
      </w:r>
      <w:r>
        <w:rPr>
          <w:rFonts w:hint="eastAsia" w:ascii="仿宋_GB2312" w:hAnsi="仿宋_GB2312" w:eastAsia="仿宋_GB2312"/>
          <w:sz w:val="32"/>
          <w:lang w:val="en-US" w:eastAsia="zh-CN"/>
        </w:rPr>
        <w:t>0.00</w:t>
      </w:r>
      <w:r>
        <w:rPr>
          <w:rFonts w:hint="eastAsia" w:ascii="仿宋_GB2312" w:hAnsi="仿宋_GB2312" w:eastAsia="仿宋_GB2312"/>
          <w:sz w:val="32"/>
        </w:rPr>
        <w:t>万元。</w:t>
      </w:r>
    </w:p>
    <w:p>
      <w:pPr>
        <w:spacing w:line="555" w:lineRule="exact"/>
        <w:jc w:val="both"/>
        <w:rPr>
          <w:rFonts w:hint="eastAsia" w:ascii="仿宋_GB2312" w:hAnsi="仿宋_GB2312" w:eastAsia="仿宋_GB2312"/>
          <w:sz w:val="32"/>
        </w:rPr>
      </w:pPr>
      <w:r>
        <w:rPr>
          <w:rFonts w:hint="eastAsia" w:ascii="黑体" w:hAnsi="黑体" w:eastAsia="黑体"/>
          <w:sz w:val="32"/>
        </w:rPr>
        <w:t>　　二、一般公共预算财政拨款支出预算情况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2026年度一般公共预算支出1,865.27万元（不含市对区转移支付项目），比2025年预算数减少32.79万元，下降1.73%，主要是</w:t>
      </w:r>
      <w:r>
        <w:rPr>
          <w:rFonts w:hint="eastAsia" w:ascii="仿宋_GB2312" w:hAnsi="仿宋_GB2312" w:eastAsia="仿宋_GB2312" w:cs="Times New Roman"/>
          <w:color w:val="000000"/>
          <w:kern w:val="0"/>
          <w:sz w:val="32"/>
          <w:szCs w:val="22"/>
          <w:lang w:eastAsia="zh-CN"/>
        </w:rPr>
        <w:t>在职人员减少</w:t>
      </w:r>
      <w:r>
        <w:rPr>
          <w:rFonts w:hint="eastAsia" w:ascii="仿宋_GB2312" w:hAnsi="仿宋_GB2312" w:eastAsia="仿宋_GB2312"/>
          <w:sz w:val="32"/>
        </w:rPr>
        <w:t>。支出项目(按项级科目分类统计)包括：</w:t>
      </w:r>
    </w:p>
    <w:p>
      <w:pPr>
        <w:numPr>
          <w:ilvl w:val="0"/>
          <w:numId w:val="0"/>
        </w:numPr>
        <w:spacing w:line="555" w:lineRule="exact"/>
        <w:ind w:left="660" w:leftChars="0"/>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sz w:val="32"/>
          <w:lang w:val="en-US" w:eastAsia="zh-CN"/>
        </w:rPr>
        <w:t>1.</w:t>
      </w:r>
      <w:r>
        <w:rPr>
          <w:rFonts w:hint="eastAsia" w:ascii="仿宋_GB2312" w:hAnsi="仿宋_GB2312" w:eastAsia="仿宋_GB2312"/>
          <w:sz w:val="32"/>
        </w:rPr>
        <w:t>教育支出（类）普通教育（款）小学教育（项）1,492.55</w:t>
      </w:r>
    </w:p>
    <w:p>
      <w:pPr>
        <w:numPr>
          <w:ilvl w:val="0"/>
          <w:numId w:val="0"/>
        </w:numPr>
        <w:spacing w:line="555" w:lineRule="exact"/>
        <w:jc w:val="both"/>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万元。主要用于</w:t>
      </w:r>
      <w:bookmarkStart w:id="0" w:name="_GoBack"/>
      <w:bookmarkEnd w:id="0"/>
      <w:r>
        <w:rPr>
          <w:rFonts w:hint="eastAsia" w:ascii="仿宋_GB2312" w:hAnsi="仿宋_GB2312" w:eastAsia="仿宋_GB2312" w:cs="Times New Roman"/>
          <w:color w:val="000000"/>
          <w:kern w:val="0"/>
          <w:sz w:val="32"/>
          <w:szCs w:val="22"/>
          <w:lang w:eastAsia="zh-CN"/>
        </w:rPr>
        <w:t>人员经费、</w:t>
      </w:r>
      <w:r>
        <w:rPr>
          <w:rFonts w:hint="eastAsia" w:ascii="仿宋_GB2312" w:hAnsi="仿宋_GB2312" w:eastAsia="仿宋_GB2312" w:cs="Times New Roman"/>
          <w:color w:val="000000"/>
          <w:kern w:val="0"/>
          <w:sz w:val="32"/>
          <w:szCs w:val="22"/>
        </w:rPr>
        <w:t>学校办公经费</w:t>
      </w:r>
      <w:r>
        <w:rPr>
          <w:rFonts w:hint="eastAsia" w:ascii="仿宋_GB2312" w:hAnsi="仿宋_GB2312" w:eastAsia="仿宋_GB2312" w:cs="Times New Roman"/>
          <w:color w:val="000000"/>
          <w:kern w:val="0"/>
          <w:sz w:val="32"/>
          <w:szCs w:val="22"/>
          <w:lang w:eastAsia="zh-CN"/>
        </w:rPr>
        <w:t>等</w:t>
      </w:r>
      <w:r>
        <w:rPr>
          <w:rFonts w:hint="eastAsia" w:ascii="仿宋_GB2312" w:hAnsi="仿宋_GB2312" w:eastAsia="仿宋_GB2312" w:cs="Times New Roman"/>
          <w:color w:val="000000"/>
          <w:kern w:val="0"/>
          <w:sz w:val="32"/>
          <w:szCs w:val="22"/>
        </w:rPr>
        <w:t>支出。</w:t>
      </w:r>
    </w:p>
    <w:p>
      <w:pPr>
        <w:numPr>
          <w:ilvl w:val="0"/>
          <w:numId w:val="0"/>
        </w:numPr>
        <w:spacing w:line="555" w:lineRule="exact"/>
        <w:ind w:left="660" w:leftChars="0"/>
        <w:jc w:val="both"/>
        <w:rPr>
          <w:rFonts w:hint="eastAsia" w:ascii="仿宋_GB2312" w:hAnsi="仿宋_GB2312" w:eastAsia="仿宋_GB2312"/>
          <w:sz w:val="32"/>
        </w:rPr>
      </w:pPr>
      <w:r>
        <w:rPr>
          <w:rFonts w:hint="eastAsia" w:ascii="仿宋_GB2312" w:hAnsi="仿宋_GB2312" w:eastAsia="仿宋_GB2312"/>
          <w:sz w:val="32"/>
          <w:lang w:val="en-US" w:eastAsia="zh-CN"/>
        </w:rPr>
        <w:t>2.</w:t>
      </w:r>
      <w:r>
        <w:rPr>
          <w:rFonts w:hint="eastAsia" w:ascii="仿宋_GB2312" w:hAnsi="仿宋_GB2312" w:eastAsia="仿宋_GB2312"/>
          <w:sz w:val="32"/>
        </w:rPr>
        <w:t>社会保障和就业支出（类）行政事业单位养老支（款）</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事业单位离退休（项）120.06万元。</w:t>
      </w:r>
      <w:r>
        <w:rPr>
          <w:rFonts w:hint="eastAsia" w:ascii="仿宋_GB2312" w:hAnsi="仿宋_GB2312" w:eastAsia="仿宋_GB2312" w:cs="Times New Roman"/>
          <w:color w:val="000000"/>
          <w:kern w:val="0"/>
          <w:sz w:val="32"/>
          <w:szCs w:val="22"/>
        </w:rPr>
        <w:t>主要用于事业单位离退休人员支出。</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ind w:firstLine="640" w:firstLineChars="200"/>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3.社会保障和就业支出（类）行政事业单位养老支出（款）机关事业单位基本养老保险缴费支出（项）113.03万元。</w:t>
      </w:r>
      <w:r>
        <w:rPr>
          <w:rFonts w:hint="eastAsia" w:ascii="仿宋_GB2312" w:hAnsi="仿宋_GB2312" w:eastAsia="仿宋_GB2312" w:cs="Times New Roman"/>
          <w:color w:val="000000"/>
          <w:kern w:val="0"/>
          <w:sz w:val="32"/>
          <w:szCs w:val="22"/>
        </w:rPr>
        <w:t>主要用于事业单位养老保险</w:t>
      </w:r>
      <w:r>
        <w:rPr>
          <w:rFonts w:hint="eastAsia" w:ascii="仿宋_GB2312" w:hAnsi="仿宋_GB2312" w:eastAsia="仿宋_GB2312" w:cs="Times New Roman"/>
          <w:color w:val="000000"/>
          <w:kern w:val="0"/>
          <w:sz w:val="32"/>
          <w:szCs w:val="22"/>
          <w:lang w:eastAsia="zh-CN"/>
        </w:rPr>
        <w:t>缴费</w:t>
      </w:r>
      <w:r>
        <w:rPr>
          <w:rFonts w:hint="eastAsia" w:ascii="仿宋_GB2312" w:hAnsi="仿宋_GB2312" w:eastAsia="仿宋_GB2312" w:cs="Times New Roman"/>
          <w:color w:val="000000"/>
          <w:kern w:val="0"/>
          <w:sz w:val="32"/>
          <w:szCs w:val="22"/>
        </w:rPr>
        <w:t>支出。</w:t>
      </w:r>
    </w:p>
    <w:p>
      <w:pPr>
        <w:spacing w:line="555"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4.社会保障和就业支出（类）行政事业单位养老支出（款）机关事业单位职业年金缴费支出（项）66.52万元。</w:t>
      </w:r>
      <w:r>
        <w:rPr>
          <w:rFonts w:hint="eastAsia" w:ascii="仿宋_GB2312" w:hAnsi="仿宋_GB2312" w:eastAsia="仿宋_GB2312" w:cs="Times New Roman"/>
          <w:color w:val="000000"/>
          <w:kern w:val="0"/>
          <w:sz w:val="32"/>
          <w:szCs w:val="22"/>
        </w:rPr>
        <w:t>主要用于</w:t>
      </w:r>
      <w:r>
        <w:rPr>
          <w:rFonts w:hint="eastAsia" w:ascii="仿宋_GB2312" w:hAnsi="仿宋_GB2312" w:eastAsia="仿宋_GB2312"/>
          <w:sz w:val="32"/>
        </w:rPr>
        <w:t>事业单位</w:t>
      </w:r>
      <w:r>
        <w:rPr>
          <w:rFonts w:hint="eastAsia" w:ascii="仿宋_GB2312" w:hAnsi="仿宋_GB2312" w:eastAsia="仿宋_GB2312" w:cs="Times New Roman"/>
          <w:color w:val="000000"/>
          <w:kern w:val="0"/>
          <w:sz w:val="32"/>
          <w:szCs w:val="22"/>
        </w:rPr>
        <w:t>职业年金缴费支出。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5.卫生健康支出（类）行政事业单位医疗（款）事业单位医疗（项）48.39万元。</w:t>
      </w:r>
      <w:r>
        <w:rPr>
          <w:rFonts w:hint="eastAsia" w:ascii="仿宋_GB2312" w:hAnsi="仿宋_GB2312" w:eastAsia="仿宋_GB2312" w:cs="Times New Roman"/>
          <w:color w:val="000000"/>
          <w:kern w:val="0"/>
          <w:sz w:val="32"/>
          <w:szCs w:val="22"/>
        </w:rPr>
        <w:t>主要用于事业单位医疗支出。</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黑体" w:hAnsi="黑体" w:eastAsia="黑体"/>
          <w:sz w:val="32"/>
        </w:rPr>
      </w:pPr>
      <w:r>
        <w:rPr>
          <w:rFonts w:hint="eastAsia" w:ascii="仿宋_GB2312" w:hAnsi="仿宋_GB2312" w:eastAsia="仿宋_GB2312"/>
          <w:sz w:val="32"/>
        </w:rPr>
        <w:t>　　6.卫生健康支出（类）行政事业单位医疗（款）其他行政事业单位医疗支出（项）24.73万元。</w:t>
      </w:r>
      <w:r>
        <w:rPr>
          <w:rFonts w:hint="eastAsia" w:ascii="仿宋_GB2312" w:hAnsi="仿宋_GB2312" w:eastAsia="仿宋_GB2312" w:cs="Times New Roman"/>
          <w:color w:val="000000"/>
          <w:kern w:val="0"/>
          <w:sz w:val="32"/>
          <w:szCs w:val="22"/>
        </w:rPr>
        <w:t>主要用于其他事业单位医疗支出。</w:t>
      </w:r>
      <w:r>
        <w:rPr>
          <w:rFonts w:hint="eastAsia" w:ascii="黑体" w:hAnsi="黑体" w:eastAsia="黑体"/>
          <w:sz w:val="32"/>
        </w:rPr>
        <w:t>　　</w:t>
      </w:r>
    </w:p>
    <w:p>
      <w:pPr>
        <w:spacing w:line="555" w:lineRule="exact"/>
        <w:ind w:firstLine="640" w:firstLineChars="200"/>
        <w:jc w:val="both"/>
        <w:rPr>
          <w:rFonts w:hint="eastAsia" w:ascii="仿宋_GB2312" w:hAnsi="仿宋_GB2312" w:eastAsia="仿宋_GB2312"/>
          <w:sz w:val="32"/>
        </w:rPr>
      </w:pPr>
      <w:r>
        <w:rPr>
          <w:rFonts w:hint="eastAsia" w:ascii="黑体" w:hAnsi="黑体" w:eastAsia="黑体"/>
          <w:sz w:val="32"/>
        </w:rPr>
        <w:t>三、政府性基金预算财政拨款支出情况</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仿宋_GB2312" w:hAnsi="仿宋_GB2312" w:eastAsia="仿宋_GB2312"/>
          <w:sz w:val="32"/>
        </w:rPr>
      </w:pPr>
      <w:r>
        <w:rPr>
          <w:rFonts w:hint="eastAsia" w:ascii="仿宋_GB2312" w:hAnsi="仿宋_GB2312" w:eastAsia="仿宋_GB2312"/>
          <w:sz w:val="32"/>
        </w:rPr>
        <w:t>　　2026年度政府性基金支出0.00万元（不含市对区转移支付项目），比2025年预算数增加0.00万元，增长0%</w:t>
      </w:r>
      <w:r>
        <w:rPr>
          <w:rFonts w:hint="eastAsia" w:ascii="仿宋_GB2312" w:hAnsi="仿宋_GB2312" w:eastAsia="仿宋_GB2312"/>
          <w:sz w:val="32"/>
          <w:lang w:eastAsia="zh-CN"/>
        </w:rPr>
        <w:t>。</w:t>
      </w:r>
      <w:r>
        <w:rPr>
          <w:rFonts w:hint="eastAsia" w:ascii="仿宋_GB2312" w:hAnsi="仿宋_GB2312" w:eastAsia="仿宋_GB2312" w:cs="Times New Roman"/>
          <w:color w:val="000000"/>
          <w:kern w:val="0"/>
          <w:sz w:val="32"/>
          <w:szCs w:val="22"/>
        </w:rPr>
        <w:t>主要是202</w:t>
      </w:r>
      <w:r>
        <w:rPr>
          <w:rFonts w:hint="eastAsia" w:ascii="仿宋_GB2312" w:hAnsi="仿宋_GB2312" w:eastAsia="仿宋_GB2312" w:cs="Times New Roman"/>
          <w:color w:val="000000"/>
          <w:kern w:val="0"/>
          <w:sz w:val="32"/>
          <w:szCs w:val="22"/>
          <w:lang w:val="en-US" w:eastAsia="zh-CN"/>
        </w:rPr>
        <w:t>6</w:t>
      </w:r>
      <w:r>
        <w:rPr>
          <w:rFonts w:hint="eastAsia" w:ascii="仿宋_GB2312" w:hAnsi="仿宋_GB2312" w:eastAsia="仿宋_GB2312" w:cs="Times New Roman"/>
          <w:color w:val="000000"/>
          <w:kern w:val="0"/>
          <w:sz w:val="32"/>
          <w:szCs w:val="22"/>
        </w:rPr>
        <w:t>年本</w:t>
      </w:r>
      <w:r>
        <w:rPr>
          <w:rFonts w:hint="eastAsia" w:ascii="仿宋_GB2312" w:hAnsi="仿宋_GB2312" w:eastAsia="仿宋_GB2312" w:cs="Times New Roman"/>
          <w:color w:val="000000"/>
          <w:kern w:val="0"/>
          <w:sz w:val="32"/>
          <w:szCs w:val="22"/>
          <w:lang w:eastAsia="zh-CN"/>
        </w:rPr>
        <w:t>单位</w:t>
      </w:r>
      <w:r>
        <w:rPr>
          <w:rFonts w:hint="eastAsia" w:ascii="仿宋_GB2312" w:hAnsi="仿宋_GB2312" w:eastAsia="仿宋_GB2312" w:cs="Times New Roman"/>
          <w:color w:val="000000"/>
          <w:kern w:val="0"/>
          <w:sz w:val="32"/>
          <w:szCs w:val="22"/>
        </w:rPr>
        <w:t>没有政府性基金预算拨款支出。</w:t>
      </w:r>
    </w:p>
    <w:p>
      <w:pPr>
        <w:spacing w:line="555" w:lineRule="exact"/>
        <w:ind w:firstLine="640" w:firstLineChars="200"/>
        <w:jc w:val="both"/>
        <w:rPr>
          <w:rFonts w:hint="eastAsia" w:ascii="仿宋_GB2312" w:hAnsi="仿宋_GB2312" w:eastAsia="仿宋_GB2312"/>
          <w:sz w:val="32"/>
        </w:rPr>
      </w:pPr>
      <w:r>
        <w:rPr>
          <w:rFonts w:hint="eastAsia" w:ascii="黑体" w:hAnsi="黑体" w:eastAsia="黑体"/>
          <w:sz w:val="32"/>
        </w:rPr>
        <w:t>四、“三公”经费财政拨款预算情况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厦门市吕岭小学单位2026年“三公”经费财政拨款预算数为0.00万元，其中：因公出国（境）经费0.00万元，公务接待费0.00万元，公务用车购置及运行费0.00万元。具体情况如下：</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ind w:firstLine="640" w:firstLineChars="200"/>
        <w:jc w:val="both"/>
        <w:textAlignment w:val="auto"/>
        <w:rPr>
          <w:rFonts w:hint="eastAsia" w:ascii="仿宋_GB2312" w:hAnsi="仿宋_GB2312" w:eastAsia="仿宋_GB2312" w:cs="Times New Roman"/>
          <w:color w:val="000000"/>
          <w:kern w:val="0"/>
          <w:sz w:val="32"/>
          <w:szCs w:val="22"/>
        </w:rPr>
      </w:pPr>
      <w:r>
        <w:rPr>
          <w:rFonts w:hint="eastAsia" w:ascii="楷体_GB2312" w:hAnsi="楷体_GB2312" w:eastAsia="楷体_GB2312"/>
          <w:color w:val="000000"/>
          <w:kern w:val="0"/>
          <w:sz w:val="32"/>
          <w:szCs w:val="24"/>
        </w:rPr>
        <w:t>（一）因公出国（境）经费</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　　202</w:t>
      </w:r>
      <w:r>
        <w:rPr>
          <w:rFonts w:hint="eastAsia" w:ascii="仿宋_GB2312" w:hAnsi="仿宋_GB2312" w:eastAsia="仿宋_GB2312" w:cs="Times New Roman"/>
          <w:color w:val="000000"/>
          <w:kern w:val="0"/>
          <w:sz w:val="32"/>
          <w:szCs w:val="22"/>
          <w:lang w:val="en-US" w:eastAsia="zh-CN"/>
        </w:rPr>
        <w:t>6</w:t>
      </w:r>
      <w:r>
        <w:rPr>
          <w:rFonts w:hint="eastAsia" w:ascii="仿宋_GB2312" w:hAnsi="仿宋_GB2312" w:eastAsia="仿宋_GB2312" w:cs="Times New Roman"/>
          <w:color w:val="000000"/>
          <w:kern w:val="0"/>
          <w:sz w:val="32"/>
          <w:szCs w:val="22"/>
        </w:rPr>
        <w:t>年预算安排0.00万元。与上年预算相比下降0%，主要原因是:本年度无安排出国（境）活动。　</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　　</w:t>
      </w:r>
      <w:r>
        <w:rPr>
          <w:rFonts w:hint="eastAsia" w:ascii="楷体_GB2312" w:hAnsi="楷体_GB2312" w:eastAsia="楷体_GB2312"/>
          <w:color w:val="000000"/>
          <w:kern w:val="0"/>
          <w:sz w:val="32"/>
          <w:szCs w:val="24"/>
        </w:rPr>
        <w:t>（二）公务接待费</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ind w:firstLine="640" w:firstLineChars="200"/>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202</w:t>
      </w:r>
      <w:r>
        <w:rPr>
          <w:rFonts w:hint="eastAsia" w:ascii="仿宋_GB2312" w:hAnsi="仿宋_GB2312" w:eastAsia="仿宋_GB2312" w:cs="Times New Roman"/>
          <w:color w:val="000000"/>
          <w:kern w:val="0"/>
          <w:sz w:val="32"/>
          <w:szCs w:val="22"/>
          <w:lang w:val="en-US" w:eastAsia="zh-CN"/>
        </w:rPr>
        <w:t>6</w:t>
      </w:r>
      <w:r>
        <w:rPr>
          <w:rFonts w:hint="eastAsia" w:ascii="仿宋_GB2312" w:hAnsi="仿宋_GB2312" w:eastAsia="仿宋_GB2312" w:cs="Times New Roman"/>
          <w:color w:val="000000"/>
          <w:kern w:val="0"/>
          <w:sz w:val="32"/>
          <w:szCs w:val="22"/>
        </w:rPr>
        <w:t>年预算安排0.00万元。与上年预算相比下降0%，主要原因是:本年度无公务接待安排。</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cs="Times New Roman"/>
          <w:color w:val="000000"/>
          <w:kern w:val="0"/>
          <w:sz w:val="32"/>
          <w:szCs w:val="22"/>
        </w:rPr>
        <w:t>　　</w:t>
      </w:r>
      <w:r>
        <w:rPr>
          <w:rFonts w:hint="eastAsia" w:ascii="楷体_GB2312" w:hAnsi="楷体_GB2312" w:eastAsia="楷体_GB2312"/>
          <w:color w:val="000000"/>
          <w:kern w:val="0"/>
          <w:sz w:val="32"/>
          <w:szCs w:val="24"/>
        </w:rPr>
        <w:t>（三）公务用车购置及运行费</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黑体" w:hAnsi="黑体" w:eastAsia="黑体" w:cs="Times New Roman"/>
          <w:color w:val="000000"/>
          <w:kern w:val="0"/>
          <w:sz w:val="32"/>
          <w:szCs w:val="22"/>
        </w:rPr>
      </w:pPr>
      <w:r>
        <w:rPr>
          <w:rFonts w:hint="eastAsia" w:ascii="仿宋_GB2312" w:hAnsi="仿宋_GB2312" w:eastAsia="仿宋_GB2312" w:cs="Times New Roman"/>
          <w:color w:val="000000"/>
          <w:kern w:val="0"/>
          <w:sz w:val="32"/>
          <w:szCs w:val="22"/>
        </w:rPr>
        <w:t>　　202</w:t>
      </w:r>
      <w:r>
        <w:rPr>
          <w:rFonts w:hint="eastAsia" w:ascii="仿宋_GB2312" w:hAnsi="仿宋_GB2312" w:eastAsia="仿宋_GB2312" w:cs="Times New Roman"/>
          <w:color w:val="000000"/>
          <w:kern w:val="0"/>
          <w:sz w:val="32"/>
          <w:szCs w:val="22"/>
          <w:lang w:val="en-US" w:eastAsia="zh-CN"/>
        </w:rPr>
        <w:t>6</w:t>
      </w:r>
      <w:r>
        <w:rPr>
          <w:rFonts w:hint="eastAsia" w:ascii="仿宋_GB2312" w:hAnsi="仿宋_GB2312" w:eastAsia="仿宋_GB2312" w:cs="Times New Roman"/>
          <w:color w:val="000000"/>
          <w:kern w:val="0"/>
          <w:sz w:val="32"/>
          <w:szCs w:val="22"/>
        </w:rPr>
        <w:t>年预算安排0.00万元，其中：公务用车运行费0.00万元，公务用车购置费0.00万元。与上年预算相比下降0%，主要原因是:公车改革，本年度不编制公务用车购置及运行费用。</w:t>
      </w:r>
    </w:p>
    <w:p>
      <w:pPr>
        <w:spacing w:line="555" w:lineRule="exact"/>
        <w:jc w:val="both"/>
        <w:rPr>
          <w:rFonts w:hint="default" w:ascii="华文仿宋" w:hAnsi="华文仿宋" w:eastAsia="华文仿宋"/>
          <w:sz w:val="32"/>
        </w:rPr>
      </w:pPr>
      <w:r>
        <w:rPr>
          <w:rFonts w:hint="eastAsia" w:ascii="黑体" w:hAnsi="黑体" w:eastAsia="黑体"/>
          <w:sz w:val="32"/>
        </w:rPr>
        <w:t>　　五、其他重要事项的情况说明</w:t>
      </w:r>
    </w:p>
    <w:p>
      <w:pPr>
        <w:spacing w:line="555" w:lineRule="exact"/>
        <w:jc w:val="both"/>
        <w:rPr>
          <w:rFonts w:hint="eastAsia"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（一）机关运行经费</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　　2026年厦门市吕岭小学的机关运行经费财政拨款预算</w:t>
      </w:r>
      <w:r>
        <w:rPr>
          <w:rFonts w:hint="eastAsia" w:ascii="仿宋_GB2312" w:hAnsi="仿宋_GB2312" w:eastAsia="仿宋_GB2312"/>
          <w:sz w:val="32"/>
          <w:lang w:val="en-US" w:eastAsia="zh-CN"/>
        </w:rPr>
        <w:t>0</w:t>
      </w:r>
      <w:r>
        <w:rPr>
          <w:rFonts w:hint="eastAsia" w:ascii="仿宋_GB2312" w:hAnsi="仿宋_GB2312" w:eastAsia="仿宋_GB2312"/>
          <w:sz w:val="32"/>
        </w:rPr>
        <w:t>万元，比2025年预算减少</w:t>
      </w:r>
      <w:r>
        <w:rPr>
          <w:rFonts w:hint="eastAsia" w:ascii="仿宋_GB2312" w:hAnsi="仿宋_GB2312" w:eastAsia="仿宋_GB2312"/>
          <w:sz w:val="32"/>
          <w:lang w:val="en-US" w:eastAsia="zh-CN"/>
        </w:rPr>
        <w:t>0</w:t>
      </w:r>
      <w:r>
        <w:rPr>
          <w:rFonts w:hint="eastAsia" w:ascii="仿宋_GB2312" w:hAnsi="仿宋_GB2312" w:eastAsia="仿宋_GB2312"/>
          <w:sz w:val="32"/>
        </w:rPr>
        <w:t>万元，下降</w:t>
      </w:r>
      <w:r>
        <w:rPr>
          <w:rFonts w:hint="eastAsia" w:ascii="仿宋_GB2312" w:hAnsi="仿宋_GB2312" w:eastAsia="仿宋_GB2312"/>
          <w:sz w:val="32"/>
          <w:lang w:val="en-US" w:eastAsia="zh-CN"/>
        </w:rPr>
        <w:t>0</w:t>
      </w:r>
      <w:r>
        <w:rPr>
          <w:rFonts w:hint="eastAsia" w:ascii="仿宋_GB2312" w:hAnsi="仿宋_GB2312" w:eastAsia="仿宋_GB2312"/>
          <w:sz w:val="32"/>
        </w:rPr>
        <w:t>%。</w:t>
      </w:r>
      <w:r>
        <w:rPr>
          <w:rFonts w:hint="eastAsia" w:ascii="仿宋_GB2312" w:hAnsi="仿宋_GB2312" w:eastAsia="仿宋_GB2312" w:cs="Times New Roman"/>
          <w:color w:val="000000"/>
          <w:kern w:val="0"/>
          <w:sz w:val="32"/>
          <w:szCs w:val="22"/>
        </w:rPr>
        <w:t>主要原因是:本</w:t>
      </w:r>
      <w:r>
        <w:rPr>
          <w:rFonts w:hint="eastAsia" w:ascii="仿宋_GB2312" w:hAnsi="仿宋_GB2312" w:eastAsia="仿宋_GB2312" w:cs="Times New Roman"/>
          <w:color w:val="000000"/>
          <w:kern w:val="0"/>
          <w:sz w:val="32"/>
          <w:szCs w:val="22"/>
          <w:lang w:eastAsia="zh-CN"/>
        </w:rPr>
        <w:t>单位</w:t>
      </w:r>
      <w:r>
        <w:rPr>
          <w:rFonts w:hint="eastAsia" w:ascii="仿宋_GB2312" w:hAnsi="仿宋_GB2312" w:eastAsia="仿宋_GB2312" w:cs="Times New Roman"/>
          <w:color w:val="000000"/>
          <w:kern w:val="0"/>
          <w:sz w:val="32"/>
          <w:szCs w:val="22"/>
        </w:rPr>
        <w:t>为事业单位，没有机关运行经费。</w:t>
      </w:r>
    </w:p>
    <w:p>
      <w:pPr>
        <w:spacing w:line="555" w:lineRule="exact"/>
        <w:jc w:val="both"/>
        <w:rPr>
          <w:rFonts w:hint="eastAsia"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（二）政府采购情况</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　　2026年厦门市吕岭小学政府采购预算总额0.00万元，其中：政府采购货物预算0.00万元，政府采购工程预算0.00万元，政府采购服务预算0.00万元。</w:t>
      </w:r>
      <w:r>
        <w:rPr>
          <w:rFonts w:hint="eastAsia" w:ascii="仿宋_GB2312" w:hAnsi="仿宋_GB2312" w:eastAsia="仿宋_GB2312" w:cs="Times New Roman"/>
          <w:color w:val="000000"/>
          <w:kern w:val="0"/>
          <w:sz w:val="32"/>
          <w:szCs w:val="22"/>
        </w:rPr>
        <w:t>主要原因：本年度无安排政府采购</w:t>
      </w:r>
      <w:r>
        <w:rPr>
          <w:rFonts w:hint="eastAsia" w:ascii="仿宋_GB2312" w:hAnsi="仿宋_GB2312" w:eastAsia="仿宋_GB2312" w:cs="Times New Roman"/>
          <w:color w:val="000000"/>
          <w:kern w:val="0"/>
          <w:sz w:val="32"/>
          <w:szCs w:val="22"/>
          <w:lang w:eastAsia="zh-CN"/>
        </w:rPr>
        <w:t>预算</w:t>
      </w:r>
      <w:r>
        <w:rPr>
          <w:rFonts w:hint="eastAsia" w:ascii="仿宋_GB2312" w:hAnsi="仿宋_GB2312" w:eastAsia="仿宋_GB2312" w:cs="Times New Roman"/>
          <w:color w:val="000000"/>
          <w:kern w:val="0"/>
          <w:sz w:val="32"/>
          <w:szCs w:val="22"/>
        </w:rPr>
        <w:t>。</w:t>
      </w:r>
    </w:p>
    <w:p>
      <w:pPr>
        <w:spacing w:line="555" w:lineRule="exact"/>
        <w:ind w:firstLine="640" w:firstLineChars="200"/>
        <w:jc w:val="both"/>
        <w:rPr>
          <w:rFonts w:hint="eastAsia" w:ascii="仿宋_GB2312" w:hAnsi="仿宋_GB2312" w:eastAsia="仿宋_GB2312"/>
          <w:sz w:val="32"/>
        </w:rPr>
      </w:pPr>
      <w:r>
        <w:rPr>
          <w:rFonts w:hint="eastAsia" w:ascii="楷体" w:hAnsi="楷体" w:eastAsia="楷体"/>
          <w:sz w:val="32"/>
        </w:rPr>
        <w:t>（三）国有资产占有使用情况</w:t>
      </w:r>
    </w:p>
    <w:p>
      <w:pPr>
        <w:keepNext w:val="0"/>
        <w:keepLines w:val="0"/>
        <w:pageBreakBefore w:val="0"/>
        <w:widowControl w:val="0"/>
        <w:kinsoku/>
        <w:wordWrap/>
        <w:overflowPunct/>
        <w:topLinePunct w:val="0"/>
        <w:autoSpaceDE w:val="0"/>
        <w:autoSpaceDN w:val="0"/>
        <w:bidi w:val="0"/>
        <w:adjustRightInd w:val="0"/>
        <w:snapToGrid/>
        <w:spacing w:beforeLines="0" w:afterLines="0" w:line="520" w:lineRule="exact"/>
        <w:ind w:firstLine="640" w:firstLineChars="200"/>
        <w:jc w:val="both"/>
        <w:textAlignment w:val="auto"/>
        <w:rPr>
          <w:rFonts w:hint="eastAsia" w:ascii="仿宋_GB2312" w:hAnsi="仿宋_GB2312" w:eastAsia="仿宋_GB2312" w:cs="Times New Roman"/>
          <w:color w:val="000000"/>
          <w:kern w:val="0"/>
          <w:sz w:val="32"/>
          <w:szCs w:val="22"/>
        </w:rPr>
      </w:pPr>
      <w:r>
        <w:rPr>
          <w:rFonts w:hint="eastAsia" w:ascii="仿宋_GB2312" w:hAnsi="仿宋_GB2312" w:eastAsia="仿宋_GB2312"/>
          <w:sz w:val="32"/>
        </w:rPr>
        <w:t>截至2025年12月31日，厦门市吕岭小学所属各预算单位共有车辆</w:t>
      </w:r>
      <w:r>
        <w:rPr>
          <w:rFonts w:hint="eastAsia" w:ascii="仿宋_GB2312" w:hAnsi="仿宋_GB2312" w:eastAsia="仿宋_GB2312"/>
          <w:sz w:val="32"/>
          <w:lang w:val="en-US" w:eastAsia="zh-CN"/>
        </w:rPr>
        <w:t>0</w:t>
      </w:r>
      <w:r>
        <w:rPr>
          <w:rFonts w:hint="eastAsia" w:ascii="仿宋_GB2312" w:hAnsi="仿宋_GB2312" w:eastAsia="仿宋_GB2312"/>
          <w:sz w:val="32"/>
        </w:rPr>
        <w:t>辆，单位价值100万元以上设备</w:t>
      </w:r>
      <w:r>
        <w:rPr>
          <w:rFonts w:hint="eastAsia" w:ascii="仿宋_GB2312" w:hAnsi="仿宋_GB2312" w:eastAsia="仿宋_GB2312"/>
          <w:sz w:val="32"/>
          <w:lang w:val="en-US" w:eastAsia="zh-CN"/>
        </w:rPr>
        <w:t>0</w:t>
      </w:r>
      <w:r>
        <w:rPr>
          <w:rFonts w:hint="eastAsia" w:ascii="仿宋_GB2312" w:hAnsi="仿宋_GB2312" w:eastAsia="仿宋_GB2312"/>
          <w:sz w:val="32"/>
        </w:rPr>
        <w:t>台（套）。</w:t>
      </w:r>
      <w:r>
        <w:rPr>
          <w:rFonts w:hint="eastAsia" w:ascii="仿宋_GB2312" w:hAnsi="仿宋_GB2312" w:eastAsia="仿宋_GB2312" w:cs="Times New Roman"/>
          <w:color w:val="000000"/>
          <w:kern w:val="0"/>
          <w:sz w:val="32"/>
          <w:szCs w:val="22"/>
        </w:rPr>
        <w:t>说明：本单位没有国有资产占有使用情况。</w:t>
      </w:r>
    </w:p>
    <w:p>
      <w:pPr>
        <w:spacing w:line="555" w:lineRule="exact"/>
        <w:ind w:firstLine="640" w:firstLineChars="200"/>
        <w:jc w:val="both"/>
        <w:rPr>
          <w:rFonts w:hint="eastAsia" w:ascii="仿宋_GB2312" w:hAnsi="仿宋_GB2312" w:eastAsia="仿宋_GB2312"/>
          <w:sz w:val="32"/>
        </w:rPr>
      </w:pPr>
      <w:r>
        <w:rPr>
          <w:rFonts w:hint="eastAsia" w:ascii="楷体" w:hAnsi="楷体" w:eastAsia="楷体"/>
          <w:sz w:val="32"/>
        </w:rPr>
        <w:t>（四）绩效目标设置情况</w:t>
      </w:r>
    </w:p>
    <w:p>
      <w:pPr>
        <w:spacing w:line="555" w:lineRule="exact"/>
        <w:jc w:val="both"/>
        <w:rPr>
          <w:rFonts w:hint="eastAsia" w:ascii="黑体" w:hAnsi="黑体" w:eastAsia="黑体"/>
          <w:sz w:val="32"/>
        </w:rPr>
      </w:pPr>
      <w:r>
        <w:rPr>
          <w:rFonts w:hint="eastAsia" w:ascii="仿宋_GB2312" w:hAnsi="仿宋_GB2312" w:eastAsia="仿宋_GB2312"/>
          <w:sz w:val="32"/>
        </w:rPr>
        <w:t>　　厦门市吕岭小学2026年实行绩效目标管理的二级项目0个，涉及一般公共预算拨款0.00万元、政府性基金预算拨款0.00万元。</w:t>
      </w:r>
      <w:r>
        <w:rPr>
          <w:rFonts w:hint="eastAsia" w:ascii="仿宋_GB2312" w:hAnsi="仿宋_GB2312" w:eastAsia="仿宋_GB2312"/>
          <w:sz w:val="32"/>
          <w:lang w:val="en-US" w:eastAsia="zh-CN"/>
        </w:rPr>
        <w:t>说明：</w:t>
      </w:r>
      <w:r>
        <w:rPr>
          <w:rFonts w:hint="eastAsia" w:ascii="仿宋_GB2312" w:hAnsi="仿宋_GB2312" w:eastAsia="仿宋_GB2312"/>
          <w:color w:val="auto"/>
          <w:sz w:val="32"/>
          <w:lang w:val="en-US" w:eastAsia="zh-CN"/>
        </w:rPr>
        <w:t>2026年</w:t>
      </w:r>
      <w:r>
        <w:rPr>
          <w:rFonts w:hint="eastAsia" w:ascii="FangSong_GB2312" w:hAnsi="FangSong_GB2312" w:eastAsia="FangSong_GB2312"/>
          <w:color w:val="auto"/>
          <w:sz w:val="32"/>
          <w:lang w:eastAsia="zh-CN"/>
        </w:rPr>
        <w:t>本单位没有项目预算安排</w:t>
      </w:r>
      <w:r>
        <w:rPr>
          <w:rFonts w:hint="eastAsia" w:ascii="仿宋_GB2312" w:hAnsi="仿宋_GB2312" w:eastAsia="仿宋_GB2312"/>
          <w:sz w:val="32"/>
          <w:lang w:eastAsia="zh-CN"/>
        </w:rPr>
        <w:t>。</w:t>
      </w:r>
    </w:p>
    <w:p>
      <w:pPr>
        <w:spacing w:line="555" w:lineRule="exact"/>
        <w:ind w:left="20"/>
        <w:jc w:val="both"/>
        <w:rPr>
          <w:rFonts w:hint="eastAsia" w:ascii="黑体" w:hAnsi="黑体" w:eastAsia="黑体"/>
          <w:sz w:val="32"/>
        </w:rPr>
      </w:pPr>
    </w:p>
    <w:p>
      <w:pPr>
        <w:spacing w:line="555" w:lineRule="exact"/>
        <w:ind w:left="20"/>
        <w:jc w:val="center"/>
        <w:rPr>
          <w:rFonts w:hint="eastAsia" w:ascii="黑体" w:hAnsi="黑体" w:eastAsia="黑体"/>
          <w:sz w:val="32"/>
        </w:rPr>
      </w:pPr>
      <w:r>
        <w:rPr>
          <w:rFonts w:hint="eastAsia" w:ascii="黑体" w:hAnsi="黑体" w:eastAsia="黑体"/>
          <w:sz w:val="32"/>
        </w:rPr>
        <w:t>第三部分  名词解释</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一、基本支出</w:t>
      </w:r>
      <w:r>
        <w:rPr>
          <w:rFonts w:hint="eastAsia" w:ascii="楷体" w:hAnsi="楷体" w:eastAsia="楷体"/>
          <w:sz w:val="32"/>
        </w:rPr>
        <w:t>：</w:t>
      </w:r>
      <w:r>
        <w:rPr>
          <w:rFonts w:hint="eastAsia" w:ascii="仿宋_GB2312" w:hAnsi="仿宋_GB2312" w:eastAsia="仿宋_GB2312"/>
          <w:sz w:val="32"/>
        </w:rPr>
        <w:t>指为保障机构正常运转、完成日常工作任务而发生的人员支出、对个人和家庭的补助支出和公用支出。</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二、项目支出：</w:t>
      </w:r>
      <w:r>
        <w:rPr>
          <w:rFonts w:hint="eastAsia" w:ascii="仿宋_GB2312" w:hAnsi="仿宋_GB2312" w:eastAsia="仿宋_GB2312"/>
          <w:sz w:val="32"/>
        </w:rPr>
        <w:t>指在基本支出之外为完成特定行政任务和事业发展目标所发生的支出，包括部门专项、发展经费和基建项目。</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三、“三公”经费：</w:t>
      </w:r>
      <w:r>
        <w:rPr>
          <w:rFonts w:hint="eastAsia" w:ascii="仿宋_GB2312" w:hAnsi="仿宋_GB2312" w:eastAsia="仿宋_GB2312"/>
          <w:sz w:val="32"/>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四、机关运行经费：</w:t>
      </w:r>
      <w:r>
        <w:rPr>
          <w:rFonts w:hint="eastAsia" w:ascii="仿宋_GB2312" w:hAnsi="仿宋_GB2312" w:eastAsia="仿宋_GB2312"/>
          <w:sz w:val="32"/>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555" w:lineRule="exact"/>
        <w:jc w:val="both"/>
        <w:rPr>
          <w:rFonts w:hint="eastAsia" w:ascii="仿宋_GB2312" w:hAnsi="仿宋_GB2312" w:eastAsia="仿宋_GB2312"/>
          <w:sz w:val="32"/>
        </w:rPr>
      </w:pPr>
      <w:r>
        <w:rPr>
          <w:rFonts w:hint="eastAsia" w:ascii="楷体_GB2312" w:hAnsi="楷体_GB2312" w:eastAsia="楷体_GB2312"/>
          <w:sz w:val="32"/>
        </w:rPr>
        <w:t>　　五、其他名词解释。</w:t>
      </w:r>
      <w:r>
        <w:rPr>
          <w:rFonts w:hint="eastAsia" w:ascii="仿宋_GB2312" w:hAnsi="仿宋_GB2312" w:eastAsia="仿宋_GB2312"/>
          <w:sz w:val="32"/>
          <w:lang w:eastAsia="zh-CN"/>
        </w:rPr>
        <w:t>无</w:t>
      </w:r>
    </w:p>
    <w:p>
      <w:pPr>
        <w:spacing w:line="555" w:lineRule="exact"/>
        <w:ind w:left="20"/>
        <w:jc w:val="center"/>
        <w:rPr>
          <w:rFonts w:hint="eastAsia" w:ascii="黑体" w:hAnsi="黑体" w:eastAsia="黑体"/>
          <w:sz w:val="32"/>
        </w:rPr>
      </w:pPr>
      <w:r>
        <w:rPr>
          <w:rFonts w:hint="eastAsia" w:ascii="黑体" w:hAnsi="黑体" w:eastAsia="黑体"/>
          <w:sz w:val="32"/>
        </w:rPr>
        <w:t>第四部分  2026年单位预算附表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一、部门收支预算总体情况表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二、部门收入预算总体情况表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三、部门支出预算总体情况表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四、财政拨款收支预算总体情况表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五、一般公共预算支出情况表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七、一般公共预算“三公”经费支出情况表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八、政府性基金预算支出情况表</w:t>
      </w:r>
    </w:p>
    <w:p>
      <w:pPr>
        <w:spacing w:line="540" w:lineRule="exact"/>
        <w:jc w:val="both"/>
        <w:rPr>
          <w:rFonts w:hint="eastAsia" w:ascii="仿宋" w:hAnsi="仿宋" w:eastAsia="仿宋"/>
          <w:sz w:val="32"/>
        </w:rPr>
      </w:pPr>
      <w:r>
        <w:rPr>
          <w:rFonts w:hint="eastAsia" w:ascii="仿宋_GB2312" w:hAnsi="仿宋_GB2312" w:eastAsia="仿宋_GB2312"/>
          <w:sz w:val="32"/>
        </w:rPr>
        <w:t>　　九、区对镇（街）转移支付项目支出预算表</w:t>
      </w:r>
    </w:p>
    <w:p>
      <w:pPr>
        <w:spacing w:line="540" w:lineRule="exact"/>
        <w:jc w:val="both"/>
        <w:rPr>
          <w:rFonts w:hint="eastAsia" w:ascii="黑体" w:hAnsi="黑体" w:eastAsia="黑体"/>
          <w:sz w:val="32"/>
        </w:rPr>
      </w:pPr>
      <w:r>
        <w:rPr>
          <w:rFonts w:hint="eastAsia" w:ascii="黑体" w:hAnsi="黑体" w:eastAsia="黑体"/>
          <w:sz w:val="32"/>
        </w:rPr>
        <w:t>　</w:t>
      </w:r>
      <w:r>
        <w:rPr>
          <w:rFonts w:hint="eastAsia" w:ascii="黑体" w:hAnsi="黑体" w:eastAsia="黑体"/>
          <w:sz w:val="32"/>
          <w:lang w:val="en-US" w:eastAsia="zh-CN"/>
        </w:rPr>
        <w:t xml:space="preserve">  </w:t>
      </w:r>
      <w:r>
        <w:rPr>
          <w:rFonts w:hint="eastAsia" w:ascii="仿宋_GB2312" w:hAnsi="仿宋_GB2312" w:eastAsia="仿宋_GB2312" w:cs="Times New Roman"/>
          <w:color w:val="000000"/>
          <w:kern w:val="0"/>
          <w:sz w:val="32"/>
          <w:szCs w:val="22"/>
        </w:rPr>
        <w:t>十、二级项目绩效目标表</w:t>
      </w:r>
    </w:p>
    <w:p>
      <w:pPr>
        <w:jc w:val="both"/>
        <w:rPr>
          <w:rFonts w:hint="default"/>
          <w:sz w:val="24"/>
        </w:rPr>
      </w:pPr>
    </w:p>
    <w:sectPr>
      <w:footerReference r:id="rId3" w:type="default"/>
      <w:pgSz w:w="11905" w:h="16837"/>
      <w:pgMar w:top="1388" w:right="1559" w:bottom="1388" w:left="1559"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华文仿宋">
    <w:altName w:val="仿宋"/>
    <w:panose1 w:val="02010600040101010101"/>
    <w:charset w:val="86"/>
    <w:family w:val="roman"/>
    <w:pitch w:val="default"/>
    <w:sig w:usb0="00000000" w:usb1="00000000" w:usb2="00000000" w:usb3="00000000" w:csb0="0004009F" w:csb1="DFD70000"/>
  </w:font>
  <w:font w:name="楷体">
    <w:panose1 w:val="02010609060101010101"/>
    <w:charset w:val="86"/>
    <w:family w:val="roman"/>
    <w:pitch w:val="default"/>
    <w:sig w:usb0="800002BF" w:usb1="38CF7CFA" w:usb2="00000016" w:usb3="00000000" w:csb0="00040001" w:csb1="00000000"/>
  </w:font>
  <w:font w:name="FangSong_GB2312">
    <w:altName w:val="仿宋"/>
    <w:panose1 w:val="00000000000000000000"/>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noWrap w:val="0"/>
          <w:vAlign w:val="top"/>
        </w:tcPr>
        <w:p>
          <w:pPr>
            <w:rPr>
              <w:rFonts w:hint="default"/>
              <w:sz w:val="24"/>
            </w:rPr>
          </w:pPr>
        </w:p>
      </w:tc>
      <w:tc>
        <w:tcPr>
          <w:tcW w:w="3163" w:type="dxa"/>
          <w:tcBorders>
            <w:top w:val="nil"/>
            <w:left w:val="nil"/>
            <w:bottom w:val="nil"/>
            <w:right w:val="nil"/>
            <w:tl2br w:val="nil"/>
            <w:tr2bl w:val="nil"/>
          </w:tcBorders>
          <w:shd w:val="clear" w:color="auto" w:fill="FFFFFF"/>
          <w:noWrap w:val="0"/>
          <w:vAlign w:val="top"/>
        </w:tcPr>
        <w:p>
          <w:pPr>
            <w:spacing w:line="320" w:lineRule="atLeast"/>
            <w:jc w:val="center"/>
            <w:rPr>
              <w:rFonts w:hint="eastAsia" w:ascii="宋体" w:hAnsi="宋体"/>
              <w:sz w:val="18"/>
            </w:rPr>
          </w:pPr>
          <w:r>
            <w:rPr>
              <w:rFonts w:hint="eastAsia" w:ascii="宋体" w:hAnsi="宋体"/>
              <w:sz w:val="18"/>
            </w:rPr>
            <w:fldChar w:fldCharType="begin"/>
          </w:r>
          <w:r>
            <w:rPr>
              <w:rFonts w:hint="eastAsia" w:ascii="宋体" w:hAnsi="宋体"/>
              <w:sz w:val="18"/>
            </w:rPr>
            <w:instrText xml:space="preserve">PAGE</w:instrText>
          </w:r>
          <w:r>
            <w:rPr>
              <w:rFonts w:hint="eastAsia" w:ascii="宋体" w:hAnsi="宋体"/>
              <w:sz w:val="18"/>
            </w:rPr>
            <w:fldChar w:fldCharType="separate"/>
          </w:r>
          <w:r>
            <w:rPr>
              <w:rFonts w:hint="eastAsia" w:ascii="宋体" w:hAnsi="宋体"/>
              <w:sz w:val="18"/>
            </w:rPr>
            <w:t xml:space="preserve"> </w:t>
          </w:r>
          <w:r>
            <w:rPr>
              <w:rFonts w:hint="eastAsia" w:ascii="宋体" w:hAnsi="宋体"/>
              <w:sz w:val="18"/>
            </w:rPr>
            <w:fldChar w:fldCharType="end"/>
          </w:r>
          <w:r>
            <w:rPr>
              <w:rFonts w:hint="eastAsia" w:ascii="宋体" w:hAnsi="宋体"/>
              <w:sz w:val="18"/>
            </w:rPr>
            <w:t xml:space="preserve"> </w:t>
          </w:r>
        </w:p>
      </w:tc>
      <w:tc>
        <w:tcPr>
          <w:tcW w:w="3163" w:type="dxa"/>
          <w:tcBorders>
            <w:top w:val="nil"/>
            <w:left w:val="nil"/>
            <w:bottom w:val="nil"/>
            <w:right w:val="nil"/>
            <w:tl2br w:val="nil"/>
            <w:tr2bl w:val="nil"/>
          </w:tcBorders>
          <w:shd w:val="clear" w:color="auto" w:fill="FFFFFF"/>
          <w:noWrap w:val="0"/>
          <w:vAlign w:val="top"/>
        </w:tcPr>
        <w:p>
          <w:pPr>
            <w:rPr>
              <w:rFonts w:hint="default"/>
              <w:sz w:val="24"/>
            </w:rPr>
          </w:pPr>
        </w:p>
      </w:tc>
    </w:tr>
  </w:tbl>
  <w:p>
    <w:pPr>
      <w:rPr>
        <w:rFonts w:hint="default"/>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742375F"/>
    <w:rsid w:val="39523323"/>
    <w:rsid w:val="5A8A46AE"/>
    <w:rsid w:val="659066BF"/>
    <w:rsid w:val="72964B55"/>
    <w:rsid w:val="7CC169E0"/>
    <w:rsid w:val="7FA97F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iPriority="0"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hint="default" w:ascii="Arial" w:hAnsi="Arial" w:eastAsia="宋体" w:cs="Times New Roman"/>
      <w:color w:val="000000"/>
      <w:sz w:val="24"/>
    </w:rPr>
  </w:style>
  <w:style w:type="paragraph" w:styleId="3">
    <w:name w:val="heading 1"/>
    <w:next w:val="1"/>
    <w:unhideWhenUsed/>
    <w:qFormat/>
    <w:uiPriority w:val="99"/>
    <w:pPr>
      <w:widowControl w:val="0"/>
      <w:autoSpaceDE w:val="0"/>
      <w:autoSpaceDN w:val="0"/>
      <w:adjustRightInd w:val="0"/>
    </w:pPr>
    <w:rPr>
      <w:rFonts w:hint="default" w:ascii="Arial" w:hAnsi="Arial" w:eastAsia="宋体" w:cs="Times New Roman"/>
      <w:b/>
      <w:color w:val="000000"/>
      <w:sz w:val="32"/>
    </w:rPr>
  </w:style>
  <w:style w:type="paragraph" w:styleId="4">
    <w:name w:val="heading 2"/>
    <w:next w:val="1"/>
    <w:unhideWhenUsed/>
    <w:qFormat/>
    <w:uiPriority w:val="99"/>
    <w:pPr>
      <w:widowControl w:val="0"/>
      <w:autoSpaceDE w:val="0"/>
      <w:autoSpaceDN w:val="0"/>
      <w:adjustRightInd w:val="0"/>
    </w:pPr>
    <w:rPr>
      <w:rFonts w:hint="default" w:ascii="Arial" w:hAnsi="Arial" w:eastAsia="宋体" w:cs="Times New Roman"/>
      <w:b/>
      <w:i/>
      <w:color w:val="000000"/>
      <w:sz w:val="28"/>
    </w:rPr>
  </w:style>
  <w:style w:type="paragraph" w:styleId="5">
    <w:name w:val="heading 3"/>
    <w:next w:val="1"/>
    <w:unhideWhenUsed/>
    <w:qFormat/>
    <w:uiPriority w:val="99"/>
    <w:pPr>
      <w:widowControl w:val="0"/>
      <w:autoSpaceDE w:val="0"/>
      <w:autoSpaceDN w:val="0"/>
      <w:adjustRightInd w:val="0"/>
    </w:pPr>
    <w:rPr>
      <w:rFonts w:hint="default" w:ascii="Arial" w:hAnsi="Arial" w:eastAsia="宋体" w:cs="Times New Roman"/>
      <w:b/>
      <w:color w:val="000000"/>
      <w:sz w:val="26"/>
    </w:rPr>
  </w:style>
  <w:style w:type="character" w:default="1" w:styleId="6">
    <w:name w:val="Default Paragraph Font"/>
    <w:unhideWhenUsed/>
    <w:qFormat/>
    <w:uiPriority w:val="99"/>
    <w:rPr>
      <w:rFonts w:hint="default"/>
      <w:sz w:val="24"/>
    </w:rPr>
  </w:style>
  <w:style w:type="table" w:default="1" w:styleId="7">
    <w:name w:val="Normal Table"/>
    <w:qFormat/>
    <w:uiPriority w:val="99"/>
    <w:tblPr>
      <w:tblLayout w:type="fixed"/>
      <w:tblCellMar>
        <w:top w:w="0" w:type="dxa"/>
        <w:left w:w="108" w:type="dxa"/>
        <w:bottom w:w="0" w:type="dxa"/>
        <w:right w:w="108" w:type="dxa"/>
      </w:tblCellMar>
    </w:tblPr>
  </w:style>
  <w:style w:type="paragraph" w:styleId="2">
    <w:name w:val="Body Text First Indent"/>
    <w:unhideWhenUsed/>
    <w:qFormat/>
    <w:uiPriority w:val="0"/>
    <w:pPr>
      <w:widowControl w:val="0"/>
      <w:spacing w:after="120" w:afterLines="0"/>
      <w:ind w:firstLine="420" w:firstLineChars="100"/>
      <w:jc w:val="both"/>
    </w:pPr>
    <w:rPr>
      <w:rFonts w:hint="default" w:ascii="Calibri" w:hAnsi="Calibri" w:eastAsia="宋体" w:cs="Times New Roman"/>
      <w:sz w:val="20"/>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2882</Words>
  <Characters>3181</Characters>
  <TotalTime>1</TotalTime>
  <ScaleCrop>false</ScaleCrop>
  <LinksUpToDate>false</LinksUpToDate>
  <CharactersWithSpaces>3367</CharactersWithSpaces>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2026-01-21T08:09:00Z</dcterms:created>
  <dc:creator>Administrator</dc:creator>
  <cp:lastModifiedBy>Administrator</cp:lastModifiedBy>
  <dcterms:modified xsi:type="dcterms:W3CDTF">2026-02-03T02:03:28Z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TemplateDocerSaveRecord">
    <vt:lpwstr>eyJoZGlkIjoiMTNkYzZmNmZlYzczMzc1ZDY0ZWU4YzBmOTZlMTA5YjciLCJ1c2VySWQiOiI2OTE1NTgxMTAifQ==</vt:lpwstr>
  </property>
  <property fmtid="{D5CDD505-2E9C-101B-9397-08002B2CF9AE}" pid="4" name="ICV">
    <vt:lpwstr>6ADDE30576CB487282D872D49BDF26E6_12</vt:lpwstr>
  </property>
</Properties>
</file>