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A89FE">
      <w:pPr>
        <w:spacing w:line="360" w:lineRule="auto"/>
        <w:jc w:val="center"/>
        <w:rPr>
          <w:rFonts w:ascii="宋体" w:hAnsi="宋体"/>
          <w:sz w:val="24"/>
        </w:rPr>
      </w:pPr>
    </w:p>
    <w:p w14:paraId="51DDE260">
      <w:pPr>
        <w:spacing w:line="360" w:lineRule="auto"/>
        <w:jc w:val="center"/>
        <w:rPr>
          <w:rFonts w:ascii="宋体" w:hAnsi="宋体"/>
          <w:sz w:val="24"/>
        </w:rPr>
      </w:pPr>
    </w:p>
    <w:p w14:paraId="7E7606F9">
      <w:pPr>
        <w:spacing w:line="360" w:lineRule="auto"/>
        <w:jc w:val="center"/>
        <w:rPr>
          <w:rFonts w:ascii="宋体" w:hAnsi="宋体"/>
          <w:sz w:val="24"/>
        </w:rPr>
      </w:pPr>
    </w:p>
    <w:p w14:paraId="7D88EDD2">
      <w:pPr>
        <w:spacing w:line="360" w:lineRule="auto"/>
        <w:jc w:val="center"/>
        <w:rPr>
          <w:rFonts w:ascii="宋体" w:hAnsi="宋体"/>
          <w:sz w:val="24"/>
        </w:rPr>
      </w:pPr>
    </w:p>
    <w:p w14:paraId="702BA08C">
      <w:pPr>
        <w:widowControl/>
        <w:jc w:val="center"/>
        <w:rPr>
          <w:sz w:val="32"/>
          <w:szCs w:val="32"/>
          <w:highlight w:val="none"/>
        </w:rPr>
      </w:pPr>
    </w:p>
    <w:p w14:paraId="134F4761">
      <w:pPr>
        <w:widowControl/>
        <w:jc w:val="both"/>
        <w:rPr>
          <w:sz w:val="84"/>
          <w:szCs w:val="84"/>
          <w:highlight w:val="none"/>
        </w:rPr>
      </w:pPr>
    </w:p>
    <w:p w14:paraId="423E0A4D">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7D79620D">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厦门市湖里区劳动人事争议仲裁院</w:t>
      </w:r>
    </w:p>
    <w:p w14:paraId="38ABE4BD">
      <w:pPr>
        <w:widowControl/>
        <w:jc w:val="center"/>
        <w:rPr>
          <w:rFonts w:hint="eastAsia" w:ascii="方正小标宋简体" w:eastAsia="方正小标宋简体"/>
          <w:b/>
          <w:bCs/>
          <w:sz w:val="84"/>
          <w:szCs w:val="84"/>
          <w:highlight w:val="none"/>
          <w:lang w:val="en-US" w:eastAsia="zh-CN"/>
        </w:rPr>
        <w:sectPr>
          <w:headerReference r:id="rId3" w:type="default"/>
          <w:footerReference r:id="rId4"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4A1DC296">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目录</w:t>
          </w:r>
        </w:p>
        <w:p w14:paraId="42DE886D">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"_Toc256000093" </w:instrText>
          </w:r>
          <w:r>
            <w:fldChar w:fldCharType="separate"/>
          </w:r>
          <w:r>
            <w:rPr>
              <w:rStyle w:val="22"/>
              <w:rFonts w:ascii="黑体" w:hAnsi="黑体" w:eastAsia="黑体" w:cs="黑体"/>
            </w:rPr>
            <w:t>第一部分</w:t>
          </w:r>
          <w:r>
            <w:tab/>
          </w:r>
          <w:r>
            <w:fldChar w:fldCharType="begin"/>
          </w:r>
          <w:r>
            <w:instrText xml:space="preserve"> PAGEREF _Toc256000093 \h </w:instrText>
          </w:r>
          <w:r>
            <w:fldChar w:fldCharType="separate"/>
          </w:r>
          <w:r>
            <w:t>4</w:t>
          </w:r>
          <w:r>
            <w:fldChar w:fldCharType="end"/>
          </w:r>
          <w:r>
            <w:fldChar w:fldCharType="end"/>
          </w:r>
        </w:p>
        <w:p w14:paraId="1B954B88">
          <w:pPr>
            <w:pStyle w:val="17"/>
            <w:tabs>
              <w:tab w:val="right" w:leader="dot" w:pos="9730"/>
            </w:tabs>
            <w:rPr>
              <w:rFonts w:asciiTheme="minorHAnsi" w:hAnsiTheme="minorHAnsi"/>
              <w:sz w:val="22"/>
            </w:rPr>
          </w:pPr>
          <w:r>
            <w:fldChar w:fldCharType="begin"/>
          </w:r>
          <w:r>
            <w:instrText xml:space="preserve"> HYPERLINK \l "_Toc256000094" </w:instrText>
          </w:r>
          <w:r>
            <w:fldChar w:fldCharType="separate"/>
          </w:r>
          <w:r>
            <w:rPr>
              <w:rStyle w:val="22"/>
              <w:rFonts w:ascii="黑体" w:hAnsi="黑体" w:eastAsia="黑体" w:cs="黑体"/>
            </w:rPr>
            <w:t>单位概况</w:t>
          </w:r>
          <w:r>
            <w:tab/>
          </w:r>
          <w:r>
            <w:fldChar w:fldCharType="begin"/>
          </w:r>
          <w:r>
            <w:instrText xml:space="preserve"> PAGEREF _Toc256000094 \h </w:instrText>
          </w:r>
          <w:r>
            <w:fldChar w:fldCharType="separate"/>
          </w:r>
          <w:r>
            <w:t>4</w:t>
          </w:r>
          <w:r>
            <w:fldChar w:fldCharType="end"/>
          </w:r>
          <w:r>
            <w:fldChar w:fldCharType="end"/>
          </w:r>
        </w:p>
        <w:p w14:paraId="602CE76A">
          <w:pPr>
            <w:pStyle w:val="10"/>
            <w:tabs>
              <w:tab w:val="right" w:leader="dot" w:pos="9730"/>
            </w:tabs>
            <w:rPr>
              <w:rFonts w:asciiTheme="minorHAnsi" w:hAnsiTheme="minorHAnsi"/>
              <w:sz w:val="22"/>
            </w:rPr>
          </w:pPr>
          <w:r>
            <w:fldChar w:fldCharType="begin"/>
          </w:r>
          <w:r>
            <w:instrText xml:space="preserve"> HYPERLINK \l "_Toc256000095" </w:instrText>
          </w:r>
          <w:r>
            <w:fldChar w:fldCharType="separate"/>
          </w:r>
          <w:r>
            <w:rPr>
              <w:rStyle w:val="22"/>
              <w:rFonts w:ascii="黑体" w:hAnsi="黑体" w:eastAsia="黑体" w:cs="黑体"/>
            </w:rPr>
            <w:t>一、单位主要职责</w:t>
          </w:r>
          <w:r>
            <w:tab/>
          </w:r>
          <w:r>
            <w:fldChar w:fldCharType="begin"/>
          </w:r>
          <w:r>
            <w:instrText xml:space="preserve"> PAGEREF _Toc256000095 \h </w:instrText>
          </w:r>
          <w:r>
            <w:fldChar w:fldCharType="separate"/>
          </w:r>
          <w:r>
            <w:t>5</w:t>
          </w:r>
          <w:r>
            <w:fldChar w:fldCharType="end"/>
          </w:r>
          <w:r>
            <w:fldChar w:fldCharType="end"/>
          </w:r>
        </w:p>
        <w:p w14:paraId="4DE350AA">
          <w:pPr>
            <w:pStyle w:val="10"/>
            <w:tabs>
              <w:tab w:val="right" w:leader="dot" w:pos="9730"/>
            </w:tabs>
            <w:rPr>
              <w:rFonts w:asciiTheme="minorHAnsi" w:hAnsiTheme="minorHAnsi"/>
              <w:sz w:val="22"/>
            </w:rPr>
          </w:pPr>
          <w:r>
            <w:fldChar w:fldCharType="begin"/>
          </w:r>
          <w:r>
            <w:instrText xml:space="preserve"> HYPERLINK \l "_Toc256000096" </w:instrText>
          </w:r>
          <w:r>
            <w:fldChar w:fldCharType="separate"/>
          </w:r>
          <w:r>
            <w:rPr>
              <w:rStyle w:val="22"/>
              <w:rFonts w:ascii="黑体" w:hAnsi="黑体" w:eastAsia="黑体" w:cs="黑体"/>
            </w:rPr>
            <w:t>二、单位基本情况</w:t>
          </w:r>
          <w:r>
            <w:tab/>
          </w:r>
          <w:r>
            <w:fldChar w:fldCharType="begin"/>
          </w:r>
          <w:r>
            <w:instrText xml:space="preserve"> PAGEREF _Toc256000096 \h </w:instrText>
          </w:r>
          <w:r>
            <w:fldChar w:fldCharType="separate"/>
          </w:r>
          <w:r>
            <w:t>5</w:t>
          </w:r>
          <w:r>
            <w:fldChar w:fldCharType="end"/>
          </w:r>
          <w:r>
            <w:fldChar w:fldCharType="end"/>
          </w:r>
        </w:p>
        <w:p w14:paraId="78283636">
          <w:pPr>
            <w:pStyle w:val="10"/>
            <w:tabs>
              <w:tab w:val="right" w:leader="dot" w:pos="9730"/>
            </w:tabs>
            <w:rPr>
              <w:rFonts w:asciiTheme="minorHAnsi" w:hAnsiTheme="minorHAnsi"/>
              <w:sz w:val="22"/>
            </w:rPr>
          </w:pPr>
          <w:r>
            <w:fldChar w:fldCharType="begin"/>
          </w:r>
          <w:r>
            <w:instrText xml:space="preserve"> HYPERLINK \l "_Toc256000097" </w:instrText>
          </w:r>
          <w:r>
            <w:fldChar w:fldCharType="separate"/>
          </w:r>
          <w:r>
            <w:rPr>
              <w:rStyle w:val="22"/>
              <w:rFonts w:ascii="黑体" w:hAnsi="黑体" w:eastAsia="黑体" w:cs="黑体"/>
            </w:rPr>
            <w:t>三、单位主要工作总结</w:t>
          </w:r>
          <w:r>
            <w:tab/>
          </w:r>
          <w:r>
            <w:fldChar w:fldCharType="begin"/>
          </w:r>
          <w:r>
            <w:instrText xml:space="preserve"> PAGEREF _Toc256000097 \h </w:instrText>
          </w:r>
          <w:r>
            <w:fldChar w:fldCharType="separate"/>
          </w:r>
          <w:r>
            <w:t>5</w:t>
          </w:r>
          <w:r>
            <w:fldChar w:fldCharType="end"/>
          </w:r>
          <w:r>
            <w:fldChar w:fldCharType="end"/>
          </w:r>
        </w:p>
        <w:p w14:paraId="1A790F8E">
          <w:pPr>
            <w:pStyle w:val="17"/>
            <w:tabs>
              <w:tab w:val="right" w:leader="dot" w:pos="9730"/>
            </w:tabs>
            <w:rPr>
              <w:rFonts w:asciiTheme="minorHAnsi" w:hAnsiTheme="minorHAnsi"/>
              <w:sz w:val="22"/>
            </w:rPr>
          </w:pPr>
          <w:r>
            <w:fldChar w:fldCharType="begin"/>
          </w:r>
          <w:r>
            <w:instrText xml:space="preserve"> HYPERLINK \l "_Toc256000098" </w:instrText>
          </w:r>
          <w:r>
            <w:fldChar w:fldCharType="separate"/>
          </w:r>
          <w:r>
            <w:rPr>
              <w:rStyle w:val="22"/>
              <w:rFonts w:ascii="黑体" w:hAnsi="黑体" w:eastAsia="黑体" w:cs="黑体"/>
            </w:rPr>
            <w:t>第二部分</w:t>
          </w:r>
          <w:r>
            <w:tab/>
          </w:r>
          <w:r>
            <w:fldChar w:fldCharType="begin"/>
          </w:r>
          <w:r>
            <w:instrText xml:space="preserve"> PAGEREF _Toc256000098 \h </w:instrText>
          </w:r>
          <w:r>
            <w:fldChar w:fldCharType="separate"/>
          </w:r>
          <w:r>
            <w:t>10</w:t>
          </w:r>
          <w:r>
            <w:fldChar w:fldCharType="end"/>
          </w:r>
          <w:r>
            <w:fldChar w:fldCharType="end"/>
          </w:r>
        </w:p>
        <w:p w14:paraId="01132910">
          <w:pPr>
            <w:pStyle w:val="17"/>
            <w:tabs>
              <w:tab w:val="right" w:leader="dot" w:pos="9730"/>
            </w:tabs>
            <w:rPr>
              <w:rFonts w:asciiTheme="minorHAnsi" w:hAnsiTheme="minorHAnsi"/>
              <w:sz w:val="22"/>
            </w:rPr>
          </w:pPr>
          <w:r>
            <w:fldChar w:fldCharType="begin"/>
          </w:r>
          <w:r>
            <w:instrText xml:space="preserve"> HYPERLINK \l "_Toc256000099" </w:instrText>
          </w:r>
          <w:r>
            <w:fldChar w:fldCharType="separate"/>
          </w:r>
          <w:r>
            <w:rPr>
              <w:rStyle w:val="22"/>
              <w:rFonts w:ascii="黑体" w:hAnsi="黑体" w:eastAsia="黑体" w:cs="黑体"/>
            </w:rPr>
            <w:t>2024年度决算表</w:t>
          </w:r>
          <w:r>
            <w:tab/>
          </w:r>
          <w:r>
            <w:fldChar w:fldCharType="begin"/>
          </w:r>
          <w:r>
            <w:instrText xml:space="preserve"> PAGEREF _Toc256000099 \h </w:instrText>
          </w:r>
          <w:r>
            <w:fldChar w:fldCharType="separate"/>
          </w:r>
          <w:r>
            <w:t>10</w:t>
          </w:r>
          <w:r>
            <w:fldChar w:fldCharType="end"/>
          </w:r>
          <w:r>
            <w:fldChar w:fldCharType="end"/>
          </w:r>
        </w:p>
        <w:p w14:paraId="21A9B067">
          <w:pPr>
            <w:pStyle w:val="10"/>
            <w:tabs>
              <w:tab w:val="right" w:leader="dot" w:pos="9730"/>
            </w:tabs>
            <w:rPr>
              <w:rFonts w:asciiTheme="minorHAnsi" w:hAnsiTheme="minorHAnsi"/>
              <w:sz w:val="22"/>
            </w:rPr>
          </w:pPr>
          <w:r>
            <w:fldChar w:fldCharType="begin"/>
          </w:r>
          <w:r>
            <w:instrText xml:space="preserve"> HYPERLINK \l "_Toc256000100" </w:instrText>
          </w:r>
          <w:r>
            <w:fldChar w:fldCharType="separate"/>
          </w:r>
          <w:r>
            <w:rPr>
              <w:rStyle w:val="22"/>
              <w:rFonts w:ascii="黑体" w:hAnsi="黑体" w:eastAsia="黑体" w:cs="黑体"/>
            </w:rPr>
            <w:t>一、收入支出决算总表</w:t>
          </w:r>
          <w:r>
            <w:tab/>
          </w:r>
          <w:r>
            <w:fldChar w:fldCharType="begin"/>
          </w:r>
          <w:r>
            <w:instrText xml:space="preserve"> PAGEREF _Toc256000100 \h </w:instrText>
          </w:r>
          <w:r>
            <w:fldChar w:fldCharType="separate"/>
          </w:r>
          <w:r>
            <w:t>11</w:t>
          </w:r>
          <w:r>
            <w:fldChar w:fldCharType="end"/>
          </w:r>
          <w:r>
            <w:fldChar w:fldCharType="end"/>
          </w:r>
        </w:p>
        <w:p w14:paraId="01756A97">
          <w:pPr>
            <w:pStyle w:val="10"/>
            <w:tabs>
              <w:tab w:val="right" w:leader="dot" w:pos="9730"/>
            </w:tabs>
            <w:rPr>
              <w:rFonts w:asciiTheme="minorHAnsi" w:hAnsiTheme="minorHAnsi"/>
              <w:sz w:val="22"/>
            </w:rPr>
          </w:pPr>
          <w:r>
            <w:fldChar w:fldCharType="begin"/>
          </w:r>
          <w:r>
            <w:instrText xml:space="preserve"> HYPERLINK \l "_Toc256000101" </w:instrText>
          </w:r>
          <w:r>
            <w:fldChar w:fldCharType="separate"/>
          </w:r>
          <w:r>
            <w:rPr>
              <w:rStyle w:val="22"/>
              <w:rFonts w:ascii="黑体" w:hAnsi="黑体" w:eastAsia="黑体" w:cs="黑体"/>
            </w:rPr>
            <w:t>二、收入决算表</w:t>
          </w:r>
          <w:r>
            <w:tab/>
          </w:r>
          <w:r>
            <w:fldChar w:fldCharType="begin"/>
          </w:r>
          <w:r>
            <w:instrText xml:space="preserve"> PAGEREF _Toc256000101 \h </w:instrText>
          </w:r>
          <w:r>
            <w:fldChar w:fldCharType="separate"/>
          </w:r>
          <w:r>
            <w:t>15</w:t>
          </w:r>
          <w:r>
            <w:fldChar w:fldCharType="end"/>
          </w:r>
          <w:r>
            <w:fldChar w:fldCharType="end"/>
          </w:r>
        </w:p>
        <w:p w14:paraId="39894D98">
          <w:pPr>
            <w:pStyle w:val="10"/>
            <w:tabs>
              <w:tab w:val="right" w:leader="dot" w:pos="9730"/>
            </w:tabs>
            <w:rPr>
              <w:rFonts w:asciiTheme="minorHAnsi" w:hAnsiTheme="minorHAnsi"/>
              <w:sz w:val="22"/>
            </w:rPr>
          </w:pPr>
          <w:r>
            <w:fldChar w:fldCharType="begin"/>
          </w:r>
          <w:r>
            <w:instrText xml:space="preserve"> HYPERLINK \l "_Toc256000102" </w:instrText>
          </w:r>
          <w:r>
            <w:fldChar w:fldCharType="separate"/>
          </w:r>
          <w:r>
            <w:rPr>
              <w:rStyle w:val="22"/>
              <w:rFonts w:ascii="黑体" w:hAnsi="黑体" w:eastAsia="黑体" w:cs="黑体"/>
            </w:rPr>
            <w:t>三、支出决算表</w:t>
          </w:r>
          <w:r>
            <w:tab/>
          </w:r>
          <w:r>
            <w:fldChar w:fldCharType="begin"/>
          </w:r>
          <w:r>
            <w:instrText xml:space="preserve"> PAGEREF _Toc256000102 \h </w:instrText>
          </w:r>
          <w:r>
            <w:fldChar w:fldCharType="separate"/>
          </w:r>
          <w:r>
            <w:t>17</w:t>
          </w:r>
          <w:r>
            <w:fldChar w:fldCharType="end"/>
          </w:r>
          <w:r>
            <w:fldChar w:fldCharType="end"/>
          </w:r>
        </w:p>
        <w:p w14:paraId="59633941">
          <w:pPr>
            <w:pStyle w:val="10"/>
            <w:tabs>
              <w:tab w:val="right" w:leader="dot" w:pos="9730"/>
            </w:tabs>
            <w:rPr>
              <w:rFonts w:asciiTheme="minorHAnsi" w:hAnsiTheme="minorHAnsi"/>
              <w:sz w:val="22"/>
            </w:rPr>
          </w:pPr>
          <w:r>
            <w:fldChar w:fldCharType="begin"/>
          </w:r>
          <w:r>
            <w:instrText xml:space="preserve"> HYPERLINK \l "_Toc256000103" </w:instrText>
          </w:r>
          <w:r>
            <w:fldChar w:fldCharType="separate"/>
          </w:r>
          <w:r>
            <w:rPr>
              <w:rStyle w:val="22"/>
              <w:rFonts w:ascii="黑体" w:hAnsi="黑体" w:eastAsia="黑体" w:cs="黑体"/>
            </w:rPr>
            <w:t>四、财政拨款收入支出决算总表</w:t>
          </w:r>
          <w:r>
            <w:tab/>
          </w:r>
          <w:r>
            <w:fldChar w:fldCharType="begin"/>
          </w:r>
          <w:r>
            <w:instrText xml:space="preserve"> PAGEREF _Toc256000103 \h </w:instrText>
          </w:r>
          <w:r>
            <w:fldChar w:fldCharType="separate"/>
          </w:r>
          <w:r>
            <w:t>19</w:t>
          </w:r>
          <w:r>
            <w:fldChar w:fldCharType="end"/>
          </w:r>
          <w:r>
            <w:fldChar w:fldCharType="end"/>
          </w:r>
        </w:p>
        <w:p w14:paraId="5097D41A">
          <w:pPr>
            <w:pStyle w:val="10"/>
            <w:tabs>
              <w:tab w:val="right" w:leader="dot" w:pos="9730"/>
            </w:tabs>
            <w:rPr>
              <w:rFonts w:asciiTheme="minorHAnsi" w:hAnsiTheme="minorHAnsi"/>
              <w:sz w:val="22"/>
            </w:rPr>
          </w:pPr>
          <w:r>
            <w:fldChar w:fldCharType="begin"/>
          </w:r>
          <w:r>
            <w:instrText xml:space="preserve"> HYPERLINK \l "_Toc256000104" </w:instrText>
          </w:r>
          <w:r>
            <w:fldChar w:fldCharType="separate"/>
          </w:r>
          <w:r>
            <w:rPr>
              <w:rStyle w:val="22"/>
              <w:rFonts w:ascii="黑体" w:hAnsi="黑体" w:eastAsia="黑体" w:cs="黑体"/>
            </w:rPr>
            <w:t>五、一般公共预算财政拨款支出决算表</w:t>
          </w:r>
          <w:r>
            <w:tab/>
          </w:r>
          <w:r>
            <w:fldChar w:fldCharType="begin"/>
          </w:r>
          <w:r>
            <w:instrText xml:space="preserve"> PAGEREF _Toc256000104 \h </w:instrText>
          </w:r>
          <w:r>
            <w:fldChar w:fldCharType="separate"/>
          </w:r>
          <w:r>
            <w:t>24</w:t>
          </w:r>
          <w:r>
            <w:fldChar w:fldCharType="end"/>
          </w:r>
          <w:r>
            <w:fldChar w:fldCharType="end"/>
          </w:r>
        </w:p>
        <w:p w14:paraId="6316E790">
          <w:pPr>
            <w:pStyle w:val="10"/>
            <w:tabs>
              <w:tab w:val="right" w:leader="dot" w:pos="9730"/>
            </w:tabs>
            <w:rPr>
              <w:rFonts w:asciiTheme="minorHAnsi" w:hAnsiTheme="minorHAnsi"/>
              <w:sz w:val="22"/>
            </w:rPr>
          </w:pPr>
          <w:r>
            <w:fldChar w:fldCharType="begin"/>
          </w:r>
          <w:r>
            <w:instrText xml:space="preserve"> HYPERLINK \l "_Toc256000105" </w:instrText>
          </w:r>
          <w:r>
            <w:fldChar w:fldCharType="separate"/>
          </w:r>
          <w:r>
            <w:rPr>
              <w:rStyle w:val="22"/>
              <w:rFonts w:ascii="黑体" w:hAnsi="黑体" w:eastAsia="黑体" w:cs="黑体"/>
            </w:rPr>
            <w:t>六、一般公共预算财政拨款基本支出决算表</w:t>
          </w:r>
          <w:r>
            <w:tab/>
          </w:r>
          <w:r>
            <w:fldChar w:fldCharType="begin"/>
          </w:r>
          <w:r>
            <w:instrText xml:space="preserve"> PAGEREF _Toc256000105 \h </w:instrText>
          </w:r>
          <w:r>
            <w:fldChar w:fldCharType="separate"/>
          </w:r>
          <w:r>
            <w:t>26</w:t>
          </w:r>
          <w:r>
            <w:fldChar w:fldCharType="end"/>
          </w:r>
          <w:r>
            <w:fldChar w:fldCharType="end"/>
          </w:r>
        </w:p>
        <w:p w14:paraId="7CE68BE6">
          <w:pPr>
            <w:pStyle w:val="10"/>
            <w:tabs>
              <w:tab w:val="right" w:leader="dot" w:pos="9730"/>
            </w:tabs>
            <w:rPr>
              <w:rFonts w:asciiTheme="minorHAnsi" w:hAnsiTheme="minorHAnsi"/>
              <w:sz w:val="22"/>
            </w:rPr>
          </w:pPr>
          <w:r>
            <w:fldChar w:fldCharType="begin"/>
          </w:r>
          <w:r>
            <w:instrText xml:space="preserve"> HYPERLINK \l "_Toc256000106" </w:instrText>
          </w:r>
          <w:r>
            <w:fldChar w:fldCharType="separate"/>
          </w:r>
          <w:r>
            <w:rPr>
              <w:rStyle w:val="22"/>
              <w:rFonts w:ascii="黑体" w:hAnsi="黑体" w:eastAsia="黑体" w:cs="黑体"/>
            </w:rPr>
            <w:t>七、一般公共预算财政拨款“三公”经费支出决算表</w:t>
          </w:r>
          <w:r>
            <w:tab/>
          </w:r>
          <w:r>
            <w:fldChar w:fldCharType="begin"/>
          </w:r>
          <w:r>
            <w:instrText xml:space="preserve"> PAGEREF _Toc256000106 \h </w:instrText>
          </w:r>
          <w:r>
            <w:fldChar w:fldCharType="separate"/>
          </w:r>
          <w:r>
            <w:t>30</w:t>
          </w:r>
          <w:r>
            <w:fldChar w:fldCharType="end"/>
          </w:r>
          <w:r>
            <w:fldChar w:fldCharType="end"/>
          </w:r>
        </w:p>
        <w:p w14:paraId="0B54E473">
          <w:pPr>
            <w:pStyle w:val="10"/>
            <w:tabs>
              <w:tab w:val="right" w:leader="dot" w:pos="9730"/>
            </w:tabs>
            <w:rPr>
              <w:rFonts w:asciiTheme="minorHAnsi" w:hAnsiTheme="minorHAnsi"/>
              <w:sz w:val="22"/>
            </w:rPr>
          </w:pPr>
          <w:r>
            <w:fldChar w:fldCharType="begin"/>
          </w:r>
          <w:r>
            <w:instrText xml:space="preserve"> HYPERLINK \l "_Toc256000107" </w:instrText>
          </w:r>
          <w:r>
            <w:fldChar w:fldCharType="separate"/>
          </w:r>
          <w:r>
            <w:rPr>
              <w:rStyle w:val="22"/>
              <w:rFonts w:ascii="黑体" w:hAnsi="黑体" w:eastAsia="黑体" w:cs="黑体"/>
            </w:rPr>
            <w:t>八、政府性基金预算财政拨款收入支出决算表</w:t>
          </w:r>
          <w:r>
            <w:tab/>
          </w:r>
          <w:r>
            <w:fldChar w:fldCharType="begin"/>
          </w:r>
          <w:r>
            <w:instrText xml:space="preserve"> PAGEREF _Toc256000107 \h </w:instrText>
          </w:r>
          <w:r>
            <w:fldChar w:fldCharType="separate"/>
          </w:r>
          <w:r>
            <w:t>31</w:t>
          </w:r>
          <w:r>
            <w:fldChar w:fldCharType="end"/>
          </w:r>
          <w:r>
            <w:fldChar w:fldCharType="end"/>
          </w:r>
        </w:p>
        <w:p w14:paraId="3336670E">
          <w:pPr>
            <w:pStyle w:val="10"/>
            <w:tabs>
              <w:tab w:val="right" w:leader="dot" w:pos="9730"/>
            </w:tabs>
            <w:rPr>
              <w:rFonts w:asciiTheme="minorHAnsi" w:hAnsiTheme="minorHAnsi"/>
              <w:sz w:val="22"/>
            </w:rPr>
          </w:pPr>
          <w:r>
            <w:fldChar w:fldCharType="begin"/>
          </w:r>
          <w:r>
            <w:instrText xml:space="preserve"> HYPERLINK \l "_Toc256000108" </w:instrText>
          </w:r>
          <w:r>
            <w:fldChar w:fldCharType="separate"/>
          </w:r>
          <w:r>
            <w:rPr>
              <w:rStyle w:val="22"/>
              <w:rFonts w:ascii="黑体" w:hAnsi="黑体" w:eastAsia="黑体" w:cs="黑体"/>
            </w:rPr>
            <w:t>九、国有资本经营预算财政拨款支出决算表</w:t>
          </w:r>
          <w:r>
            <w:tab/>
          </w:r>
          <w:r>
            <w:fldChar w:fldCharType="begin"/>
          </w:r>
          <w:r>
            <w:instrText xml:space="preserve"> PAGEREF _Toc256000108 \h </w:instrText>
          </w:r>
          <w:r>
            <w:fldChar w:fldCharType="separate"/>
          </w:r>
          <w:r>
            <w:t>32</w:t>
          </w:r>
          <w:r>
            <w:fldChar w:fldCharType="end"/>
          </w:r>
          <w:r>
            <w:fldChar w:fldCharType="end"/>
          </w:r>
        </w:p>
        <w:p w14:paraId="093EE532">
          <w:pPr>
            <w:pStyle w:val="17"/>
            <w:tabs>
              <w:tab w:val="right" w:leader="dot" w:pos="9730"/>
            </w:tabs>
            <w:rPr>
              <w:rFonts w:asciiTheme="minorHAnsi" w:hAnsiTheme="minorHAnsi"/>
              <w:sz w:val="22"/>
            </w:rPr>
          </w:pPr>
          <w:r>
            <w:fldChar w:fldCharType="begin"/>
          </w:r>
          <w:r>
            <w:instrText xml:space="preserve"> HYPERLINK \l "_Toc256000109" </w:instrText>
          </w:r>
          <w:r>
            <w:fldChar w:fldCharType="separate"/>
          </w:r>
          <w:r>
            <w:rPr>
              <w:rStyle w:val="22"/>
              <w:rFonts w:ascii="黑体" w:hAnsi="黑体" w:eastAsia="黑体" w:cs="黑体"/>
            </w:rPr>
            <w:t>第三部分</w:t>
          </w:r>
          <w:r>
            <w:tab/>
          </w:r>
          <w:r>
            <w:fldChar w:fldCharType="begin"/>
          </w:r>
          <w:r>
            <w:instrText xml:space="preserve"> PAGEREF _Toc256000109 \h </w:instrText>
          </w:r>
          <w:r>
            <w:fldChar w:fldCharType="separate"/>
          </w:r>
          <w:r>
            <w:t>34</w:t>
          </w:r>
          <w:r>
            <w:fldChar w:fldCharType="end"/>
          </w:r>
          <w:r>
            <w:fldChar w:fldCharType="end"/>
          </w:r>
        </w:p>
        <w:p w14:paraId="756038BB">
          <w:pPr>
            <w:pStyle w:val="17"/>
            <w:tabs>
              <w:tab w:val="right" w:leader="dot" w:pos="9730"/>
            </w:tabs>
            <w:rPr>
              <w:rFonts w:asciiTheme="minorHAnsi" w:hAnsiTheme="minorHAnsi"/>
              <w:sz w:val="22"/>
            </w:rPr>
          </w:pPr>
          <w:r>
            <w:fldChar w:fldCharType="begin"/>
          </w:r>
          <w:r>
            <w:instrText xml:space="preserve"> HYPERLINK \l "_Toc256000110" </w:instrText>
          </w:r>
          <w:r>
            <w:fldChar w:fldCharType="separate"/>
          </w:r>
          <w:r>
            <w:rPr>
              <w:rStyle w:val="22"/>
              <w:rFonts w:ascii="黑体" w:hAnsi="黑体" w:eastAsia="黑体" w:cs="黑体"/>
            </w:rPr>
            <w:t>2024年度决算情况说明</w:t>
          </w:r>
          <w:r>
            <w:tab/>
          </w:r>
          <w:r>
            <w:fldChar w:fldCharType="begin"/>
          </w:r>
          <w:r>
            <w:instrText xml:space="preserve"> PAGEREF _Toc256000110 \h </w:instrText>
          </w:r>
          <w:r>
            <w:fldChar w:fldCharType="separate"/>
          </w:r>
          <w:r>
            <w:t>34</w:t>
          </w:r>
          <w:r>
            <w:fldChar w:fldCharType="end"/>
          </w:r>
          <w:r>
            <w:fldChar w:fldCharType="end"/>
          </w:r>
        </w:p>
        <w:p w14:paraId="24E9B31E">
          <w:pPr>
            <w:pStyle w:val="10"/>
            <w:tabs>
              <w:tab w:val="right" w:leader="dot" w:pos="9730"/>
            </w:tabs>
            <w:rPr>
              <w:rFonts w:asciiTheme="minorHAnsi" w:hAnsiTheme="minorHAnsi"/>
              <w:sz w:val="22"/>
            </w:rPr>
          </w:pPr>
          <w:r>
            <w:fldChar w:fldCharType="begin"/>
          </w:r>
          <w:r>
            <w:instrText xml:space="preserve"> HYPERLINK \l "_Toc256000111" </w:instrText>
          </w:r>
          <w:r>
            <w:fldChar w:fldCharType="separate"/>
          </w:r>
          <w:r>
            <w:rPr>
              <w:rStyle w:val="22"/>
              <w:rFonts w:ascii="黑体" w:hAnsi="黑体" w:eastAsia="黑体" w:cs="黑体"/>
            </w:rPr>
            <w:t>一、收入支出决算总体情况说明</w:t>
          </w:r>
          <w:r>
            <w:tab/>
          </w:r>
          <w:r>
            <w:fldChar w:fldCharType="begin"/>
          </w:r>
          <w:r>
            <w:instrText xml:space="preserve"> PAGEREF _Toc256000111 \h </w:instrText>
          </w:r>
          <w:r>
            <w:fldChar w:fldCharType="separate"/>
          </w:r>
          <w:r>
            <w:t>35</w:t>
          </w:r>
          <w:r>
            <w:fldChar w:fldCharType="end"/>
          </w:r>
          <w:r>
            <w:fldChar w:fldCharType="end"/>
          </w:r>
        </w:p>
        <w:p w14:paraId="486AD58C">
          <w:pPr>
            <w:pStyle w:val="10"/>
            <w:tabs>
              <w:tab w:val="right" w:leader="dot" w:pos="9730"/>
            </w:tabs>
            <w:rPr>
              <w:rFonts w:asciiTheme="minorHAnsi" w:hAnsiTheme="minorHAnsi"/>
              <w:sz w:val="22"/>
            </w:rPr>
          </w:pPr>
          <w:r>
            <w:fldChar w:fldCharType="begin"/>
          </w:r>
          <w:r>
            <w:instrText xml:space="preserve"> HYPERLINK \l "_Toc256000112" </w:instrText>
          </w:r>
          <w:r>
            <w:fldChar w:fldCharType="separate"/>
          </w:r>
          <w:r>
            <w:rPr>
              <w:rStyle w:val="22"/>
              <w:rFonts w:ascii="黑体" w:hAnsi="黑体" w:eastAsia="黑体" w:cs="黑体"/>
            </w:rPr>
            <w:t>二、财政拨款收入支出决算总体情况说明</w:t>
          </w:r>
          <w:r>
            <w:tab/>
          </w:r>
          <w:r>
            <w:fldChar w:fldCharType="begin"/>
          </w:r>
          <w:r>
            <w:instrText xml:space="preserve"> PAGEREF _Toc256000112 \h </w:instrText>
          </w:r>
          <w:r>
            <w:fldChar w:fldCharType="separate"/>
          </w:r>
          <w:r>
            <w:t>36</w:t>
          </w:r>
          <w:r>
            <w:fldChar w:fldCharType="end"/>
          </w:r>
          <w:r>
            <w:fldChar w:fldCharType="end"/>
          </w:r>
        </w:p>
        <w:p w14:paraId="489C8620">
          <w:pPr>
            <w:pStyle w:val="10"/>
            <w:tabs>
              <w:tab w:val="right" w:leader="dot" w:pos="9730"/>
            </w:tabs>
            <w:rPr>
              <w:rFonts w:asciiTheme="minorHAnsi" w:hAnsiTheme="minorHAnsi"/>
              <w:sz w:val="22"/>
            </w:rPr>
          </w:pPr>
          <w:r>
            <w:fldChar w:fldCharType="begin"/>
          </w:r>
          <w:r>
            <w:instrText xml:space="preserve"> HYPERLINK \l "_Toc256000113" </w:instrText>
          </w:r>
          <w:r>
            <w:fldChar w:fldCharType="separate"/>
          </w:r>
          <w:r>
            <w:rPr>
              <w:rStyle w:val="22"/>
              <w:rFonts w:ascii="黑体" w:hAnsi="黑体" w:eastAsia="黑体" w:cs="黑体"/>
            </w:rPr>
            <w:t>三、一般公共预算拨款支出决算情况说明</w:t>
          </w:r>
          <w:r>
            <w:tab/>
          </w:r>
          <w:r>
            <w:fldChar w:fldCharType="begin"/>
          </w:r>
          <w:r>
            <w:instrText xml:space="preserve"> PAGEREF _Toc256000113 \h </w:instrText>
          </w:r>
          <w:r>
            <w:fldChar w:fldCharType="separate"/>
          </w:r>
          <w:r>
            <w:t>36</w:t>
          </w:r>
          <w:r>
            <w:fldChar w:fldCharType="end"/>
          </w:r>
          <w:r>
            <w:fldChar w:fldCharType="end"/>
          </w:r>
        </w:p>
        <w:p w14:paraId="02F6E12C">
          <w:pPr>
            <w:pStyle w:val="10"/>
            <w:tabs>
              <w:tab w:val="right" w:leader="dot" w:pos="9730"/>
            </w:tabs>
            <w:rPr>
              <w:rFonts w:asciiTheme="minorHAnsi" w:hAnsiTheme="minorHAnsi"/>
              <w:sz w:val="22"/>
            </w:rPr>
          </w:pPr>
          <w:r>
            <w:fldChar w:fldCharType="begin"/>
          </w:r>
          <w:r>
            <w:instrText xml:space="preserve"> HYPERLINK \l "_Toc256000114" </w:instrText>
          </w:r>
          <w:r>
            <w:fldChar w:fldCharType="separate"/>
          </w:r>
          <w:r>
            <w:rPr>
              <w:rStyle w:val="22"/>
              <w:rFonts w:ascii="黑体" w:hAnsi="黑体" w:eastAsia="黑体" w:cs="黑体"/>
            </w:rPr>
            <w:t>四、政府性基金预算财政拨款支出决算情况说明</w:t>
          </w:r>
          <w:r>
            <w:tab/>
          </w:r>
          <w:r>
            <w:fldChar w:fldCharType="begin"/>
          </w:r>
          <w:r>
            <w:instrText xml:space="preserve"> PAGEREF _Toc256000114 \h </w:instrText>
          </w:r>
          <w:r>
            <w:fldChar w:fldCharType="separate"/>
          </w:r>
          <w:r>
            <w:t>37</w:t>
          </w:r>
          <w:r>
            <w:fldChar w:fldCharType="end"/>
          </w:r>
          <w:r>
            <w:fldChar w:fldCharType="end"/>
          </w:r>
        </w:p>
        <w:p w14:paraId="0BC5FF5F">
          <w:pPr>
            <w:pStyle w:val="10"/>
            <w:tabs>
              <w:tab w:val="right" w:leader="dot" w:pos="9730"/>
            </w:tabs>
            <w:rPr>
              <w:rFonts w:asciiTheme="minorHAnsi" w:hAnsiTheme="minorHAnsi"/>
              <w:sz w:val="22"/>
            </w:rPr>
          </w:pPr>
          <w:r>
            <w:fldChar w:fldCharType="begin"/>
          </w:r>
          <w:r>
            <w:instrText xml:space="preserve"> HYPERLINK \l "_Toc256000115" </w:instrText>
          </w:r>
          <w:r>
            <w:fldChar w:fldCharType="separate"/>
          </w:r>
          <w:r>
            <w:rPr>
              <w:rStyle w:val="22"/>
              <w:rFonts w:ascii="黑体" w:hAnsi="黑体" w:eastAsia="黑体" w:cs="黑体"/>
            </w:rPr>
            <w:t>五、国有资本经营预算财政拨款支出决算情况说明</w:t>
          </w:r>
          <w:r>
            <w:tab/>
          </w:r>
          <w:r>
            <w:fldChar w:fldCharType="begin"/>
          </w:r>
          <w:r>
            <w:instrText xml:space="preserve"> PAGEREF _Toc256000115 \h </w:instrText>
          </w:r>
          <w:r>
            <w:fldChar w:fldCharType="separate"/>
          </w:r>
          <w:r>
            <w:t>37</w:t>
          </w:r>
          <w:r>
            <w:fldChar w:fldCharType="end"/>
          </w:r>
          <w:r>
            <w:fldChar w:fldCharType="end"/>
          </w:r>
        </w:p>
        <w:p w14:paraId="06E58154">
          <w:pPr>
            <w:pStyle w:val="10"/>
            <w:tabs>
              <w:tab w:val="right" w:leader="dot" w:pos="9730"/>
            </w:tabs>
            <w:rPr>
              <w:rFonts w:asciiTheme="minorHAnsi" w:hAnsiTheme="minorHAnsi"/>
              <w:sz w:val="22"/>
            </w:rPr>
          </w:pPr>
          <w:r>
            <w:fldChar w:fldCharType="begin"/>
          </w:r>
          <w:r>
            <w:instrText xml:space="preserve"> HYPERLINK \l "_Toc256000116" </w:instrText>
          </w:r>
          <w:r>
            <w:fldChar w:fldCharType="separate"/>
          </w:r>
          <w:r>
            <w:rPr>
              <w:rStyle w:val="22"/>
              <w:rFonts w:ascii="黑体" w:hAnsi="黑体" w:eastAsia="黑体" w:cs="黑体"/>
            </w:rPr>
            <w:t>六、一般公共预算财政拨款基本支出决算情况说明</w:t>
          </w:r>
          <w:r>
            <w:tab/>
          </w:r>
          <w:r>
            <w:fldChar w:fldCharType="begin"/>
          </w:r>
          <w:r>
            <w:instrText xml:space="preserve"> PAGEREF _Toc256000116 \h </w:instrText>
          </w:r>
          <w:r>
            <w:fldChar w:fldCharType="separate"/>
          </w:r>
          <w:r>
            <w:t>37</w:t>
          </w:r>
          <w:r>
            <w:fldChar w:fldCharType="end"/>
          </w:r>
          <w:r>
            <w:fldChar w:fldCharType="end"/>
          </w:r>
        </w:p>
        <w:p w14:paraId="7AFF6A89">
          <w:pPr>
            <w:pStyle w:val="10"/>
            <w:tabs>
              <w:tab w:val="right" w:leader="dot" w:pos="9730"/>
            </w:tabs>
            <w:rPr>
              <w:rFonts w:asciiTheme="minorHAnsi" w:hAnsiTheme="minorHAnsi"/>
              <w:sz w:val="22"/>
            </w:rPr>
          </w:pPr>
          <w:r>
            <w:fldChar w:fldCharType="begin"/>
          </w:r>
          <w:r>
            <w:instrText xml:space="preserve"> HYPERLINK \l "_Toc256000117" </w:instrText>
          </w:r>
          <w:r>
            <w:fldChar w:fldCharType="separate"/>
          </w:r>
          <w:r>
            <w:rPr>
              <w:rStyle w:val="22"/>
              <w:rFonts w:ascii="黑体" w:hAnsi="黑体" w:eastAsia="黑体" w:cs="黑体"/>
            </w:rPr>
            <w:t>七、一般公共预算拨款“三公”经费支出决算情况说明</w:t>
          </w:r>
          <w:r>
            <w:tab/>
          </w:r>
          <w:r>
            <w:fldChar w:fldCharType="begin"/>
          </w:r>
          <w:r>
            <w:instrText xml:space="preserve"> PAGEREF _Toc256000117 \h </w:instrText>
          </w:r>
          <w:r>
            <w:fldChar w:fldCharType="separate"/>
          </w:r>
          <w:r>
            <w:t>38</w:t>
          </w:r>
          <w:r>
            <w:fldChar w:fldCharType="end"/>
          </w:r>
          <w:r>
            <w:fldChar w:fldCharType="end"/>
          </w:r>
        </w:p>
        <w:p w14:paraId="06D42443">
          <w:pPr>
            <w:pStyle w:val="10"/>
            <w:tabs>
              <w:tab w:val="right" w:leader="dot" w:pos="9730"/>
            </w:tabs>
            <w:rPr>
              <w:rFonts w:asciiTheme="minorHAnsi" w:hAnsiTheme="minorHAnsi"/>
              <w:sz w:val="22"/>
            </w:rPr>
          </w:pPr>
          <w:r>
            <w:fldChar w:fldCharType="begin"/>
          </w:r>
          <w:r>
            <w:instrText xml:space="preserve"> HYPERLINK \l "_Toc256000118" </w:instrText>
          </w:r>
          <w:r>
            <w:fldChar w:fldCharType="separate"/>
          </w:r>
          <w:r>
            <w:rPr>
              <w:rStyle w:val="22"/>
              <w:rFonts w:ascii="黑体" w:hAnsi="黑体" w:eastAsia="黑体" w:cs="黑体"/>
            </w:rPr>
            <w:t>八、预算绩效情况说明</w:t>
          </w:r>
          <w:r>
            <w:tab/>
          </w:r>
          <w:r>
            <w:fldChar w:fldCharType="begin"/>
          </w:r>
          <w:r>
            <w:instrText xml:space="preserve"> PAGEREF _Toc256000118 \h </w:instrText>
          </w:r>
          <w:r>
            <w:fldChar w:fldCharType="separate"/>
          </w:r>
          <w:r>
            <w:t>39</w:t>
          </w:r>
          <w:r>
            <w:fldChar w:fldCharType="end"/>
          </w:r>
          <w:r>
            <w:fldChar w:fldCharType="end"/>
          </w:r>
        </w:p>
        <w:p w14:paraId="5DF051CC">
          <w:pPr>
            <w:pStyle w:val="10"/>
            <w:tabs>
              <w:tab w:val="right" w:leader="dot" w:pos="9730"/>
            </w:tabs>
            <w:rPr>
              <w:rFonts w:asciiTheme="minorHAnsi" w:hAnsiTheme="minorHAnsi"/>
              <w:sz w:val="22"/>
            </w:rPr>
          </w:pPr>
          <w:r>
            <w:fldChar w:fldCharType="begin"/>
          </w:r>
          <w:r>
            <w:instrText xml:space="preserve"> HYPERLINK \l "_Toc256000119" </w:instrText>
          </w:r>
          <w:r>
            <w:fldChar w:fldCharType="separate"/>
          </w:r>
          <w:r>
            <w:rPr>
              <w:rStyle w:val="22"/>
              <w:rFonts w:ascii="黑体" w:hAnsi="黑体" w:eastAsia="黑体" w:cs="黑体"/>
            </w:rPr>
            <w:t>九、其他重要事项说明</w:t>
          </w:r>
          <w:r>
            <w:tab/>
          </w:r>
          <w:r>
            <w:fldChar w:fldCharType="begin"/>
          </w:r>
          <w:r>
            <w:instrText xml:space="preserve"> PAGEREF _Toc256000119 \h </w:instrText>
          </w:r>
          <w:r>
            <w:fldChar w:fldCharType="separate"/>
          </w:r>
          <w:r>
            <w:t>40</w:t>
          </w:r>
          <w:r>
            <w:fldChar w:fldCharType="end"/>
          </w:r>
          <w:r>
            <w:fldChar w:fldCharType="end"/>
          </w:r>
        </w:p>
        <w:p w14:paraId="1A322692">
          <w:pPr>
            <w:pStyle w:val="17"/>
            <w:tabs>
              <w:tab w:val="right" w:leader="dot" w:pos="9730"/>
            </w:tabs>
            <w:rPr>
              <w:rFonts w:asciiTheme="minorHAnsi" w:hAnsiTheme="minorHAnsi"/>
              <w:sz w:val="22"/>
            </w:rPr>
          </w:pPr>
          <w:r>
            <w:fldChar w:fldCharType="begin"/>
          </w:r>
          <w:r>
            <w:instrText xml:space="preserve"> HYPERLINK \l "_Toc256000120" </w:instrText>
          </w:r>
          <w:r>
            <w:fldChar w:fldCharType="separate"/>
          </w:r>
          <w:r>
            <w:rPr>
              <w:rStyle w:val="22"/>
              <w:rFonts w:ascii="黑体" w:hAnsi="黑体" w:eastAsia="黑体" w:cs="黑体"/>
            </w:rPr>
            <w:t>第四部分</w:t>
          </w:r>
          <w:r>
            <w:tab/>
          </w:r>
          <w:r>
            <w:fldChar w:fldCharType="begin"/>
          </w:r>
          <w:r>
            <w:instrText xml:space="preserve"> PAGEREF _Toc256000120 \h </w:instrText>
          </w:r>
          <w:r>
            <w:fldChar w:fldCharType="separate"/>
          </w:r>
          <w:r>
            <w:t>42</w:t>
          </w:r>
          <w:r>
            <w:fldChar w:fldCharType="end"/>
          </w:r>
          <w:r>
            <w:fldChar w:fldCharType="end"/>
          </w:r>
        </w:p>
        <w:p w14:paraId="610FDF11">
          <w:pPr>
            <w:pStyle w:val="17"/>
            <w:tabs>
              <w:tab w:val="right" w:leader="dot" w:pos="9730"/>
            </w:tabs>
            <w:rPr>
              <w:rFonts w:asciiTheme="minorHAnsi" w:hAnsiTheme="minorHAnsi"/>
              <w:sz w:val="22"/>
            </w:rPr>
          </w:pPr>
          <w:r>
            <w:fldChar w:fldCharType="begin"/>
          </w:r>
          <w:r>
            <w:instrText xml:space="preserve"> HYPERLINK \l "_Toc256000121" </w:instrText>
          </w:r>
          <w:r>
            <w:fldChar w:fldCharType="separate"/>
          </w:r>
          <w:r>
            <w:rPr>
              <w:rStyle w:val="22"/>
              <w:rFonts w:ascii="黑体" w:hAnsi="黑体" w:eastAsia="黑体" w:cs="黑体"/>
            </w:rPr>
            <w:t>名词解释</w:t>
          </w:r>
          <w:r>
            <w:tab/>
          </w:r>
          <w:r>
            <w:fldChar w:fldCharType="begin"/>
          </w:r>
          <w:r>
            <w:instrText xml:space="preserve"> PAGEREF _Toc256000121 \h </w:instrText>
          </w:r>
          <w:r>
            <w:fldChar w:fldCharType="separate"/>
          </w:r>
          <w:r>
            <w:t>42</w:t>
          </w:r>
          <w:r>
            <w:fldChar w:fldCharType="end"/>
          </w:r>
          <w:r>
            <w:fldChar w:fldCharType="end"/>
          </w:r>
        </w:p>
        <w:p w14:paraId="7BEEC7FD">
          <w:pPr>
            <w:pStyle w:val="17"/>
            <w:tabs>
              <w:tab w:val="right" w:leader="dot" w:pos="9730"/>
            </w:tabs>
            <w:rPr>
              <w:rFonts w:asciiTheme="minorHAnsi" w:hAnsiTheme="minorHAnsi"/>
              <w:sz w:val="22"/>
            </w:rPr>
          </w:pPr>
          <w:r>
            <w:fldChar w:fldCharType="begin"/>
          </w:r>
          <w:r>
            <w:instrText xml:space="preserve"> HYPERLINK \l "_Toc256000122" </w:instrText>
          </w:r>
          <w:r>
            <w:fldChar w:fldCharType="separate"/>
          </w:r>
          <w:r>
            <w:rPr>
              <w:rStyle w:val="22"/>
              <w:rFonts w:ascii="黑体" w:hAnsi="黑体" w:eastAsia="黑体" w:cs="黑体"/>
            </w:rPr>
            <w:t>第五部分</w:t>
          </w:r>
          <w:r>
            <w:tab/>
          </w:r>
          <w:r>
            <w:fldChar w:fldCharType="begin"/>
          </w:r>
          <w:r>
            <w:instrText xml:space="preserve"> PAGEREF _Toc256000122 \h </w:instrText>
          </w:r>
          <w:r>
            <w:fldChar w:fldCharType="separate"/>
          </w:r>
          <w:r>
            <w:t>45</w:t>
          </w:r>
          <w:r>
            <w:fldChar w:fldCharType="end"/>
          </w:r>
          <w:r>
            <w:fldChar w:fldCharType="end"/>
          </w:r>
        </w:p>
        <w:p w14:paraId="154A9B2B">
          <w:pPr>
            <w:pStyle w:val="17"/>
            <w:tabs>
              <w:tab w:val="right" w:leader="dot" w:pos="9730"/>
            </w:tabs>
            <w:rPr>
              <w:rFonts w:asciiTheme="minorHAnsi" w:hAnsiTheme="minorHAnsi"/>
              <w:sz w:val="22"/>
            </w:rPr>
          </w:pPr>
          <w:r>
            <w:fldChar w:fldCharType="begin"/>
          </w:r>
          <w:r>
            <w:instrText xml:space="preserve"> HYPERLINK \l "_Toc256000123" </w:instrText>
          </w:r>
          <w:r>
            <w:fldChar w:fldCharType="separate"/>
          </w:r>
          <w:r>
            <w:rPr>
              <w:rStyle w:val="22"/>
              <w:rFonts w:ascii="黑体" w:hAnsi="黑体" w:eastAsia="黑体" w:cs="黑体"/>
            </w:rPr>
            <w:t>附件</w:t>
          </w:r>
          <w:r>
            <w:tab/>
          </w:r>
          <w:r>
            <w:fldChar w:fldCharType="begin"/>
          </w:r>
          <w:r>
            <w:instrText xml:space="preserve"> PAGEREF _Toc256000123 \h </w:instrText>
          </w:r>
          <w:r>
            <w:fldChar w:fldCharType="separate"/>
          </w:r>
          <w:r>
            <w:t>45</w:t>
          </w:r>
          <w:r>
            <w:fldChar w:fldCharType="end"/>
          </w:r>
          <w:r>
            <w:fldChar w:fldCharType="end"/>
          </w:r>
        </w:p>
        <w:p w14:paraId="32F3AD5E">
          <w:pPr>
            <w:adjustRightInd w:val="0"/>
            <w:snapToGrid w:val="0"/>
            <w:rPr>
              <w:rFonts w:hint="eastAsia" w:ascii="仿宋" w:hAnsi="仿宋" w:eastAsia="仿宋" w:cs="仿宋"/>
              <w:b w:val="0"/>
              <w:bCs/>
              <w:kern w:val="2"/>
              <w:sz w:val="32"/>
              <w:szCs w:val="32"/>
              <w:lang w:val="en-US" w:eastAsia="zh-CN" w:bidi="ar-SA"/>
            </w:rPr>
            <w:sectPr>
              <w:footerReference r:id="rId5" w:type="default"/>
              <w:pgSz w:w="11906" w:h="16838"/>
              <w:pgMar w:top="1440" w:right="1083" w:bottom="1440" w:left="1083" w:header="0" w:footer="720" w:gutter="0"/>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1BC0D267">
      <w:pPr>
        <w:pStyle w:val="28"/>
        <w:widowControl/>
        <w:spacing w:before="100" w:after="270"/>
        <w:ind w:left="0" w:right="0" w:firstLine="0"/>
        <w:jc w:val="center"/>
        <w:rPr>
          <w:rFonts w:ascii="Times New Roman" w:hAnsi="Times New Roman" w:eastAsia="Times New Roman" w:cs="Times New Roman"/>
          <w:kern w:val="0"/>
          <w:sz w:val="24"/>
        </w:rPr>
      </w:pPr>
      <w:bookmarkStart w:id="0" w:name="a000"/>
    </w:p>
    <w:p w14:paraId="71D1215E">
      <w:pPr>
        <w:pStyle w:val="28"/>
        <w:widowControl/>
        <w:spacing w:before="100" w:after="100"/>
        <w:ind w:left="0" w:right="0" w:firstLine="0"/>
        <w:jc w:val="center"/>
        <w:rPr>
          <w:rFonts w:ascii="Times New Roman" w:hAnsi="Times New Roman" w:eastAsia="Times New Roman" w:cs="Times New Roman"/>
          <w:kern w:val="0"/>
          <w:sz w:val="24"/>
        </w:rPr>
      </w:pPr>
      <w:r>
        <w:rPr>
          <w:rFonts w:ascii="Calibri" w:hAnsi="Calibri" w:eastAsia="Calibri" w:cs="Calibri"/>
          <w:spacing w:val="0"/>
          <w:kern w:val="0"/>
          <w:sz w:val="84"/>
          <w:szCs w:val="84"/>
        </w:rPr>
        <w:t> </w:t>
      </w:r>
    </w:p>
    <w:p w14:paraId="075CA3A9">
      <w:pPr>
        <w:widowControl/>
        <w:spacing w:before="240" w:after="240"/>
        <w:jc w:val="left"/>
        <w:rPr>
          <w:rFonts w:ascii="Times New Roman" w:hAnsi="Times New Roman" w:eastAsia="Times New Roman" w:cs="Times New Roman"/>
          <w:kern w:val="0"/>
          <w:sz w:val="24"/>
        </w:rPr>
      </w:pPr>
    </w:p>
    <w:p w14:paraId="25B4C020">
      <w:pPr>
        <w:widowControl/>
        <w:spacing w:before="240" w:after="240"/>
        <w:jc w:val="left"/>
        <w:rPr>
          <w:rFonts w:ascii="Times New Roman" w:hAnsi="Times New Roman" w:eastAsia="Times New Roman" w:cs="Times New Roman"/>
          <w:kern w:val="0"/>
          <w:sz w:val="24"/>
        </w:rPr>
      </w:pPr>
    </w:p>
    <w:p w14:paraId="1272F902">
      <w:pPr>
        <w:widowControl/>
        <w:spacing w:before="240" w:after="240"/>
        <w:jc w:val="left"/>
        <w:rPr>
          <w:rFonts w:ascii="Times New Roman" w:hAnsi="Times New Roman" w:eastAsia="Times New Roman" w:cs="Times New Roman"/>
          <w:kern w:val="0"/>
          <w:sz w:val="24"/>
        </w:rPr>
      </w:pPr>
    </w:p>
    <w:p w14:paraId="09A43A15">
      <w:pPr>
        <w:widowControl/>
        <w:spacing w:before="240" w:after="240"/>
        <w:jc w:val="left"/>
        <w:rPr>
          <w:rFonts w:ascii="Times New Roman" w:hAnsi="Times New Roman" w:eastAsia="Times New Roman" w:cs="Times New Roman"/>
          <w:kern w:val="0"/>
          <w:sz w:val="24"/>
        </w:rPr>
      </w:pPr>
    </w:p>
    <w:p w14:paraId="2AE1231B">
      <w:pPr>
        <w:widowControl/>
        <w:spacing w:before="240" w:after="240"/>
        <w:jc w:val="left"/>
        <w:rPr>
          <w:rFonts w:ascii="Times New Roman" w:hAnsi="Times New Roman" w:eastAsia="Times New Roman" w:cs="Times New Roman"/>
          <w:kern w:val="0"/>
          <w:sz w:val="24"/>
        </w:rPr>
      </w:pPr>
    </w:p>
    <w:p w14:paraId="7282A974">
      <w:pPr>
        <w:widowControl/>
        <w:spacing w:before="240" w:after="240"/>
        <w:jc w:val="left"/>
        <w:rPr>
          <w:rFonts w:ascii="Times New Roman" w:hAnsi="Times New Roman" w:eastAsia="Times New Roman" w:cs="Times New Roman"/>
          <w:kern w:val="0"/>
          <w:sz w:val="24"/>
        </w:rPr>
      </w:pPr>
    </w:p>
    <w:p w14:paraId="44F39162">
      <w:pPr>
        <w:widowControl/>
        <w:spacing w:before="240" w:after="240"/>
        <w:jc w:val="left"/>
        <w:rPr>
          <w:rFonts w:ascii="Times New Roman" w:hAnsi="Times New Roman" w:eastAsia="Times New Roman" w:cs="Times New Roman"/>
          <w:kern w:val="0"/>
          <w:sz w:val="24"/>
        </w:rPr>
      </w:pPr>
    </w:p>
    <w:p w14:paraId="69A4DC6A">
      <w:pPr>
        <w:pStyle w:val="3"/>
        <w:keepNext w:val="0"/>
        <w:keepLines w:val="0"/>
        <w:spacing w:before="100" w:after="100" w:line="240" w:lineRule="auto"/>
        <w:ind w:left="0" w:right="0" w:firstLine="0" w:firstLineChars="0"/>
        <w:rPr>
          <w:rFonts w:ascii="Times New Roman" w:hAnsi="Times New Roman" w:eastAsia="Times New Roman" w:cs="Times New Roman"/>
          <w:b/>
          <w:bCs/>
          <w:kern w:val="0"/>
          <w:sz w:val="36"/>
          <w:szCs w:val="36"/>
        </w:rPr>
      </w:pPr>
      <w:bookmarkStart w:id="1" w:name="_Toc256000062"/>
      <w:bookmarkStart w:id="2" w:name="_Toc256000031"/>
      <w:bookmarkStart w:id="3" w:name="_Toc256000093"/>
      <w:bookmarkStart w:id="4" w:name="_Toc256000000"/>
      <w:r>
        <w:rPr>
          <w:rFonts w:ascii="黑体" w:hAnsi="黑体" w:eastAsia="黑体" w:cs="黑体"/>
          <w:b/>
          <w:spacing w:val="0"/>
          <w:sz w:val="56"/>
          <w:szCs w:val="56"/>
        </w:rPr>
        <w:t>第一部分</w:t>
      </w:r>
      <w:bookmarkEnd w:id="1"/>
      <w:bookmarkEnd w:id="2"/>
      <w:bookmarkEnd w:id="3"/>
      <w:bookmarkEnd w:id="4"/>
      <w:r>
        <w:rPr>
          <w:rFonts w:ascii="宋体" w:hAnsi="宋体" w:eastAsia="宋体" w:cs="宋体"/>
          <w:b/>
          <w:spacing w:val="0"/>
          <w:sz w:val="56"/>
          <w:szCs w:val="56"/>
        </w:rPr>
        <w:t> </w:t>
      </w:r>
    </w:p>
    <w:p w14:paraId="79647D2D">
      <w:pPr>
        <w:pStyle w:val="3"/>
        <w:keepNext w:val="0"/>
        <w:keepLines w:val="0"/>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5" w:name="_Toc256000032"/>
      <w:bookmarkStart w:id="6" w:name="_Toc256000001"/>
      <w:bookmarkStart w:id="7" w:name="_Toc256000094"/>
      <w:bookmarkStart w:id="8" w:name="_Toc256000063"/>
      <w:r>
        <w:rPr>
          <w:rFonts w:ascii="黑体" w:hAnsi="黑体" w:eastAsia="黑体" w:cs="黑体"/>
          <w:b/>
          <w:spacing w:val="0"/>
          <w:sz w:val="56"/>
          <w:szCs w:val="56"/>
        </w:rPr>
        <w:t>单位概况</w:t>
      </w:r>
      <w:bookmarkEnd w:id="5"/>
      <w:bookmarkEnd w:id="6"/>
      <w:bookmarkEnd w:id="7"/>
      <w:bookmarkEnd w:id="8"/>
    </w:p>
    <w:p w14:paraId="70AC1D0D">
      <w:pPr>
        <w:pStyle w:val="29"/>
        <w:widowControl/>
        <w:spacing w:before="100" w:after="100"/>
        <w:ind w:left="0" w:right="0" w:firstLine="0"/>
        <w:jc w:val="center"/>
        <w:rPr>
          <w:rFonts w:ascii="Times New Roman" w:hAnsi="Times New Roman" w:eastAsia="Times New Roman" w:cs="Times New Roman"/>
          <w:kern w:val="0"/>
          <w:sz w:val="24"/>
        </w:rPr>
      </w:pPr>
    </w:p>
    <w:p w14:paraId="4885B240">
      <w:pPr>
        <w:sectPr>
          <w:footerReference r:id="rId6" w:type="default"/>
          <w:pgSz w:w="11906" w:h="16838"/>
          <w:pgMar w:top="1440" w:right="720" w:bottom="1440" w:left="720" w:header="720" w:footer="720" w:gutter="0"/>
          <w:cols w:space="720" w:num="1"/>
        </w:sectPr>
      </w:pPr>
    </w:p>
    <w:p w14:paraId="31CF496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D994DB5">
      <w:pPr>
        <w:widowControl/>
        <w:spacing w:before="240" w:after="240"/>
        <w:jc w:val="left"/>
        <w:rPr>
          <w:rFonts w:ascii="Times New Roman" w:hAnsi="Times New Roman" w:eastAsia="Times New Roman" w:cs="Times New Roman"/>
          <w:kern w:val="0"/>
          <w:sz w:val="24"/>
        </w:rPr>
      </w:pPr>
    </w:p>
    <w:p w14:paraId="16A5BD05">
      <w:pPr>
        <w:pStyle w:val="5"/>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r>
        <w:rPr>
          <w:rFonts w:ascii="Calibri" w:hAnsi="Calibri" w:eastAsia="Calibri" w:cs="Calibri"/>
          <w:b/>
          <w:spacing w:val="0"/>
        </w:rPr>
        <w:t> </w:t>
      </w:r>
      <w:r>
        <w:rPr>
          <w:rFonts w:ascii="黑体" w:hAnsi="黑体" w:eastAsia="黑体" w:cs="黑体"/>
          <w:b/>
          <w:spacing w:val="0"/>
        </w:rPr>
        <w:t xml:space="preserve"> </w:t>
      </w:r>
      <w:r>
        <w:rPr>
          <w:rFonts w:ascii="Calibri" w:hAnsi="Calibri" w:eastAsia="Calibri" w:cs="Calibri"/>
          <w:b/>
          <w:spacing w:val="0"/>
        </w:rPr>
        <w:t> </w:t>
      </w:r>
      <w:r>
        <w:rPr>
          <w:rFonts w:ascii="黑体" w:hAnsi="黑体" w:eastAsia="黑体" w:cs="黑体"/>
          <w:b/>
          <w:spacing w:val="0"/>
        </w:rPr>
        <w:t xml:space="preserve"> </w:t>
      </w:r>
      <w:bookmarkStart w:id="9" w:name="_Toc256000064"/>
      <w:bookmarkStart w:id="10" w:name="_Toc256000002"/>
      <w:bookmarkStart w:id="11" w:name="_Toc256000033"/>
      <w:bookmarkStart w:id="12" w:name="_Toc256000095"/>
      <w:r>
        <w:rPr>
          <w:rFonts w:ascii="黑体" w:hAnsi="黑体" w:eastAsia="黑体" w:cs="黑体"/>
          <w:b/>
          <w:spacing w:val="0"/>
        </w:rPr>
        <w:t>一、单位主要职责</w:t>
      </w:r>
      <w:bookmarkEnd w:id="9"/>
      <w:bookmarkEnd w:id="10"/>
      <w:bookmarkEnd w:id="11"/>
      <w:bookmarkEnd w:id="12"/>
    </w:p>
    <w:p w14:paraId="2FBDC5AB">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厦门市湖里区劳动人事争议仲裁院单位的主要职责是：具体承办辖区劳动人事争议仲裁案件处理和区劳动人事争议仲裁委员会的日常工作。</w:t>
      </w:r>
    </w:p>
    <w:p w14:paraId="5A80D1C0">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3" w:name="_Toc256000065"/>
      <w:bookmarkStart w:id="14" w:name="_Toc256000003"/>
      <w:bookmarkStart w:id="15" w:name="_Toc256000034"/>
      <w:bookmarkStart w:id="16" w:name="_Toc256000096"/>
      <w:r>
        <w:rPr>
          <w:rFonts w:ascii="黑体" w:hAnsi="黑体" w:eastAsia="黑体" w:cs="黑体"/>
          <w:b/>
          <w:spacing w:val="0"/>
        </w:rPr>
        <w:t>二、单位基本情况</w:t>
      </w:r>
      <w:bookmarkEnd w:id="13"/>
      <w:bookmarkEnd w:id="14"/>
      <w:bookmarkEnd w:id="15"/>
      <w:bookmarkEnd w:id="16"/>
    </w:p>
    <w:p w14:paraId="37AD8A96">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从决算单位构成看，本单位包括0个内设机构，其中：列入2024年决算编制范围的单位详细情况见下表:</w:t>
      </w:r>
    </w:p>
    <w:tbl>
      <w:tblPr>
        <w:tblStyle w:val="19"/>
        <w:tblW w:w="10510" w:type="dxa"/>
        <w:tblInd w:w="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3665"/>
        <w:gridCol w:w="6845"/>
      </w:tblGrid>
      <w:tr w14:paraId="10E4A11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blHeader/>
        </w:trPr>
        <w:tc>
          <w:tcPr>
            <w:tcW w:w="3665" w:type="dxa"/>
            <w:tcBorders>
              <w:right w:val="inset" w:color="808080" w:sz="6" w:space="0"/>
            </w:tcBorders>
            <w:noWrap w:val="0"/>
            <w:tcMar>
              <w:top w:w="22" w:type="dxa"/>
              <w:left w:w="22" w:type="dxa"/>
              <w:bottom w:w="22" w:type="dxa"/>
              <w:right w:w="22" w:type="dxa"/>
            </w:tcMar>
            <w:vAlign w:val="center"/>
          </w:tcPr>
          <w:p w14:paraId="1C1322D1">
            <w:pPr>
              <w:widowControl/>
              <w:ind w:firstLine="640"/>
              <w:jc w:val="center"/>
              <w:rPr>
                <w:rFonts w:ascii="仿宋" w:hAnsi="仿宋" w:eastAsia="仿宋" w:cs="仿宋"/>
                <w:b/>
                <w:bCs/>
                <w:i w:val="0"/>
                <w:iCs w:val="0"/>
                <w:smallCaps w:val="0"/>
                <w:color w:val="000000"/>
                <w:spacing w:val="0"/>
                <w:kern w:val="0"/>
                <w:sz w:val="24"/>
              </w:rPr>
            </w:pPr>
            <w:r>
              <w:rPr>
                <w:rFonts w:ascii="仿宋" w:hAnsi="仿宋" w:eastAsia="仿宋" w:cs="仿宋"/>
                <w:b/>
                <w:bCs/>
                <w:i w:val="0"/>
                <w:iCs w:val="0"/>
                <w:smallCaps w:val="0"/>
                <w:color w:val="000000"/>
                <w:spacing w:val="0"/>
                <w:kern w:val="0"/>
                <w:sz w:val="24"/>
              </w:rPr>
              <w:t>序号</w:t>
            </w:r>
          </w:p>
        </w:tc>
        <w:tc>
          <w:tcPr>
            <w:tcW w:w="6845" w:type="dxa"/>
            <w:tcBorders>
              <w:left w:val="inset" w:color="808080" w:sz="6" w:space="0"/>
            </w:tcBorders>
            <w:noWrap w:val="0"/>
            <w:tcMar>
              <w:top w:w="22" w:type="dxa"/>
              <w:left w:w="22" w:type="dxa"/>
              <w:bottom w:w="22" w:type="dxa"/>
              <w:right w:w="22" w:type="dxa"/>
            </w:tcMar>
            <w:vAlign w:val="center"/>
          </w:tcPr>
          <w:p w14:paraId="4927A715">
            <w:pPr>
              <w:widowControl/>
              <w:ind w:firstLine="640"/>
              <w:jc w:val="center"/>
              <w:rPr>
                <w:rFonts w:ascii="仿宋" w:hAnsi="仿宋" w:eastAsia="仿宋" w:cs="仿宋"/>
                <w:b/>
                <w:bCs/>
                <w:i w:val="0"/>
                <w:iCs w:val="0"/>
                <w:smallCaps w:val="0"/>
                <w:color w:val="000000"/>
                <w:spacing w:val="0"/>
                <w:kern w:val="0"/>
                <w:sz w:val="24"/>
              </w:rPr>
            </w:pPr>
            <w:r>
              <w:rPr>
                <w:rFonts w:ascii="仿宋" w:hAnsi="仿宋" w:eastAsia="仿宋" w:cs="仿宋"/>
                <w:b/>
                <w:bCs/>
                <w:i w:val="0"/>
                <w:iCs w:val="0"/>
                <w:smallCaps w:val="0"/>
                <w:color w:val="000000"/>
                <w:spacing w:val="0"/>
                <w:kern w:val="0"/>
                <w:sz w:val="24"/>
              </w:rPr>
              <w:t>单位名称</w:t>
            </w:r>
          </w:p>
        </w:tc>
      </w:tr>
    </w:tbl>
    <w:p w14:paraId="30362C03">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7" w:name="_Toc256000035"/>
      <w:bookmarkStart w:id="18" w:name="_Toc256000004"/>
      <w:bookmarkStart w:id="19" w:name="_Toc256000097"/>
      <w:bookmarkStart w:id="20" w:name="_Toc256000066"/>
      <w:r>
        <w:rPr>
          <w:rFonts w:ascii="黑体" w:hAnsi="黑体" w:eastAsia="黑体" w:cs="黑体"/>
          <w:b/>
          <w:spacing w:val="0"/>
        </w:rPr>
        <w:t>三、单位主要工作总结</w:t>
      </w:r>
      <w:bookmarkEnd w:id="17"/>
      <w:bookmarkEnd w:id="18"/>
      <w:bookmarkEnd w:id="19"/>
      <w:bookmarkEnd w:id="20"/>
    </w:p>
    <w:p w14:paraId="73B00682">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2024年，厦门市湖里区劳动人事争议仲裁院单位主要任务是：开展劳动争议预防与化解工作围绕上述任务，重点完成了以下工作：</w:t>
      </w:r>
    </w:p>
    <w:p w14:paraId="7D7BC04A">
      <w:pPr>
        <w:pStyle w:val="28"/>
        <w:widowControl/>
        <w:numPr>
          <w:ilvl w:val="0"/>
          <w:numId w:val="1"/>
        </w:numPr>
        <w:spacing w:before="100" w:after="100" w:line="600" w:lineRule="atLeast"/>
        <w:ind w:left="0" w:right="0" w:firstLine="640"/>
        <w:jc w:val="left"/>
        <w:rPr>
          <w:rFonts w:ascii="仿宋" w:hAnsi="仿宋" w:eastAsia="仿宋" w:cs="仿宋"/>
          <w:spacing w:val="0"/>
          <w:kern w:val="0"/>
          <w:sz w:val="32"/>
          <w:szCs w:val="32"/>
        </w:rPr>
      </w:pPr>
      <w:r>
        <w:rPr>
          <w:rFonts w:ascii="仿宋" w:hAnsi="仿宋" w:eastAsia="仿宋" w:cs="仿宋"/>
          <w:spacing w:val="0"/>
          <w:kern w:val="0"/>
          <w:sz w:val="32"/>
          <w:szCs w:val="32"/>
        </w:rPr>
        <w:t>将化解劳动人事争议放在首位，依法办理调解仲裁案件</w:t>
      </w:r>
    </w:p>
    <w:p w14:paraId="40274B11">
      <w:pPr>
        <w:pStyle w:val="28"/>
        <w:widowControl/>
        <w:numPr>
          <w:ilvl w:val="0"/>
          <w:numId w:val="2"/>
        </w:numPr>
        <w:spacing w:before="100" w:after="100" w:line="600" w:lineRule="atLeast"/>
        <w:ind w:right="0" w:rightChars="0" w:firstLine="640" w:firstLineChars="200"/>
        <w:jc w:val="left"/>
        <w:rPr>
          <w:rFonts w:ascii="仿宋" w:hAnsi="仿宋" w:eastAsia="仿宋" w:cs="仿宋"/>
          <w:spacing w:val="0"/>
          <w:kern w:val="0"/>
          <w:sz w:val="32"/>
          <w:szCs w:val="32"/>
        </w:rPr>
      </w:pPr>
      <w:r>
        <w:rPr>
          <w:rFonts w:ascii="仿宋" w:hAnsi="仿宋" w:eastAsia="仿宋" w:cs="仿宋"/>
          <w:spacing w:val="0"/>
          <w:kern w:val="0"/>
          <w:sz w:val="32"/>
          <w:szCs w:val="32"/>
        </w:rPr>
        <w:t>发挥专业化职能，维护当事人合法权益。2024年办案年度，累计收到仲裁申请2088件，涉及劳动者2703人，涉案金额11356.11万元，仲裁申请收件数较去年同比增长14%。累计审结仲裁案件2075件，涉及劳动者2586人，结案金额7507.9万元，结案率95.8%，调解率69.1%。共处理“互联网+调解”争议1075件，各基层劳动争议调解组织共参与调解劳动争议1361件、达成调解1060件，调解成功率77.8%。省市下达的结案率、调解率工作指标均居全市首位。</w:t>
      </w:r>
    </w:p>
    <w:p w14:paraId="0412BF97">
      <w:pPr>
        <w:pStyle w:val="28"/>
        <w:widowControl/>
        <w:numPr>
          <w:ilvl w:val="0"/>
          <w:numId w:val="2"/>
        </w:numPr>
        <w:spacing w:before="100" w:after="100" w:line="600" w:lineRule="atLeast"/>
        <w:ind w:left="0" w:leftChars="0" w:right="0" w:rightChars="0" w:firstLine="640" w:firstLineChars="200"/>
        <w:jc w:val="left"/>
        <w:rPr>
          <w:rFonts w:ascii="仿宋" w:hAnsi="仿宋" w:eastAsia="仿宋" w:cs="仿宋"/>
          <w:spacing w:val="0"/>
          <w:kern w:val="0"/>
          <w:sz w:val="32"/>
          <w:szCs w:val="32"/>
        </w:rPr>
      </w:pPr>
      <w:r>
        <w:rPr>
          <w:rFonts w:ascii="仿宋" w:hAnsi="仿宋" w:eastAsia="仿宋" w:cs="仿宋"/>
          <w:spacing w:val="0"/>
          <w:kern w:val="0"/>
          <w:sz w:val="32"/>
          <w:szCs w:val="32"/>
        </w:rPr>
        <w:t>发挥“仲裁+”职能，承担多元化解枢纽功能。坚持“仲裁+基层调解”机制，指导建立309家基层劳动争议调解组织，全市唯一组织区级劳动争议调解员培训、培训调解员280人，全市唯一坚持贯彻委托调解、仲裁审查、调解奖励机制，超过80%在基层调解成功的案件当事人自觉履行，不断夯实区-街-居-企四级调解体系持续发挥基层劳动关系的社会治理作用。坚持“仲裁+诉讼”机制，通过座谈交流、案例研讨、AI裁判文书对比等方式，仲裁处理后再进入法院诉讼审理的案件100件，人民法院改判11件，纠纷在仲裁阶段的终结率达94.4%，所有劳动争议经仲裁处理后仍被改判的仅有0.6%，有效提升仲裁公信力。利用信息系统与就业、社保、市场监督、公安等部门的数据共享，发现就业登记或社会保险减退异常预警信息34条，通过与劳动保障监察大队、街道的联合摸排、提前介入，将纠纷隐患处理在萌芽阶段。</w:t>
      </w:r>
    </w:p>
    <w:p w14:paraId="6E27BC27">
      <w:pPr>
        <w:pStyle w:val="28"/>
        <w:widowControl/>
        <w:numPr>
          <w:ilvl w:val="0"/>
          <w:numId w:val="2"/>
        </w:numPr>
        <w:spacing w:before="100" w:after="100" w:line="600" w:lineRule="atLeast"/>
        <w:ind w:left="0" w:leftChars="0" w:right="0" w:rightChars="0" w:firstLine="640" w:firstLineChars="200"/>
        <w:jc w:val="left"/>
        <w:rPr>
          <w:rFonts w:ascii="仿宋" w:hAnsi="仿宋" w:eastAsia="仿宋" w:cs="仿宋"/>
          <w:spacing w:val="0"/>
          <w:kern w:val="0"/>
          <w:sz w:val="32"/>
          <w:szCs w:val="32"/>
        </w:rPr>
      </w:pPr>
      <w:r>
        <w:rPr>
          <w:rFonts w:ascii="仿宋" w:hAnsi="仿宋" w:eastAsia="仿宋" w:cs="仿宋"/>
          <w:spacing w:val="0"/>
          <w:kern w:val="0"/>
          <w:sz w:val="32"/>
          <w:szCs w:val="32"/>
        </w:rPr>
        <w:t>发挥社会维稳职能，关注群体纠纷妥善处理。始终将依法高效处理群体性劳动争议作为主动创稳的重要内容，畅通特殊群体仲裁申请绿色通道，与区法律援助中心协同实现法援力量提前现场介入集体劳动争议处理，利用信息化工具跟踪劳动纠纷舆情、重大群体劳动争议办理情况，全链监督群体、涉访等影响重大的劳动争议处理进度。2024年办案年度，依法高效处理包括鑫红河谷酒吧、宇科模具、凯通泰成等在内的集体案件38件，平均每个案件办案的时限为19日，为629名劳动者追讨劳动报酬588.33万元，追讨经济补偿647.45万元，无一在进入仲裁程序后仍发生涉访事件。</w:t>
      </w:r>
    </w:p>
    <w:p w14:paraId="67F640F0">
      <w:pPr>
        <w:pStyle w:val="28"/>
        <w:widowControl/>
        <w:numPr>
          <w:ilvl w:val="0"/>
          <w:numId w:val="1"/>
        </w:numPr>
        <w:spacing w:before="100" w:after="100" w:line="600" w:lineRule="atLeast"/>
        <w:ind w:left="0" w:leftChars="0" w:right="0" w:rightChars="0" w:firstLine="640" w:firstLineChars="0"/>
        <w:jc w:val="left"/>
        <w:rPr>
          <w:rFonts w:ascii="仿宋" w:hAnsi="仿宋" w:eastAsia="仿宋" w:cs="仿宋"/>
          <w:spacing w:val="0"/>
          <w:kern w:val="0"/>
          <w:sz w:val="32"/>
          <w:szCs w:val="32"/>
        </w:rPr>
      </w:pPr>
      <w:r>
        <w:rPr>
          <w:rFonts w:ascii="仿宋" w:hAnsi="仿宋" w:eastAsia="仿宋" w:cs="仿宋"/>
          <w:spacing w:val="0"/>
          <w:kern w:val="0"/>
          <w:sz w:val="32"/>
          <w:szCs w:val="32"/>
        </w:rPr>
        <w:t>将促进劳动关系和谐作为核心，深化改革创新长效发展</w:t>
      </w:r>
    </w:p>
    <w:p w14:paraId="23DA734C">
      <w:pPr>
        <w:pStyle w:val="28"/>
        <w:widowControl/>
        <w:numPr>
          <w:ilvl w:val="0"/>
          <w:numId w:val="3"/>
        </w:numPr>
        <w:spacing w:before="100" w:after="100" w:line="600" w:lineRule="atLeast"/>
        <w:ind w:right="0" w:rightChars="0" w:firstLine="640" w:firstLineChars="200"/>
        <w:jc w:val="left"/>
        <w:rPr>
          <w:rFonts w:ascii="仿宋" w:hAnsi="仿宋" w:eastAsia="仿宋" w:cs="仿宋"/>
          <w:spacing w:val="0"/>
          <w:kern w:val="0"/>
          <w:sz w:val="32"/>
          <w:szCs w:val="32"/>
        </w:rPr>
      </w:pPr>
      <w:r>
        <w:rPr>
          <w:rFonts w:ascii="仿宋" w:hAnsi="仿宋" w:eastAsia="仿宋" w:cs="仿宋"/>
          <w:spacing w:val="0"/>
          <w:kern w:val="0"/>
          <w:sz w:val="32"/>
          <w:szCs w:val="32"/>
        </w:rPr>
        <w:t>深入推进改革机制做深做实，实现重点群体服务全面提升。落实两岸融合化解劳动人事争议相关制度，完善台籍劳动人事争议仲裁员、调解员、咨询专家队伍建设。对厦门市全市涉及台胞、台企的劳动争议进行专项管辖，2024年度，所有涉台劳动争议案件均有台籍仲裁员、台籍调解员100%参与，共处理仲裁案件26件。加强源头治理，进一步推进涉台劳动争议预防化解第一线前移，探索在社区发挥台胞主任助理作用建立基层工作点，深化两岸融合化解劳动人事争议组织体系优化。2024年7月23日，人社部发布《支持福建探索海峡两岸融合发展新路政策措施》，明确提出将厦门湖里区两岸融合化解劳动人事争议工作机制推向福州、泉州、漳州、平潭等台商企业密集地区。关注新就业形态劳动者权益保障，发挥人社部门牵头新就业形态劳动者劳动权益模式的积极作用，实现“一基地、多协同、共服务”模式的闭环运转，统筹仲裁员、调解员、工会干部、法律援助律师等资源并形成合力，依法处理128件涉及新就业形态的劳动纠纷，涉及报酬等相关事项金额共计262.62万元，63%的纠纷通过调解的结案方式予以柔性化解。相关做法得到厦视新闻等媒体的关注报道。</w:t>
      </w:r>
    </w:p>
    <w:p w14:paraId="3F3417AD">
      <w:pPr>
        <w:pStyle w:val="28"/>
        <w:widowControl/>
        <w:numPr>
          <w:ilvl w:val="0"/>
          <w:numId w:val="3"/>
        </w:numPr>
        <w:spacing w:before="100" w:after="100" w:line="600" w:lineRule="atLeast"/>
        <w:ind w:left="0" w:leftChars="0" w:right="0" w:rightChars="0" w:firstLine="640" w:firstLineChars="200"/>
        <w:jc w:val="left"/>
        <w:rPr>
          <w:rFonts w:ascii="仿宋" w:hAnsi="仿宋" w:eastAsia="仿宋" w:cs="仿宋"/>
          <w:spacing w:val="0"/>
          <w:kern w:val="0"/>
          <w:sz w:val="32"/>
          <w:szCs w:val="32"/>
        </w:rPr>
      </w:pPr>
      <w:r>
        <w:rPr>
          <w:rFonts w:ascii="仿宋" w:hAnsi="仿宋" w:eastAsia="仿宋" w:cs="仿宋"/>
          <w:spacing w:val="0"/>
          <w:kern w:val="0"/>
          <w:sz w:val="32"/>
          <w:szCs w:val="32"/>
        </w:rPr>
        <w:t>深化基层劳动关系公共服务，解决群众企业切实所需。承接市综改项目任务，持续开展全国首批、全市首个基层劳动关系公共服务样板站点建设。2024年度，站点开展劳动法律宣传援助咨询、企业用工管理诊断和规范化水平提升指导、企业用工和收入分配指导、集体协商和企业民主管理指导、劳动纠纷调解、企业文化和社会责任建设指导、职工心理疏导等七项服务，接受企业和劳动者咨询10717人次，开展“线上+线下”劳动关系主题宣讲27次、参加人数达3195人次，对企业用工管理进行“体检诊断”共计2056家次。全市首创采用剧本杀、普法游园、线上闯关等形式开展和谐劳动关系创建与合规用工指导服务。开展站点建设的区域取得“1升2降”的明显成效:“1升”指采用调解方式化解的劳动争议比例上升，调解率从34%上升至80%,“2降”指经过指导的企业发生纠纷的比例下降，站点所在辖区发生的劳动争议案件数下降了19%。</w:t>
      </w:r>
    </w:p>
    <w:p w14:paraId="6E2286F2">
      <w:pPr>
        <w:pStyle w:val="28"/>
        <w:widowControl/>
        <w:numPr>
          <w:ilvl w:val="0"/>
          <w:numId w:val="3"/>
        </w:numPr>
        <w:spacing w:before="100" w:after="100" w:line="600" w:lineRule="atLeast"/>
        <w:ind w:left="0" w:leftChars="0" w:right="0" w:rightChars="0" w:firstLine="640" w:firstLineChars="200"/>
        <w:jc w:val="left"/>
        <w:rPr>
          <w:rFonts w:ascii="仿宋" w:hAnsi="仿宋" w:eastAsia="仿宋" w:cs="仿宋"/>
          <w:spacing w:val="0"/>
          <w:kern w:val="0"/>
          <w:sz w:val="32"/>
          <w:szCs w:val="32"/>
        </w:rPr>
      </w:pPr>
      <w:r>
        <w:rPr>
          <w:rFonts w:ascii="仿宋" w:hAnsi="仿宋" w:eastAsia="仿宋" w:cs="仿宋"/>
          <w:spacing w:val="0"/>
          <w:kern w:val="0"/>
          <w:sz w:val="32"/>
          <w:szCs w:val="32"/>
        </w:rPr>
        <w:t>建立“人社+市场监督”机制，强化源头治理第一阵地。一方面，建立案件处理信息互通机制。劳动者根据需要持劳动人事争议仲裁相关文书向区市场监督管理局就案涉企业办理工商变更、注销登记等业务提起异议33件，避免企业工商登记变化影响劳动者权益。仲裁院在处理劳动争议过程中发现市场主体工商登记档案内容存在实际经营地与住所地不一致、无法联系的，及时将线索移送给区市场监督管理局，区市场监督管理局根据相关法律法规对其进行处理。另一方面，建立劳动规范用工共建机制。与区市场监督管理局联合开展企业合规用工相关讲座培训活动，收集和总结规范用工典型案例的，在市场监督管理局企业与个体工商户登记注册窗口发放劳动争议预防宣传单3000份，引导新注册企业自注册起建立规范用工理念，从根源上避免争议发生。</w:t>
      </w:r>
    </w:p>
    <w:p w14:paraId="4FE7A6D3">
      <w:pPr>
        <w:pStyle w:val="28"/>
        <w:widowControl/>
        <w:numPr>
          <w:ilvl w:val="0"/>
          <w:numId w:val="1"/>
        </w:numPr>
        <w:spacing w:before="100" w:after="100" w:line="600" w:lineRule="atLeast"/>
        <w:ind w:left="0" w:leftChars="0" w:right="0" w:rightChars="0" w:firstLine="640" w:firstLineChars="0"/>
        <w:jc w:val="left"/>
        <w:rPr>
          <w:rFonts w:ascii="仿宋" w:hAnsi="仿宋" w:eastAsia="仿宋" w:cs="仿宋"/>
          <w:spacing w:val="0"/>
          <w:kern w:val="0"/>
          <w:sz w:val="32"/>
          <w:szCs w:val="32"/>
        </w:rPr>
      </w:pPr>
      <w:r>
        <w:rPr>
          <w:rFonts w:ascii="仿宋" w:hAnsi="仿宋" w:eastAsia="仿宋" w:cs="仿宋"/>
          <w:spacing w:val="0"/>
          <w:kern w:val="0"/>
          <w:sz w:val="32"/>
          <w:szCs w:val="32"/>
        </w:rPr>
        <w:t>将信息化建设作为支撑手段，为预防化解“全链条”</w:t>
      </w:r>
      <w:r>
        <w:rPr>
          <w:rFonts w:hint="eastAsia" w:ascii="仿宋" w:hAnsi="仿宋" w:eastAsia="仿宋" w:cs="仿宋"/>
          <w:spacing w:val="0"/>
          <w:kern w:val="0"/>
          <w:sz w:val="32"/>
          <w:szCs w:val="32"/>
          <w:lang w:eastAsia="zh-CN"/>
        </w:rPr>
        <w:t>赋能</w:t>
      </w:r>
    </w:p>
    <w:p w14:paraId="7EF0DC5B">
      <w:pPr>
        <w:pStyle w:val="28"/>
        <w:widowControl/>
        <w:numPr>
          <w:ilvl w:val="0"/>
          <w:numId w:val="4"/>
        </w:numPr>
        <w:spacing w:before="100" w:after="100" w:line="600" w:lineRule="atLeast"/>
        <w:ind w:right="0" w:rightChars="0" w:firstLine="640" w:firstLineChars="200"/>
        <w:jc w:val="left"/>
        <w:rPr>
          <w:rFonts w:ascii="仿宋" w:hAnsi="仿宋" w:eastAsia="仿宋" w:cs="仿宋"/>
          <w:spacing w:val="0"/>
          <w:kern w:val="0"/>
          <w:sz w:val="32"/>
          <w:szCs w:val="32"/>
        </w:rPr>
      </w:pPr>
      <w:r>
        <w:rPr>
          <w:rFonts w:ascii="仿宋" w:hAnsi="仿宋" w:eastAsia="仿宋" w:cs="仿宋"/>
          <w:spacing w:val="0"/>
          <w:kern w:val="0"/>
          <w:sz w:val="32"/>
          <w:szCs w:val="32"/>
        </w:rPr>
        <w:t>“要素式审理”再发展，人工智能辅助效能提升。将在答辩阶段，在移动端、PC端、自助机端的答辩服务入口增加工伤待遇、二倍工资、经济补偿、赔偿金等仲裁请求的要素式答辩功能，被申请人根据申请人的仲裁请求逐步选择要素式审理选项问题进行答辩或回复，提升被申请人答辩效率与针对性、减少企业聘请律师成本。在裁决阶段，完善要素式裁决书撰写的相关功能，增加工伤保险待遇等仲裁请求的要素式裁决书撰写功能，让裁决书撰写在兼具智能、规范的同时提升了裁判标准的统一性，增强裁判文书对公众的引导作用。在案件结案阶段，办案人员通过要素式审理回答相应问题则自动生成要素式裁决书，进一步提高工作人员的办案效率。</w:t>
      </w:r>
    </w:p>
    <w:p w14:paraId="51EEA95F">
      <w:pPr>
        <w:pStyle w:val="28"/>
        <w:widowControl/>
        <w:numPr>
          <w:ilvl w:val="0"/>
          <w:numId w:val="4"/>
        </w:numPr>
        <w:spacing w:before="100" w:after="100" w:line="600" w:lineRule="atLeast"/>
        <w:ind w:left="0" w:leftChars="0" w:right="0" w:rightChars="0" w:firstLine="640" w:firstLineChars="200"/>
        <w:jc w:val="left"/>
        <w:rPr>
          <w:rFonts w:ascii="仿宋" w:hAnsi="仿宋" w:eastAsia="仿宋" w:cs="仿宋"/>
          <w:spacing w:val="0"/>
          <w:kern w:val="0"/>
          <w:sz w:val="32"/>
          <w:szCs w:val="32"/>
        </w:rPr>
      </w:pPr>
      <w:r>
        <w:rPr>
          <w:rFonts w:ascii="仿宋" w:hAnsi="仿宋" w:eastAsia="仿宋" w:cs="仿宋"/>
          <w:spacing w:val="0"/>
          <w:kern w:val="0"/>
          <w:sz w:val="32"/>
          <w:szCs w:val="32"/>
        </w:rPr>
        <w:t>送达模式再优化，进一步疏通仲裁程序难点堵点。完善系统送达功能，增加前端智能语音电话提醒功能，让群众在发生仲裁案件的第一时间知晓情况；拓展电子送达途径，从原有的短信送达1种方式拓展为短信送达、电子邮箱送达、系统账号内送达3种模式并逐步向微信送达延伸；提升电子送达效力，实现电子送达后电子签名存证。送达时间压缩20%。</w:t>
      </w:r>
    </w:p>
    <w:p w14:paraId="03493B77">
      <w:pPr>
        <w:pStyle w:val="28"/>
        <w:widowControl/>
        <w:numPr>
          <w:numId w:val="0"/>
        </w:numPr>
        <w:spacing w:before="100" w:after="100" w:line="600" w:lineRule="atLeast"/>
        <w:ind w:right="0" w:rightChars="0" w:firstLine="640" w:firstLineChars="200"/>
        <w:jc w:val="left"/>
        <w:rPr>
          <w:rFonts w:ascii="Times New Roman" w:hAnsi="Times New Roman" w:eastAsia="Times New Roman" w:cs="Times New Roman"/>
          <w:kern w:val="0"/>
          <w:sz w:val="24"/>
        </w:rPr>
      </w:pPr>
      <w:r>
        <w:rPr>
          <w:rFonts w:ascii="仿宋" w:hAnsi="仿宋" w:eastAsia="仿宋" w:cs="仿宋"/>
          <w:spacing w:val="0"/>
          <w:kern w:val="0"/>
          <w:sz w:val="32"/>
          <w:szCs w:val="32"/>
        </w:rPr>
        <w:t>3.线上培训再提升，促进队伍专业化发展。对劳动人事争议仲裁“元宇宙”庭审模式进行完善，创新调解员培训实际业务和使用场景，改变现有仲裁庭不足影响效率的现状，通过“沉浸式”培训提升效能。通过元宇宙培训“参观模式”，对现在元宇宙仲裁庭的各个区域进行介绍；在每个区域提供语音播放功能并显示文字；在操作界面上提供元宇宙仲裁庭各区域的检索，实现参观者快速到达。通过元宇宙培训“单人模式”，引导案件当事人通过单人模式进入元宇宙仲裁庭空间，可以根据每个人的角色类型对仲裁庭审流程进行模拟，帮助庭审各个角色对庭审流程进行学习、训练、检测，为每个案件当事人提供庭审多角色的体验和操作功能，让各个庭审角色快速、高效、深刻地学习到仲裁庭庭审流程。</w:t>
      </w:r>
    </w:p>
    <w:p w14:paraId="4D53822A">
      <w:pPr>
        <w:sectPr>
          <w:footerReference r:id="rId7" w:type="default"/>
          <w:pgSz w:w="11906" w:h="16838"/>
          <w:pgMar w:top="1440" w:right="720" w:bottom="1440" w:left="720" w:header="720" w:footer="720" w:gutter="0"/>
          <w:cols w:space="720" w:num="1"/>
        </w:sectPr>
      </w:pPr>
    </w:p>
    <w:p w14:paraId="2EE76FB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064E890">
      <w:pPr>
        <w:widowControl/>
        <w:spacing w:before="240" w:after="240"/>
        <w:jc w:val="left"/>
        <w:rPr>
          <w:rFonts w:ascii="Times New Roman" w:hAnsi="Times New Roman" w:eastAsia="Times New Roman" w:cs="Times New Roman"/>
          <w:kern w:val="0"/>
          <w:sz w:val="24"/>
        </w:rPr>
      </w:pPr>
    </w:p>
    <w:p w14:paraId="3A3E6849">
      <w:pPr>
        <w:pStyle w:val="29"/>
        <w:widowControl/>
        <w:spacing w:before="100" w:after="100"/>
        <w:ind w:left="0" w:right="0" w:firstLine="0"/>
        <w:jc w:val="left"/>
        <w:rPr>
          <w:rFonts w:ascii="Times New Roman" w:hAnsi="Times New Roman" w:eastAsia="Times New Roman" w:cs="Times New Roman"/>
          <w:kern w:val="0"/>
          <w:sz w:val="24"/>
        </w:rPr>
      </w:pPr>
    </w:p>
    <w:p w14:paraId="43B1A158">
      <w:pPr>
        <w:pStyle w:val="29"/>
        <w:widowControl/>
        <w:spacing w:before="100" w:after="100"/>
        <w:ind w:left="0" w:right="0" w:firstLine="0"/>
        <w:jc w:val="left"/>
        <w:rPr>
          <w:rFonts w:ascii="Times New Roman" w:hAnsi="Times New Roman" w:eastAsia="Times New Roman" w:cs="Times New Roman"/>
          <w:kern w:val="0"/>
          <w:sz w:val="24"/>
        </w:rPr>
      </w:pPr>
    </w:p>
    <w:p w14:paraId="60E759F2">
      <w:pPr>
        <w:pStyle w:val="29"/>
        <w:widowControl/>
        <w:spacing w:before="100" w:after="100"/>
        <w:ind w:left="0" w:right="0" w:firstLine="0"/>
        <w:jc w:val="left"/>
        <w:rPr>
          <w:rFonts w:ascii="Times New Roman" w:hAnsi="Times New Roman" w:eastAsia="Times New Roman" w:cs="Times New Roman"/>
          <w:kern w:val="0"/>
          <w:sz w:val="24"/>
        </w:rPr>
      </w:pPr>
    </w:p>
    <w:p w14:paraId="6020B0E9">
      <w:pPr>
        <w:pStyle w:val="29"/>
        <w:widowControl/>
        <w:spacing w:before="100" w:after="100"/>
        <w:ind w:left="0" w:right="0" w:firstLine="0"/>
        <w:jc w:val="left"/>
        <w:rPr>
          <w:rFonts w:ascii="Times New Roman" w:hAnsi="Times New Roman" w:eastAsia="Times New Roman" w:cs="Times New Roman"/>
          <w:kern w:val="0"/>
          <w:sz w:val="24"/>
        </w:rPr>
      </w:pPr>
    </w:p>
    <w:p w14:paraId="38687FA3">
      <w:pPr>
        <w:pStyle w:val="29"/>
        <w:widowControl/>
        <w:spacing w:before="100" w:after="100"/>
        <w:ind w:left="0" w:right="0" w:firstLine="0"/>
        <w:jc w:val="left"/>
        <w:rPr>
          <w:rFonts w:ascii="Times New Roman" w:hAnsi="Times New Roman" w:eastAsia="Times New Roman" w:cs="Times New Roman"/>
          <w:kern w:val="0"/>
          <w:sz w:val="24"/>
        </w:rPr>
      </w:pPr>
    </w:p>
    <w:p w14:paraId="28E3A033">
      <w:pPr>
        <w:pStyle w:val="29"/>
        <w:widowControl/>
        <w:spacing w:before="100" w:after="100"/>
        <w:ind w:left="0" w:right="0" w:firstLine="0"/>
        <w:jc w:val="left"/>
        <w:rPr>
          <w:rFonts w:ascii="Times New Roman" w:hAnsi="Times New Roman" w:eastAsia="Times New Roman" w:cs="Times New Roman"/>
          <w:kern w:val="0"/>
          <w:sz w:val="24"/>
        </w:rPr>
      </w:pPr>
    </w:p>
    <w:p w14:paraId="4F034B17">
      <w:pPr>
        <w:pStyle w:val="29"/>
        <w:widowControl/>
        <w:spacing w:before="100" w:after="100"/>
        <w:ind w:left="0" w:right="0" w:firstLine="0"/>
        <w:jc w:val="left"/>
        <w:rPr>
          <w:rFonts w:ascii="Times New Roman" w:hAnsi="Times New Roman" w:eastAsia="Times New Roman" w:cs="Times New Roman"/>
          <w:kern w:val="0"/>
          <w:sz w:val="24"/>
        </w:rPr>
      </w:pPr>
    </w:p>
    <w:p w14:paraId="1E0D22F5">
      <w:pPr>
        <w:pStyle w:val="29"/>
        <w:widowControl/>
        <w:spacing w:before="100" w:after="100"/>
        <w:ind w:left="0" w:right="0" w:firstLine="0"/>
        <w:jc w:val="left"/>
        <w:rPr>
          <w:rFonts w:ascii="Times New Roman" w:hAnsi="Times New Roman" w:eastAsia="Times New Roman" w:cs="Times New Roman"/>
          <w:kern w:val="0"/>
          <w:sz w:val="24"/>
        </w:rPr>
      </w:pPr>
    </w:p>
    <w:p w14:paraId="6A781295">
      <w:pPr>
        <w:pStyle w:val="29"/>
        <w:widowControl/>
        <w:spacing w:before="100" w:after="100"/>
        <w:ind w:left="0" w:right="0" w:firstLine="0"/>
        <w:jc w:val="left"/>
        <w:rPr>
          <w:rFonts w:ascii="Times New Roman" w:hAnsi="Times New Roman" w:eastAsia="Times New Roman" w:cs="Times New Roman"/>
          <w:kern w:val="0"/>
          <w:sz w:val="24"/>
        </w:rPr>
      </w:pPr>
    </w:p>
    <w:p w14:paraId="6C6E858B">
      <w:pPr>
        <w:pStyle w:val="29"/>
        <w:widowControl/>
        <w:spacing w:before="100" w:after="100"/>
        <w:ind w:left="0" w:right="0" w:firstLine="0"/>
        <w:jc w:val="left"/>
        <w:rPr>
          <w:rFonts w:ascii="Times New Roman" w:hAnsi="Times New Roman" w:eastAsia="Times New Roman" w:cs="Times New Roman"/>
          <w:kern w:val="0"/>
          <w:sz w:val="24"/>
        </w:rPr>
      </w:pPr>
    </w:p>
    <w:p w14:paraId="35531FAF">
      <w:pPr>
        <w:pStyle w:val="29"/>
        <w:widowControl/>
        <w:spacing w:before="100" w:after="100"/>
        <w:ind w:left="0" w:right="0" w:firstLine="0"/>
        <w:jc w:val="left"/>
        <w:rPr>
          <w:rFonts w:ascii="Times New Roman" w:hAnsi="Times New Roman" w:eastAsia="Times New Roman" w:cs="Times New Roman"/>
          <w:kern w:val="0"/>
          <w:sz w:val="24"/>
        </w:rPr>
      </w:pPr>
    </w:p>
    <w:p w14:paraId="42D371BA">
      <w:pPr>
        <w:pStyle w:val="29"/>
        <w:widowControl/>
        <w:spacing w:before="100" w:after="100"/>
        <w:ind w:left="0" w:right="0" w:firstLine="0"/>
        <w:jc w:val="left"/>
        <w:rPr>
          <w:rFonts w:ascii="Times New Roman" w:hAnsi="Times New Roman" w:eastAsia="Times New Roman" w:cs="Times New Roman"/>
          <w:kern w:val="0"/>
          <w:sz w:val="24"/>
        </w:rPr>
      </w:pPr>
    </w:p>
    <w:p w14:paraId="4CF6FB66">
      <w:pPr>
        <w:pStyle w:val="3"/>
        <w:keepNext w:val="0"/>
        <w:keepLines w:val="0"/>
        <w:spacing w:before="100" w:after="100" w:line="240" w:lineRule="auto"/>
        <w:ind w:left="0" w:right="0" w:firstLine="0" w:firstLineChars="0"/>
        <w:rPr>
          <w:rFonts w:ascii="Times New Roman" w:hAnsi="Times New Roman" w:eastAsia="Times New Roman" w:cs="Times New Roman"/>
          <w:b/>
          <w:bCs/>
          <w:kern w:val="0"/>
          <w:sz w:val="36"/>
          <w:szCs w:val="36"/>
        </w:rPr>
      </w:pPr>
      <w:bookmarkStart w:id="21" w:name="_Toc256000036"/>
      <w:bookmarkStart w:id="22" w:name="_Toc256000098"/>
      <w:bookmarkStart w:id="23" w:name="_Toc256000067"/>
      <w:bookmarkStart w:id="24" w:name="_Toc256000005"/>
      <w:r>
        <w:rPr>
          <w:rFonts w:ascii="黑体" w:hAnsi="黑体" w:eastAsia="黑体" w:cs="黑体"/>
          <w:b/>
          <w:spacing w:val="0"/>
          <w:sz w:val="56"/>
          <w:szCs w:val="56"/>
        </w:rPr>
        <w:t>第二部分</w:t>
      </w:r>
      <w:bookmarkEnd w:id="21"/>
      <w:bookmarkEnd w:id="22"/>
      <w:bookmarkEnd w:id="23"/>
      <w:bookmarkEnd w:id="24"/>
      <w:r>
        <w:rPr>
          <w:rFonts w:ascii="宋体" w:hAnsi="宋体" w:eastAsia="宋体" w:cs="宋体"/>
          <w:b/>
          <w:spacing w:val="0"/>
          <w:sz w:val="56"/>
          <w:szCs w:val="56"/>
        </w:rPr>
        <w:t> </w:t>
      </w:r>
    </w:p>
    <w:p w14:paraId="3FDB9AA0">
      <w:pPr>
        <w:pStyle w:val="3"/>
        <w:keepNext w:val="0"/>
        <w:keepLines w:val="0"/>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25" w:name="_Toc256000037"/>
      <w:bookmarkStart w:id="26" w:name="_Toc256000099"/>
      <w:bookmarkStart w:id="27" w:name="_Toc256000006"/>
      <w:bookmarkStart w:id="28" w:name="_Toc256000068"/>
      <w:r>
        <w:rPr>
          <w:rFonts w:ascii="黑体" w:hAnsi="黑体" w:eastAsia="黑体" w:cs="黑体"/>
          <w:b/>
          <w:spacing w:val="0"/>
          <w:sz w:val="56"/>
          <w:szCs w:val="56"/>
        </w:rPr>
        <w:t>2024年度决算表</w:t>
      </w:r>
      <w:bookmarkEnd w:id="25"/>
      <w:bookmarkEnd w:id="26"/>
      <w:bookmarkEnd w:id="27"/>
      <w:bookmarkEnd w:id="28"/>
    </w:p>
    <w:p w14:paraId="24529B0A">
      <w:pPr>
        <w:pStyle w:val="29"/>
        <w:widowControl/>
        <w:spacing w:before="100" w:after="100"/>
        <w:ind w:left="0" w:right="0" w:firstLine="0"/>
        <w:jc w:val="center"/>
        <w:rPr>
          <w:rFonts w:ascii="Times New Roman" w:hAnsi="Times New Roman" w:eastAsia="Times New Roman" w:cs="Times New Roman"/>
          <w:kern w:val="0"/>
          <w:sz w:val="24"/>
        </w:rPr>
      </w:pPr>
    </w:p>
    <w:p w14:paraId="4715BE85">
      <w:pPr>
        <w:sectPr>
          <w:footerReference r:id="rId8" w:type="default"/>
          <w:pgSz w:w="11906" w:h="16838"/>
          <w:pgMar w:top="1440" w:right="720" w:bottom="1440" w:left="720" w:header="720" w:footer="720" w:gutter="0"/>
          <w:cols w:space="720" w:num="1"/>
        </w:sectPr>
      </w:pPr>
    </w:p>
    <w:p w14:paraId="369B389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0004634">
      <w:pPr>
        <w:widowControl/>
        <w:spacing w:before="240" w:after="240"/>
        <w:jc w:val="left"/>
        <w:rPr>
          <w:rFonts w:ascii="Times New Roman" w:hAnsi="Times New Roman" w:eastAsia="Times New Roman" w:cs="Times New Roman"/>
          <w:kern w:val="0"/>
          <w:sz w:val="24"/>
        </w:rPr>
      </w:pPr>
    </w:p>
    <w:p w14:paraId="50E2C1F6">
      <w:pPr>
        <w:pStyle w:val="5"/>
        <w:keepNext w:val="0"/>
        <w:keepLines w:val="0"/>
        <w:spacing w:before="100" w:after="100" w:line="240" w:lineRule="auto"/>
        <w:ind w:left="720" w:right="0" w:hanging="720" w:firstLineChars="0"/>
        <w:rPr>
          <w:rFonts w:ascii="Times New Roman" w:hAnsi="Times New Roman" w:eastAsia="Times New Roman" w:cs="Times New Roman"/>
          <w:b/>
          <w:bCs/>
          <w:kern w:val="0"/>
          <w:sz w:val="28"/>
          <w:szCs w:val="28"/>
        </w:rPr>
      </w:pPr>
      <w:bookmarkStart w:id="29" w:name="_Toc256000038"/>
      <w:bookmarkStart w:id="30" w:name="_Toc256000100"/>
      <w:bookmarkStart w:id="31" w:name="_Toc256000069"/>
      <w:bookmarkStart w:id="32" w:name="_Toc256000007"/>
      <w:r>
        <w:rPr>
          <w:rFonts w:ascii="黑体" w:hAnsi="黑体" w:eastAsia="黑体" w:cs="黑体"/>
          <w:b/>
          <w:spacing w:val="0"/>
        </w:rPr>
        <w:t>一、收入支出决算总表</w:t>
      </w:r>
      <w:bookmarkEnd w:id="29"/>
      <w:bookmarkEnd w:id="30"/>
      <w:bookmarkEnd w:id="31"/>
      <w:bookmarkEnd w:id="32"/>
    </w:p>
    <w:p w14:paraId="5DE8F638">
      <w:pPr>
        <w:sectPr>
          <w:footerReference r:id="rId9" w:type="default"/>
          <w:pgSz w:w="11906" w:h="16838"/>
          <w:pgMar w:top="1440" w:right="720" w:bottom="1440" w:left="720" w:header="720" w:footer="720" w:gutter="0"/>
          <w:cols w:space="720" w:num="1"/>
        </w:sectPr>
      </w:pPr>
    </w:p>
    <w:p w14:paraId="5BE1A44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4983" w:type="dxa"/>
        <w:tblInd w:w="20" w:type="dxa"/>
        <w:tblLayout w:type="fixed"/>
        <w:tblCellMar>
          <w:top w:w="15" w:type="dxa"/>
          <w:left w:w="15" w:type="dxa"/>
          <w:bottom w:w="15" w:type="dxa"/>
          <w:right w:w="15" w:type="dxa"/>
        </w:tblCellMar>
      </w:tblPr>
      <w:tblGrid>
        <w:gridCol w:w="2498"/>
        <w:gridCol w:w="2497"/>
        <w:gridCol w:w="2497"/>
        <w:gridCol w:w="2497"/>
        <w:gridCol w:w="2497"/>
        <w:gridCol w:w="2497"/>
      </w:tblGrid>
      <w:tr w14:paraId="60C969F2">
        <w:tblPrEx>
          <w:tblCellMar>
            <w:top w:w="15" w:type="dxa"/>
            <w:left w:w="15" w:type="dxa"/>
            <w:bottom w:w="15" w:type="dxa"/>
            <w:right w:w="15" w:type="dxa"/>
          </w:tblCellMar>
        </w:tblPrEx>
        <w:trPr>
          <w:tblHeader/>
        </w:trPr>
        <w:tc>
          <w:tcPr>
            <w:tcW w:w="14983" w:type="dxa"/>
            <w:gridSpan w:val="6"/>
            <w:noWrap w:val="0"/>
            <w:tcMar>
              <w:top w:w="20" w:type="dxa"/>
              <w:left w:w="20" w:type="dxa"/>
              <w:bottom w:w="20" w:type="dxa"/>
              <w:right w:w="20" w:type="dxa"/>
            </w:tcMar>
            <w:vAlign w:val="center"/>
          </w:tcPr>
          <w:p w14:paraId="11662B9B">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14:paraId="3FB0F5EA">
        <w:tblPrEx>
          <w:tblCellMar>
            <w:top w:w="15" w:type="dxa"/>
            <w:left w:w="15" w:type="dxa"/>
            <w:bottom w:w="15" w:type="dxa"/>
            <w:right w:w="15" w:type="dxa"/>
          </w:tblCellMar>
        </w:tblPrEx>
        <w:trPr>
          <w:tblHeader/>
        </w:trPr>
        <w:tc>
          <w:tcPr>
            <w:tcW w:w="2498"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F2A8B9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F365F4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308B70B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EB8FA9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15379E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15F631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220C5AF">
        <w:tblPrEx>
          <w:tblCellMar>
            <w:top w:w="15" w:type="dxa"/>
            <w:left w:w="15" w:type="dxa"/>
            <w:bottom w:w="15" w:type="dxa"/>
            <w:right w:w="15" w:type="dxa"/>
          </w:tblCellMar>
        </w:tblPrEx>
        <w:tc>
          <w:tcPr>
            <w:tcW w:w="7492" w:type="dxa"/>
            <w:gridSpan w:val="3"/>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64A2A39">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2497"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28F9778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497"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BB1168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66D13868">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10B016B6">
        <w:tblPrEx>
          <w:tblCellMar>
            <w:top w:w="15" w:type="dxa"/>
            <w:left w:w="15" w:type="dxa"/>
            <w:bottom w:w="15" w:type="dxa"/>
            <w:right w:w="15" w:type="dxa"/>
          </w:tblCellMar>
        </w:tblPrEx>
        <w:tc>
          <w:tcPr>
            <w:tcW w:w="749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FE6C2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收入</w:t>
            </w:r>
          </w:p>
        </w:tc>
        <w:tc>
          <w:tcPr>
            <w:tcW w:w="7491"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E14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w:t>
            </w:r>
          </w:p>
        </w:tc>
      </w:tr>
      <w:tr w14:paraId="16EE9D88">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BAE2A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F581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4D68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ABB0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D900B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E1A7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r>
      <w:tr w14:paraId="0DFC364A">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ACF0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2F620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D435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3C9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9AC9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F48A3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r>
      <w:tr w14:paraId="67B75A04">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9657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一、一般公共预算财政拨款收入</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017E3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BE62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29FB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一、一般公共服务支出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25B1E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32</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00E7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1BE0A701">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92F7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二、政府性基金预算财政拨款收入</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E6BD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0E0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5432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二、外交支出</w:t>
            </w:r>
            <w:r>
              <w:rPr>
                <w:rFonts w:ascii="Times New Roman" w:hAnsi="Times New Roman" w:eastAsia="Times New Roman" w:cs="Times New Roman"/>
                <w:b w:val="0"/>
                <w:bCs w:val="0"/>
                <w:i w:val="0"/>
                <w:iCs w:val="0"/>
                <w:smallCaps w:val="0"/>
                <w:color w:val="000000"/>
                <w:kern w:val="0"/>
                <w:sz w:val="26"/>
                <w:szCs w:val="26"/>
              </w:rPr>
              <w:t xml:space="preserve">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BD4A3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B7FA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3795E128">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2F56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三、国有资本经营预算财政拨款收入</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79AB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C27F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6A8B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三、国防支出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241F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4A6A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239956F">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863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四、上级补助收入</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D0EA3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838A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C15B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四、公共安全支出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72F09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A1BB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82F5CF9">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4942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五、事业收入</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8CEE2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B05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27E7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五、教育支出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3B3F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E7AE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0970C7E">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F25B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六、经营收入</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06B74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D4A8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0D10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六、科学技术支出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7F70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CE25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1CDFD34C">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6367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七、附属单位上缴收入</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42B57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68FF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6F54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七、文化旅游体育与传媒支出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FDC8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38</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E881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D682A4D">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5680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八、其他收入</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CB6A9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8CB1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836A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八、社会保障和就业支出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44D6B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710A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590.13</w:t>
            </w:r>
          </w:p>
        </w:tc>
      </w:tr>
      <w:tr w14:paraId="588BC500">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7C785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780E3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DE04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CEA1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九、卫生健康支出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63AAE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AEC9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r>
      <w:tr w14:paraId="47D34C05">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28CA97">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F5BC8">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10</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3F659F">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833E4B">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十、节能环保支出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298E71">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41</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55DC3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72CE69E">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F54266">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C8CD2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11</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0B4814">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94C79">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十一、城乡社区支出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79787A">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42</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13124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84B514B">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106DD">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02B4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12</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0D906F">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1A0FBA">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十二、农林水支出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C788FE">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43</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7AFD2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CD7D128">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8B26B3">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FD661A">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13</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60E53">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49B60C">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十三、交通运输支出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B0B0C8">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44</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C352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54F45800">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8299ED">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4218FA">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14</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BD52E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E9DCFC">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十四、资源勘探工业信息等支出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6DD4B9">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45</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BE335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44DFE59C">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8F4A76">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B60886">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15</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1A69FD">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32299">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十五、商业服务业等支出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265331">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954EE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CC86D3D">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C5A15D">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040F68">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E7D00A">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FFCB4">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十六、金融支出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9E2989">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47</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6F0CA8">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5541DFF">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201AC9">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EC59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17</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9DB33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0FFA88">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十七、援助其他地区支出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78804C">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48</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7DDA7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176FA2B1">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6C4DF2">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437508">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18</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1812C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4DD8B">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十八、自然资源海洋气象等支出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324D74">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49</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BF65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FF65810">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2BFFDA">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AED60C">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19</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FF8B64">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AB2AED">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十九、住房保障支出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6FB5B5">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50</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B7D2A3">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349FE29">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C5DB5E">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8C679">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CB9E3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46067E">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二十、粮油物资储备支出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F140CE">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51</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8CA643">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64B5046F">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02A528">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9C5AC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21</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70920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35DE75">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二十一、国有资本经营预算支出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CDEC7E">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52</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DDDEF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59745274">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F18F68">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C5041F">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22</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D920D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8D72E8">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二十二、灾害防治及应急管理支出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F89AC5">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53</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5F5784">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47A5B663">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12F759">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C3D4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23</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BF19E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1D08A3">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二十三、其他支出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70CF74">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54</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DDBC7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603597D4">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32E38B">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84D206">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24</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0AC7E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2A23DF">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二十四、债务还本支出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7BDD8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55</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B09AB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1AB0A3C9">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6AEFA4">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2298B6">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25</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24E125">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B7F421">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二十五、债务付息支出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C3ED87">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F8AB37">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8352E73">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700271">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A211B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FE3128">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6A8F54">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二十六、抗疫特别国债安排的支出</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5D07CD">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57</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26EF30">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5DA2428">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094D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97E8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C2BB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2BB8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8E3E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28A0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r>
      <w:tr w14:paraId="1D6980BD">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DE02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使用非财政拨款结余（含专用结余）</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D055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7252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7C3E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结余分配</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25D3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5F82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28371E0">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D290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1478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29</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06FC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F838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4CD6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6820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E5CA367">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A5A23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11703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2833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6D1CA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AF0CD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7349C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14FF3F55">
        <w:tblPrEx>
          <w:tblCellMar>
            <w:top w:w="15" w:type="dxa"/>
            <w:left w:w="15" w:type="dxa"/>
            <w:bottom w:w="15" w:type="dxa"/>
            <w:right w:w="15" w:type="dxa"/>
          </w:tblCellMar>
        </w:tblPrEx>
        <w:tc>
          <w:tcPr>
            <w:tcW w:w="249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366BD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428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1E3D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AEF6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C527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62</w:t>
            </w:r>
          </w:p>
        </w:tc>
        <w:tc>
          <w:tcPr>
            <w:tcW w:w="249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2EFF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r>
      <w:tr w14:paraId="5710CE6C">
        <w:tblPrEx>
          <w:tblCellMar>
            <w:top w:w="15" w:type="dxa"/>
            <w:left w:w="15" w:type="dxa"/>
            <w:bottom w:w="15" w:type="dxa"/>
            <w:right w:w="15" w:type="dxa"/>
          </w:tblCellMar>
        </w:tblPrEx>
        <w:tc>
          <w:tcPr>
            <w:tcW w:w="14983" w:type="dxa"/>
            <w:gridSpan w:val="6"/>
            <w:noWrap w:val="0"/>
            <w:tcMar>
              <w:top w:w="20" w:type="dxa"/>
              <w:left w:w="20" w:type="dxa"/>
              <w:bottom w:w="20" w:type="dxa"/>
              <w:right w:w="20" w:type="dxa"/>
            </w:tcMar>
            <w:vAlign w:val="center"/>
          </w:tcPr>
          <w:p w14:paraId="668B28F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注：</w:t>
            </w:r>
            <w:r>
              <w:rPr>
                <w:rFonts w:ascii="Times New Roman" w:hAnsi="Times New Roman" w:eastAsia="Times New Roman" w:cs="Times New Roman"/>
                <w:b w:val="0"/>
                <w:bCs w:val="0"/>
                <w:i w:val="0"/>
                <w:iCs w:val="0"/>
                <w:smallCaps w:val="0"/>
                <w:color w:val="000000"/>
                <w:kern w:val="0"/>
                <w:sz w:val="26"/>
                <w:szCs w:val="26"/>
              </w:rPr>
              <w:t>1.</w:t>
            </w:r>
            <w:r>
              <w:rPr>
                <w:rFonts w:ascii="宋体" w:hAnsi="宋体" w:eastAsia="宋体" w:cs="宋体"/>
                <w:b w:val="0"/>
                <w:bCs w:val="0"/>
                <w:i w:val="0"/>
                <w:iCs w:val="0"/>
                <w:smallCaps w:val="0"/>
                <w:color w:val="000000"/>
                <w:kern w:val="0"/>
                <w:sz w:val="26"/>
                <w:szCs w:val="26"/>
              </w:rPr>
              <w:t>本表反映本年度的总收支和年末结转结余情况。</w:t>
            </w:r>
          </w:p>
        </w:tc>
      </w:tr>
      <w:tr w14:paraId="090E9915">
        <w:tblPrEx>
          <w:tblCellMar>
            <w:top w:w="15" w:type="dxa"/>
            <w:left w:w="15" w:type="dxa"/>
            <w:bottom w:w="15" w:type="dxa"/>
            <w:right w:w="15" w:type="dxa"/>
          </w:tblCellMar>
        </w:tblPrEx>
        <w:tc>
          <w:tcPr>
            <w:tcW w:w="14983" w:type="dxa"/>
            <w:gridSpan w:val="6"/>
            <w:noWrap w:val="0"/>
            <w:tcMar>
              <w:top w:w="20" w:type="dxa"/>
              <w:left w:w="485" w:type="dxa"/>
              <w:bottom w:w="20" w:type="dxa"/>
              <w:right w:w="20" w:type="dxa"/>
            </w:tcMar>
            <w:vAlign w:val="center"/>
          </w:tcPr>
          <w:p w14:paraId="1EF7F87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r>
              <w:rPr>
                <w:rFonts w:ascii="宋体" w:hAnsi="宋体" w:eastAsia="宋体" w:cs="宋体"/>
                <w:b w:val="0"/>
                <w:bCs w:val="0"/>
                <w:i w:val="0"/>
                <w:iCs w:val="0"/>
                <w:smallCaps w:val="0"/>
                <w:color w:val="000000"/>
                <w:kern w:val="0"/>
                <w:sz w:val="26"/>
                <w:szCs w:val="26"/>
              </w:rPr>
              <w:t>本套报表金额单位转换时可能存在尾数误差。</w:t>
            </w:r>
          </w:p>
        </w:tc>
      </w:tr>
    </w:tbl>
    <w:p w14:paraId="54AAD234">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4AFAE45">
      <w:pPr>
        <w:pStyle w:val="29"/>
        <w:widowControl/>
        <w:spacing w:before="100" w:after="100"/>
        <w:ind w:left="720" w:right="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22617BC5">
      <w:pPr>
        <w:pStyle w:val="5"/>
        <w:keepNext w:val="0"/>
        <w:keepLines w:val="0"/>
        <w:spacing w:before="100" w:after="100" w:line="240" w:lineRule="auto"/>
        <w:ind w:left="720" w:right="0" w:hanging="720" w:firstLineChars="0"/>
        <w:rPr>
          <w:rFonts w:ascii="Times New Roman" w:hAnsi="Times New Roman" w:eastAsia="Times New Roman" w:cs="Times New Roman"/>
          <w:b/>
          <w:bCs/>
          <w:kern w:val="0"/>
          <w:sz w:val="28"/>
          <w:szCs w:val="28"/>
        </w:rPr>
      </w:pPr>
      <w:bookmarkStart w:id="33" w:name="_Toc256000008"/>
      <w:bookmarkStart w:id="34" w:name="_Toc256000070"/>
      <w:bookmarkStart w:id="35" w:name="_Toc256000101"/>
      <w:bookmarkStart w:id="36" w:name="_Toc256000039"/>
      <w:r>
        <w:rPr>
          <w:rFonts w:ascii="黑体" w:hAnsi="黑体" w:eastAsia="黑体" w:cs="黑体"/>
          <w:b/>
          <w:spacing w:val="0"/>
        </w:rPr>
        <w:t>二、收入决算表</w:t>
      </w:r>
      <w:bookmarkEnd w:id="33"/>
      <w:bookmarkEnd w:id="34"/>
      <w:bookmarkEnd w:id="35"/>
      <w:bookmarkEnd w:id="36"/>
    </w:p>
    <w:p w14:paraId="399C2817">
      <w:pPr>
        <w:sectPr>
          <w:footerReference r:id="rId10" w:type="default"/>
          <w:pgSz w:w="16383" w:h="11906" w:orient="landscape"/>
          <w:pgMar w:top="1440" w:right="720" w:bottom="1440" w:left="720" w:header="720" w:footer="720" w:gutter="0"/>
          <w:cols w:space="720" w:num="1"/>
        </w:sectPr>
      </w:pPr>
    </w:p>
    <w:p w14:paraId="474F9CA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4983" w:type="dxa"/>
        <w:tblInd w:w="20" w:type="dxa"/>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14:paraId="6FA65823">
        <w:tblPrEx>
          <w:tblCellMar>
            <w:top w:w="15" w:type="dxa"/>
            <w:left w:w="15" w:type="dxa"/>
            <w:bottom w:w="15" w:type="dxa"/>
            <w:right w:w="15" w:type="dxa"/>
          </w:tblCellMar>
        </w:tblPrEx>
        <w:trPr>
          <w:tblHeader/>
        </w:trPr>
        <w:tc>
          <w:tcPr>
            <w:tcW w:w="14983" w:type="dxa"/>
            <w:gridSpan w:val="9"/>
            <w:noWrap w:val="0"/>
            <w:tcMar>
              <w:top w:w="20" w:type="dxa"/>
              <w:left w:w="20" w:type="dxa"/>
              <w:bottom w:w="20" w:type="dxa"/>
              <w:right w:w="20" w:type="dxa"/>
            </w:tcMar>
            <w:vAlign w:val="center"/>
          </w:tcPr>
          <w:p w14:paraId="14B80086">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14:paraId="1D7D5035">
        <w:tblPrEx>
          <w:tblCellMar>
            <w:top w:w="15" w:type="dxa"/>
            <w:left w:w="15" w:type="dxa"/>
            <w:bottom w:w="15" w:type="dxa"/>
            <w:right w:w="15" w:type="dxa"/>
          </w:tblCellMar>
        </w:tblPrEx>
        <w:trPr>
          <w:tblHeader/>
        </w:trPr>
        <w:tc>
          <w:tcPr>
            <w:tcW w:w="166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1CFA4F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C833D3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C726B4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566874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7C9379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9364F4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2AA7AE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1F925D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4AE8384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F826777">
        <w:tblPrEx>
          <w:tblCellMar>
            <w:top w:w="15" w:type="dxa"/>
            <w:left w:w="15" w:type="dxa"/>
            <w:bottom w:w="15" w:type="dxa"/>
            <w:right w:w="15" w:type="dxa"/>
          </w:tblCellMar>
        </w:tblPrEx>
        <w:tc>
          <w:tcPr>
            <w:tcW w:w="6658" w:type="dxa"/>
            <w:gridSpan w:val="4"/>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AEBDC39">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6591809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F31F7E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2519BA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333006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0CB95CC8">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067906E2">
        <w:tblPrEx>
          <w:tblCellMar>
            <w:top w:w="15" w:type="dxa"/>
            <w:left w:w="15" w:type="dxa"/>
            <w:bottom w:w="15" w:type="dxa"/>
            <w:right w:w="15" w:type="dxa"/>
          </w:tblCellMar>
        </w:tblPrEx>
        <w:trPr>
          <w:tblHeader/>
        </w:trPr>
        <w:tc>
          <w:tcPr>
            <w:tcW w:w="332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07AB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65AEA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7D206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财政拨款收入</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27CE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上级补助收入</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C75C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事业收入</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72EB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经营收入</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784FC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附属单位上缴收入</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11E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其他收入</w:t>
            </w:r>
          </w:p>
        </w:tc>
      </w:tr>
      <w:tr w14:paraId="6872E64D">
        <w:tblPrEx>
          <w:tblCellMar>
            <w:top w:w="15" w:type="dxa"/>
            <w:left w:w="15" w:type="dxa"/>
            <w:bottom w:w="15" w:type="dxa"/>
            <w:right w:w="15" w:type="dxa"/>
          </w:tblCellMar>
        </w:tblPrEx>
        <w:trPr>
          <w:tblHeader/>
        </w:trPr>
        <w:tc>
          <w:tcPr>
            <w:tcW w:w="16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34B5A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16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0F2D3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6642136E">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5F5B0DD7">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5F9E99D7">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304D3CDA">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276C79D4">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52376380">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4521B318">
            <w:pPr>
              <w:rPr>
                <w:rFonts w:ascii="Times New Roman" w:hAnsi="Times New Roman" w:eastAsia="Times New Roman" w:cs="Times New Roman"/>
                <w:b w:val="0"/>
                <w:bCs w:val="0"/>
                <w:i w:val="0"/>
                <w:iCs w:val="0"/>
                <w:smallCaps w:val="0"/>
                <w:color w:val="000000"/>
                <w:kern w:val="0"/>
                <w:sz w:val="26"/>
                <w:szCs w:val="26"/>
              </w:rPr>
            </w:pPr>
          </w:p>
        </w:tc>
      </w:tr>
      <w:tr w14:paraId="3AAA8F9E">
        <w:tblPrEx>
          <w:tblCellMar>
            <w:top w:w="15" w:type="dxa"/>
            <w:left w:w="15" w:type="dxa"/>
            <w:bottom w:w="15" w:type="dxa"/>
            <w:right w:w="15" w:type="dxa"/>
          </w:tblCellMar>
        </w:tblPrEx>
        <w:trPr>
          <w:tblHeader/>
        </w:trPr>
        <w:tc>
          <w:tcPr>
            <w:tcW w:w="1664" w:type="dxa"/>
            <w:vMerge w:val="continue"/>
            <w:tcBorders>
              <w:top w:val="single" w:color="000000" w:sz="6" w:space="0"/>
              <w:left w:val="single" w:color="000000" w:sz="6" w:space="0"/>
              <w:bottom w:val="single" w:color="000000" w:sz="6" w:space="0"/>
              <w:right w:val="single" w:color="000000" w:sz="6" w:space="0"/>
            </w:tcBorders>
            <w:vAlign w:val="center"/>
          </w:tcPr>
          <w:p w14:paraId="6E150057">
            <w:pPr>
              <w:rPr>
                <w:rFonts w:ascii="Times New Roman" w:hAnsi="Times New Roman" w:eastAsia="Times New Roman" w:cs="Times New Roman"/>
                <w:b w:val="0"/>
                <w:bCs w:val="0"/>
                <w:i w:val="0"/>
                <w:iCs w:val="0"/>
                <w:smallCaps w:val="0"/>
                <w:color w:val="000000"/>
                <w:kern w:val="0"/>
                <w:sz w:val="26"/>
                <w:szCs w:val="26"/>
              </w:rPr>
            </w:pPr>
          </w:p>
        </w:tc>
        <w:tc>
          <w:tcPr>
            <w:tcW w:w="1664" w:type="dxa"/>
            <w:vMerge w:val="continue"/>
            <w:tcBorders>
              <w:top w:val="single" w:color="000000" w:sz="6" w:space="0"/>
              <w:left w:val="single" w:color="000000" w:sz="6" w:space="0"/>
              <w:bottom w:val="single" w:color="000000" w:sz="6" w:space="0"/>
              <w:right w:val="single" w:color="000000" w:sz="6" w:space="0"/>
            </w:tcBorders>
            <w:vAlign w:val="center"/>
          </w:tcPr>
          <w:p w14:paraId="05A19A7B">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4DBF1081">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49702E80">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75648F4B">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15FACF0D">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2EA1182E">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3B28012E">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69531BEC">
            <w:pPr>
              <w:rPr>
                <w:rFonts w:ascii="Times New Roman" w:hAnsi="Times New Roman" w:eastAsia="Times New Roman" w:cs="Times New Roman"/>
                <w:b w:val="0"/>
                <w:bCs w:val="0"/>
                <w:i w:val="0"/>
                <w:iCs w:val="0"/>
                <w:smallCaps w:val="0"/>
                <w:color w:val="000000"/>
                <w:kern w:val="0"/>
                <w:sz w:val="26"/>
                <w:szCs w:val="26"/>
              </w:rPr>
            </w:pPr>
          </w:p>
        </w:tc>
      </w:tr>
      <w:tr w14:paraId="594B02E3">
        <w:tblPrEx>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D190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8C6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DEE1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05BB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AD6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A2F4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ED8C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0F0D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r>
      <w:tr w14:paraId="5CD3545F">
        <w:tblPrEx>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0E2CE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2C42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119C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99F6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131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0966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9B8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BC3E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DFF3C61">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DB527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D85F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13FF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590.13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2748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590.13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460F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426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F307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ED2A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E39A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C77E042">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0B069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92E2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人力资源和社会保障管理事务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D487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549.62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7B95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549.62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2CE7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5AAF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9F4B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8C0F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CEC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1B8BAA51">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B21B7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2080102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9B7E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一般行政管理事务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C136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52.9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E3BA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52.9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EA90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4C86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7CE6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40C4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1931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1713AA9F">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7FD50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2080112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E321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劳动人事争议调解仲裁</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D335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496.72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ABE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496.72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CF5B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ED49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7598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7187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79B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D262256">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E6DE4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026A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EC38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E7C3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ADA5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4EF7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BF00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D910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F957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531DBD6">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F1060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C3E0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4A9C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638A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8795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5ADF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39F8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9001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1384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1FE4D8D0">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18D63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3136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2C9B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13.51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87FA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13.51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4018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C41B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B7DD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59F2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97EE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C1C3AD9">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103D1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F54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619E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0544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6BAE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35D4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F992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D945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C883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3E6CE7B">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B8883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E017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1B8A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1DB3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5942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1680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2E10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DDF4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B788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99420A9">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55CB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5BC8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事业单位医疗</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8A47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11.56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55F7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11.56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1C90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6CE2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8C69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9CD8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450B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B952902">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8B6A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2101199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24CC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其他行政事业单位医疗支出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31D0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4062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0666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63FB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FCB8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5482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AE7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86EFB7E">
        <w:tblPrEx>
          <w:tblCellMar>
            <w:top w:w="15" w:type="dxa"/>
            <w:left w:w="15" w:type="dxa"/>
            <w:bottom w:w="15" w:type="dxa"/>
            <w:right w:w="15" w:type="dxa"/>
          </w:tblCellMar>
        </w:tblPrEx>
        <w:tc>
          <w:tcPr>
            <w:tcW w:w="14983" w:type="dxa"/>
            <w:gridSpan w:val="9"/>
            <w:noWrap w:val="0"/>
            <w:tcMar>
              <w:top w:w="20" w:type="dxa"/>
              <w:left w:w="20" w:type="dxa"/>
              <w:bottom w:w="20" w:type="dxa"/>
              <w:right w:w="20" w:type="dxa"/>
            </w:tcMar>
            <w:vAlign w:val="center"/>
          </w:tcPr>
          <w:p w14:paraId="70EFA33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注：本表反映取得的各项收入情况。</w:t>
            </w:r>
          </w:p>
        </w:tc>
      </w:tr>
    </w:tbl>
    <w:p w14:paraId="5FEAE602">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31AAAEAB">
      <w:pPr>
        <w:pStyle w:val="29"/>
        <w:widowControl/>
        <w:spacing w:before="100" w:after="100"/>
        <w:ind w:left="720" w:right="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72EE56C8">
      <w:pPr>
        <w:pStyle w:val="5"/>
        <w:keepNext w:val="0"/>
        <w:keepLines w:val="0"/>
        <w:spacing w:before="100" w:after="100" w:line="240" w:lineRule="auto"/>
        <w:ind w:left="720" w:right="0" w:hanging="720" w:firstLineChars="0"/>
        <w:rPr>
          <w:rFonts w:ascii="Times New Roman" w:hAnsi="Times New Roman" w:eastAsia="Times New Roman" w:cs="Times New Roman"/>
          <w:b/>
          <w:bCs/>
          <w:kern w:val="0"/>
          <w:sz w:val="28"/>
          <w:szCs w:val="28"/>
        </w:rPr>
      </w:pPr>
      <w:bookmarkStart w:id="37" w:name="_Toc256000102"/>
      <w:bookmarkStart w:id="38" w:name="_Toc256000009"/>
      <w:bookmarkStart w:id="39" w:name="_Toc256000071"/>
      <w:bookmarkStart w:id="40" w:name="_Toc256000040"/>
      <w:r>
        <w:rPr>
          <w:rFonts w:ascii="黑体" w:hAnsi="黑体" w:eastAsia="黑体" w:cs="黑体"/>
          <w:b/>
          <w:spacing w:val="0"/>
        </w:rPr>
        <w:t>三、支出决算表</w:t>
      </w:r>
      <w:bookmarkEnd w:id="37"/>
      <w:bookmarkEnd w:id="38"/>
      <w:bookmarkEnd w:id="39"/>
      <w:bookmarkEnd w:id="40"/>
    </w:p>
    <w:p w14:paraId="13E9BE94">
      <w:pPr>
        <w:sectPr>
          <w:footerReference r:id="rId11" w:type="default"/>
          <w:pgSz w:w="16383" w:h="11906" w:orient="landscape"/>
          <w:pgMar w:top="1440" w:right="720" w:bottom="1440" w:left="720" w:header="720" w:footer="720" w:gutter="0"/>
          <w:cols w:space="720" w:num="1"/>
        </w:sectPr>
      </w:pPr>
    </w:p>
    <w:p w14:paraId="710B519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4983" w:type="dxa"/>
        <w:tblInd w:w="20" w:type="dxa"/>
        <w:tblLayout w:type="fixed"/>
        <w:tblCellMar>
          <w:top w:w="15" w:type="dxa"/>
          <w:left w:w="15" w:type="dxa"/>
          <w:bottom w:w="15" w:type="dxa"/>
          <w:right w:w="15" w:type="dxa"/>
        </w:tblCellMar>
      </w:tblPr>
      <w:tblGrid>
        <w:gridCol w:w="1523"/>
        <w:gridCol w:w="1414"/>
        <w:gridCol w:w="1379"/>
        <w:gridCol w:w="1523"/>
        <w:gridCol w:w="1524"/>
        <w:gridCol w:w="1524"/>
        <w:gridCol w:w="1524"/>
        <w:gridCol w:w="1524"/>
        <w:gridCol w:w="1524"/>
        <w:gridCol w:w="1524"/>
      </w:tblGrid>
      <w:tr w14:paraId="23D7580A">
        <w:tblPrEx>
          <w:tblCellMar>
            <w:top w:w="15" w:type="dxa"/>
            <w:left w:w="15" w:type="dxa"/>
            <w:bottom w:w="15" w:type="dxa"/>
            <w:right w:w="15" w:type="dxa"/>
          </w:tblCellMar>
        </w:tblPrEx>
        <w:trPr>
          <w:tblHeader/>
        </w:trPr>
        <w:tc>
          <w:tcPr>
            <w:tcW w:w="14983" w:type="dxa"/>
            <w:gridSpan w:val="10"/>
            <w:noWrap w:val="0"/>
            <w:tcMar>
              <w:top w:w="20" w:type="dxa"/>
              <w:left w:w="20" w:type="dxa"/>
              <w:bottom w:w="20" w:type="dxa"/>
              <w:right w:w="20" w:type="dxa"/>
            </w:tcMar>
            <w:vAlign w:val="center"/>
          </w:tcPr>
          <w:p w14:paraId="00397BF9">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14:paraId="315854E9">
        <w:tblPrEx>
          <w:tblCellMar>
            <w:top w:w="15" w:type="dxa"/>
            <w:left w:w="15" w:type="dxa"/>
            <w:bottom w:w="15" w:type="dxa"/>
            <w:right w:w="15" w:type="dxa"/>
          </w:tblCellMar>
        </w:tblPrEx>
        <w:trPr>
          <w:tblHeader/>
        </w:trPr>
        <w:tc>
          <w:tcPr>
            <w:tcW w:w="152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0C8796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41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6475FE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37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1DFCDF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617C29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F2603D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93F614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A77CA9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6B7BED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395E433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23E34ABF">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825B31D">
        <w:tblPrEx>
          <w:tblCellMar>
            <w:top w:w="15" w:type="dxa"/>
            <w:left w:w="15" w:type="dxa"/>
            <w:bottom w:w="15" w:type="dxa"/>
            <w:right w:w="15" w:type="dxa"/>
          </w:tblCellMar>
        </w:tblPrEx>
        <w:tc>
          <w:tcPr>
            <w:tcW w:w="7363" w:type="dxa"/>
            <w:gridSpan w:val="5"/>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5D9A30F2">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346A217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2FE26B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5C9233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5216EB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4CFFE3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64F2895F">
        <w:tblPrEx>
          <w:tblCellMar>
            <w:top w:w="15" w:type="dxa"/>
            <w:left w:w="15" w:type="dxa"/>
            <w:bottom w:w="15" w:type="dxa"/>
            <w:right w:w="15" w:type="dxa"/>
          </w:tblCellMar>
        </w:tblPrEx>
        <w:trPr>
          <w:tblHeader/>
        </w:trPr>
        <w:tc>
          <w:tcPr>
            <w:tcW w:w="5839"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E919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5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6B0B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15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B095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p>
        </w:tc>
        <w:tc>
          <w:tcPr>
            <w:tcW w:w="15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F112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c>
          <w:tcPr>
            <w:tcW w:w="15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245E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上缴上级支出</w:t>
            </w:r>
          </w:p>
        </w:tc>
        <w:tc>
          <w:tcPr>
            <w:tcW w:w="15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89E2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经营支出</w:t>
            </w:r>
          </w:p>
        </w:tc>
        <w:tc>
          <w:tcPr>
            <w:tcW w:w="152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E7CF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对附属单位补助支出</w:t>
            </w:r>
          </w:p>
        </w:tc>
      </w:tr>
      <w:tr w14:paraId="45EB13E4">
        <w:tblPrEx>
          <w:tblCellMar>
            <w:top w:w="15" w:type="dxa"/>
            <w:left w:w="15" w:type="dxa"/>
            <w:bottom w:w="15" w:type="dxa"/>
            <w:right w:w="15" w:type="dxa"/>
          </w:tblCellMar>
        </w:tblPrEx>
        <w:trPr>
          <w:tblHeader/>
        </w:trPr>
        <w:tc>
          <w:tcPr>
            <w:tcW w:w="4316"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A106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152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14818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28FDC160">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12E15EFE">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33C70161">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47B0E6E5">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57EAB195">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47E0C1DE">
            <w:pPr>
              <w:rPr>
                <w:rFonts w:ascii="Times New Roman" w:hAnsi="Times New Roman" w:eastAsia="Times New Roman" w:cs="Times New Roman"/>
                <w:b w:val="0"/>
                <w:bCs w:val="0"/>
                <w:i w:val="0"/>
                <w:iCs w:val="0"/>
                <w:smallCaps w:val="0"/>
                <w:color w:val="000000"/>
                <w:kern w:val="0"/>
                <w:sz w:val="26"/>
                <w:szCs w:val="26"/>
              </w:rPr>
            </w:pPr>
          </w:p>
        </w:tc>
      </w:tr>
      <w:tr w14:paraId="76A3DB8F">
        <w:tblPrEx>
          <w:tblCellMar>
            <w:top w:w="15" w:type="dxa"/>
            <w:left w:w="15" w:type="dxa"/>
            <w:bottom w:w="15" w:type="dxa"/>
            <w:right w:w="15" w:type="dxa"/>
          </w:tblCellMar>
        </w:tblPrEx>
        <w:trPr>
          <w:tblHeader/>
        </w:trPr>
        <w:tc>
          <w:tcPr>
            <w:tcW w:w="4316"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355EADC1">
            <w:pPr>
              <w:rPr>
                <w:rFonts w:ascii="Times New Roman" w:hAnsi="Times New Roman" w:eastAsia="Times New Roman" w:cs="Times New Roman"/>
                <w:b w:val="0"/>
                <w:bCs w:val="0"/>
                <w:i w:val="0"/>
                <w:iCs w:val="0"/>
                <w:smallCaps w:val="0"/>
                <w:color w:val="000000"/>
                <w:kern w:val="0"/>
                <w:sz w:val="26"/>
                <w:szCs w:val="26"/>
              </w:rPr>
            </w:pPr>
          </w:p>
        </w:tc>
        <w:tc>
          <w:tcPr>
            <w:tcW w:w="1523" w:type="dxa"/>
            <w:vMerge w:val="continue"/>
            <w:tcBorders>
              <w:top w:val="single" w:color="000000" w:sz="6" w:space="0"/>
              <w:left w:val="single" w:color="000000" w:sz="6" w:space="0"/>
              <w:bottom w:val="single" w:color="000000" w:sz="6" w:space="0"/>
              <w:right w:val="single" w:color="000000" w:sz="6" w:space="0"/>
            </w:tcBorders>
            <w:vAlign w:val="center"/>
          </w:tcPr>
          <w:p w14:paraId="4EC342A5">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0144BD6C">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64274F33">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1E72B8D1">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0EC6BF61">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2B350DB9">
            <w:pPr>
              <w:rPr>
                <w:rFonts w:ascii="Times New Roman" w:hAnsi="Times New Roman" w:eastAsia="Times New Roman" w:cs="Times New Roman"/>
                <w:b w:val="0"/>
                <w:bCs w:val="0"/>
                <w:i w:val="0"/>
                <w:iCs w:val="0"/>
                <w:smallCaps w:val="0"/>
                <w:color w:val="000000"/>
                <w:kern w:val="0"/>
                <w:sz w:val="26"/>
                <w:szCs w:val="26"/>
              </w:rPr>
            </w:pPr>
          </w:p>
        </w:tc>
        <w:tc>
          <w:tcPr>
            <w:tcW w:w="1524" w:type="dxa"/>
            <w:vMerge w:val="continue"/>
            <w:tcBorders>
              <w:top w:val="single" w:color="000000" w:sz="6" w:space="0"/>
              <w:left w:val="single" w:color="000000" w:sz="6" w:space="0"/>
              <w:bottom w:val="single" w:color="000000" w:sz="6" w:space="0"/>
              <w:right w:val="single" w:color="000000" w:sz="6" w:space="0"/>
            </w:tcBorders>
            <w:vAlign w:val="center"/>
          </w:tcPr>
          <w:p w14:paraId="2DB8A959">
            <w:pPr>
              <w:rPr>
                <w:rFonts w:ascii="Times New Roman" w:hAnsi="Times New Roman" w:eastAsia="Times New Roman" w:cs="Times New Roman"/>
                <w:b w:val="0"/>
                <w:bCs w:val="0"/>
                <w:i w:val="0"/>
                <w:iCs w:val="0"/>
                <w:smallCaps w:val="0"/>
                <w:color w:val="000000"/>
                <w:kern w:val="0"/>
                <w:sz w:val="26"/>
                <w:szCs w:val="26"/>
              </w:rPr>
            </w:pPr>
          </w:p>
        </w:tc>
      </w:tr>
      <w:tr w14:paraId="0050A934">
        <w:tblPrEx>
          <w:tblCellMar>
            <w:top w:w="15" w:type="dxa"/>
            <w:left w:w="15" w:type="dxa"/>
            <w:bottom w:w="15" w:type="dxa"/>
            <w:right w:w="15" w:type="dxa"/>
          </w:tblCellMar>
        </w:tblPrEx>
        <w:tc>
          <w:tcPr>
            <w:tcW w:w="5839"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4D0C8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栏次</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5ECD4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78B449">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0D0C6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C6BF87">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8D544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601AC8">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6</w:t>
            </w:r>
          </w:p>
        </w:tc>
      </w:tr>
      <w:tr w14:paraId="166B1FF6">
        <w:tblPrEx>
          <w:tblCellMar>
            <w:top w:w="15" w:type="dxa"/>
            <w:left w:w="15" w:type="dxa"/>
            <w:bottom w:w="15" w:type="dxa"/>
            <w:right w:w="15" w:type="dxa"/>
          </w:tblCellMar>
        </w:tblPrEx>
        <w:tc>
          <w:tcPr>
            <w:tcW w:w="5839"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BFAD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6D84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E024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358.77</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CA7C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248.83</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8537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0EEA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664B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59D1F78">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C5047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BC64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5F6E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590.13</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B808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341.3</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44E9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248.83</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BEE4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32D5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975A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6FAA855">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7D8C8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FE61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人力资源和社会保障管理事务</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E66F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549.62</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90AE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300.79</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E017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248.83</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4E32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916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AEFD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D43EDEC">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69886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2080102</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87A4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一般行政管理事务</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7AFC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52.9</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3689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6ED3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52.9</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ED51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5A6D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FDFE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681B141">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D19C5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2080112</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511C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劳动人事争议调解仲裁</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9D07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496.72</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DBE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300.79</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F45D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195.93</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9EBA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E598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0785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7F48488">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8F6E1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E02C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BC6F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40.52</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1F48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40.52</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6287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BFCA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902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B4DD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7C8F6FB4">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C4D21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0FF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50C4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27.01</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F400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27.01</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EF53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AF6A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1A8A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AE48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16CD5E8">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ABF1C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8AC2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B757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13.51</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252C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13.51</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BC2D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4D37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D03E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6D8A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538C704">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CB537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3C1D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FED5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9D1D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BA8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1AC4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F58D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CB6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28A5525">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BFBC3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C9B7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144B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F3C9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6005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1735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82E1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6305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765BFDD1">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CEB8C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2101102</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CA41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事业单位医疗</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8190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11.56</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BFE9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11.56</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1EE1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82C8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8BEF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2FF8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EE668C2">
        <w:tblPrEx>
          <w:tblCellMar>
            <w:top w:w="15" w:type="dxa"/>
            <w:left w:w="15" w:type="dxa"/>
            <w:bottom w:w="15" w:type="dxa"/>
            <w:right w:w="15" w:type="dxa"/>
          </w:tblCellMar>
        </w:tblPrEx>
        <w:tc>
          <w:tcPr>
            <w:tcW w:w="4316"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15C0B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2101199</w:t>
            </w:r>
          </w:p>
        </w:tc>
        <w:tc>
          <w:tcPr>
            <w:tcW w:w="152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4501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其他行政事业单位医疗支出</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8379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5.91</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E44F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5.91</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8E93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5B92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2845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79A6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196F78A">
        <w:tblPrEx>
          <w:tblCellMar>
            <w:top w:w="15" w:type="dxa"/>
            <w:left w:w="15" w:type="dxa"/>
            <w:bottom w:w="15" w:type="dxa"/>
            <w:right w:w="15" w:type="dxa"/>
          </w:tblCellMar>
        </w:tblPrEx>
        <w:tc>
          <w:tcPr>
            <w:tcW w:w="5839"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0052F3">
            <w:pPr>
              <w:widowControl/>
              <w:jc w:val="left"/>
              <w:rPr>
                <w:rFonts w:ascii="Times New Roman" w:hAnsi="Times New Roman" w:eastAsia="Times New Roman" w:cs="Times New Roman"/>
                <w:b w:val="0"/>
                <w:bCs w:val="0"/>
                <w:i w:val="0"/>
                <w:iCs w:val="0"/>
                <w:smallCaps w:val="0"/>
                <w:color w:val="000000"/>
                <w:kern w:val="0"/>
                <w:sz w:val="17"/>
                <w:szCs w:val="17"/>
              </w:rPr>
            </w:pPr>
            <w:r>
              <w:rPr>
                <w:rFonts w:ascii="宋体" w:hAnsi="宋体" w:eastAsia="宋体" w:cs="宋体"/>
                <w:b w:val="0"/>
                <w:bCs w:val="0"/>
                <w:i w:val="0"/>
                <w:iCs w:val="0"/>
                <w:smallCaps w:val="0"/>
                <w:color w:val="000000"/>
                <w:kern w:val="0"/>
                <w:sz w:val="17"/>
                <w:szCs w:val="17"/>
              </w:rPr>
              <w:t>注：本表反映本年度各项支出情况。</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21316F">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04C923">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60E32C">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CB3DE">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9F4D0B">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 </w:t>
            </w:r>
          </w:p>
        </w:tc>
        <w:tc>
          <w:tcPr>
            <w:tcW w:w="152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1B3AC2">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 </w:t>
            </w:r>
          </w:p>
        </w:tc>
      </w:tr>
    </w:tbl>
    <w:p w14:paraId="0CE3F4A3">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AE06B6D">
      <w:pPr>
        <w:pStyle w:val="29"/>
        <w:widowControl/>
        <w:spacing w:before="100" w:after="100"/>
        <w:ind w:left="0" w:right="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13C5C6B8">
      <w:pPr>
        <w:pStyle w:val="5"/>
        <w:keepNext w:val="0"/>
        <w:keepLines w:val="0"/>
        <w:spacing w:before="100" w:after="100" w:line="240" w:lineRule="auto"/>
        <w:ind w:left="720" w:right="0" w:hanging="720" w:firstLineChars="0"/>
        <w:rPr>
          <w:rFonts w:ascii="Times New Roman" w:hAnsi="Times New Roman" w:eastAsia="Times New Roman" w:cs="Times New Roman"/>
          <w:b/>
          <w:bCs/>
          <w:kern w:val="0"/>
          <w:sz w:val="28"/>
          <w:szCs w:val="28"/>
        </w:rPr>
      </w:pPr>
      <w:bookmarkStart w:id="41" w:name="_Toc256000010"/>
      <w:bookmarkStart w:id="42" w:name="_Toc256000103"/>
      <w:bookmarkStart w:id="43" w:name="_Toc256000041"/>
      <w:bookmarkStart w:id="44" w:name="_Toc256000072"/>
      <w:r>
        <w:rPr>
          <w:rFonts w:ascii="黑体" w:hAnsi="黑体" w:eastAsia="黑体" w:cs="黑体"/>
          <w:b/>
          <w:spacing w:val="0"/>
        </w:rPr>
        <w:t>四、财政拨款收入支出决算总表</w:t>
      </w:r>
      <w:bookmarkEnd w:id="41"/>
      <w:bookmarkEnd w:id="42"/>
      <w:bookmarkEnd w:id="43"/>
      <w:bookmarkEnd w:id="44"/>
    </w:p>
    <w:p w14:paraId="606B5C04">
      <w:pPr>
        <w:sectPr>
          <w:footerReference r:id="rId12" w:type="default"/>
          <w:pgSz w:w="16383" w:h="11906" w:orient="landscape"/>
          <w:pgMar w:top="1440" w:right="720" w:bottom="1440" w:left="720" w:header="720" w:footer="720" w:gutter="0"/>
          <w:cols w:space="720" w:num="1"/>
        </w:sectPr>
      </w:pPr>
    </w:p>
    <w:p w14:paraId="2D5003F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4983" w:type="dxa"/>
        <w:tblInd w:w="20" w:type="dxa"/>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14:paraId="2E4E0AF6">
        <w:tblPrEx>
          <w:tblCellMar>
            <w:top w:w="15" w:type="dxa"/>
            <w:left w:w="15" w:type="dxa"/>
            <w:bottom w:w="15" w:type="dxa"/>
            <w:right w:w="15" w:type="dxa"/>
          </w:tblCellMar>
        </w:tblPrEx>
        <w:trPr>
          <w:tblHeader/>
        </w:trPr>
        <w:tc>
          <w:tcPr>
            <w:tcW w:w="14983" w:type="dxa"/>
            <w:gridSpan w:val="9"/>
            <w:noWrap w:val="0"/>
            <w:tcMar>
              <w:top w:w="20" w:type="dxa"/>
              <w:left w:w="20" w:type="dxa"/>
              <w:bottom w:w="20" w:type="dxa"/>
              <w:right w:w="20" w:type="dxa"/>
            </w:tcMar>
            <w:vAlign w:val="center"/>
          </w:tcPr>
          <w:p w14:paraId="5145325F">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14:paraId="6E575718">
        <w:tblPrEx>
          <w:tblCellMar>
            <w:top w:w="15" w:type="dxa"/>
            <w:left w:w="15" w:type="dxa"/>
            <w:bottom w:w="15" w:type="dxa"/>
            <w:right w:w="15" w:type="dxa"/>
          </w:tblCellMar>
        </w:tblPrEx>
        <w:trPr>
          <w:tblHeader/>
        </w:trPr>
        <w:tc>
          <w:tcPr>
            <w:tcW w:w="166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35A9CBB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DD5826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9B87B1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368540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34E19BD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AC4C49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90489C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837EC7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EA3DF9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6D28E80">
        <w:tblPrEx>
          <w:tblCellMar>
            <w:top w:w="15" w:type="dxa"/>
            <w:left w:w="15" w:type="dxa"/>
            <w:bottom w:w="15" w:type="dxa"/>
            <w:right w:w="15" w:type="dxa"/>
          </w:tblCellMar>
        </w:tblPrEx>
        <w:tc>
          <w:tcPr>
            <w:tcW w:w="6658" w:type="dxa"/>
            <w:gridSpan w:val="4"/>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3E0D7CD4">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090BC407">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30D5AE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87FE16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C4360B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5E3569FB">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0D701CCF">
        <w:tblPrEx>
          <w:tblCellMar>
            <w:top w:w="15" w:type="dxa"/>
            <w:left w:w="15" w:type="dxa"/>
            <w:bottom w:w="15" w:type="dxa"/>
            <w:right w:w="15" w:type="dxa"/>
          </w:tblCellMar>
        </w:tblPrEx>
        <w:tc>
          <w:tcPr>
            <w:tcW w:w="499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F051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收入</w:t>
            </w:r>
          </w:p>
        </w:tc>
        <w:tc>
          <w:tcPr>
            <w:tcW w:w="999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75453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w:t>
            </w:r>
          </w:p>
        </w:tc>
      </w:tr>
      <w:tr w14:paraId="4C4053D3">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9D0E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E9611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9BF9B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B12A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59168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70185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DE91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一般公共预算财政拨款</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C1E81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政府性基金预算财政拨款</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38876A">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国有资本经营预算财政拨款</w:t>
            </w:r>
          </w:p>
        </w:tc>
      </w:tr>
      <w:tr w14:paraId="5CC599A8">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01A1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FDBA6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2DC9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65D0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E7B6C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F259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C9B7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C3DB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D59E7E">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w:t>
            </w:r>
          </w:p>
        </w:tc>
      </w:tr>
      <w:tr w14:paraId="30FCB8DE">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A116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95181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4A9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B14A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一、一般公共服务支出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9357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C7CE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DB79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978B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AB7F1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6925FE86">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B7C4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35CA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D8E8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C81A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二、外交支出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BBD1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9EB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E64A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FBD4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FAFB2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5C6D0276">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56E8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三、国有资本经营预算财政拨款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0B3F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17F2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5E3A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三、国防支出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FAFD6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6FEA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027F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25DC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561F5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EED3922">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9A12D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591B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9DA7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7CC1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四、公共安全支出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ECBA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DCE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20FF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5E66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FFCC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455D0372">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BAE9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C930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27B0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7C31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五、教育支出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73D8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4074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8630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C21A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DD4318">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D2BE0D8">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A7005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1F353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36AE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5060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六、科学技术支出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3EFA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7C18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B3C4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71A3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09A20F">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26CB18F">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75E12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1938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EA83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7798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七、文化旅游体育与传媒支出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E3312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F5E2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32E2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4E73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954FA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61645C1">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D6673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471D9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0316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837A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八、社会保障和就业支出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4D75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1396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590.13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C5BC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590.13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C8EF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FF7E8B">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5578BB5">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50A10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99EA5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80AD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85E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九、卫生健康支出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CEBBC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794B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9EBC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A178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0A03B8">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1CD04DE8">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DEE278">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71E4F7">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419C73">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B13597">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十、节能环保支出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4BA15">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856B98">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D09CD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AE9D08">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5C381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03D5212">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FE06FA">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CDAE6">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F8F334">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511F94">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十一、城乡社区支出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0A40C7">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47354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F0C53">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A697DB">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269414">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17E5A1B">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1E9384">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3BCF9A">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0FD0F9">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31AFBF">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十二、农林水支出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6757AF">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8C3DAB">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FA530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FA3C74">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05A257">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66DB62EB">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329F6">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CD9B37">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476EC0">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C5AA51">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十三、交通运输支出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F937AF">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2215D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44F960">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968F17">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643EB">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6F617808">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286208">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A82A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4D9150">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3011D9">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十四、资源勘探工业信息等支出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545A2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4437D7">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D4C6A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0D99CB">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B6CB15">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96A1ABB">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03AED7">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4C19A5">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B7C7D">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524EEF">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十五、商业服务业等支出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C0361">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D67EB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F62090">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64402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8E19F5">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CCEE1A4">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070D81">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F23797">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A1D009">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D7FCC7">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十六、金融支出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1C4DDD">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D051CA">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E6B11A">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C9B727">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CBFDB0">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1AF43A0A">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731B40">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4FC874">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254DAD">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2161B7">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十七、援助其他地区支出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7F5119">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0A5F9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1D834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FB528F">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76525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5A5AFE17">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8EC855">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E41E7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175352">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B3E5B3">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十八、自然资源海洋气象等支出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F861A5">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F7794D">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8B27C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F10DE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090B87">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89C4F79">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A3A1FD">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AFE68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BE844">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D82C23">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十九、住房保障支出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06BAD8">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B6B4E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2AAFD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9A13B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F1C5EF">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6C0161E">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58305E">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C7D89C">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6764B">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994FED">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二十、粮油物资储备支出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F9E23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47ED55">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D53E4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582EFB">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014D3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242FD21">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F6D58C">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981C56">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085EB7">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310A00">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二十一、国有资本经营预算支出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0B556F">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B6339B">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3CE52D">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41579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E278E8">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F2072DC">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C407A0">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590FE">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EDB557">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4A14B4">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二十二、灾害防治及应急管理支出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F915D1">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F133F">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42A40D">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EE9DED">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441EBB">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F55BF0A">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D83688">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8FC8E7">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25259E">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3DAD1">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二十三、其他支出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6D1F2D">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80451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C629C7">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D7997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901F5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06D53F5">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80452C">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AECDCC">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BE5B58">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9134DD">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二十四、债务还本支出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E46A58">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936E4">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469EF4">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F222F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FF991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5CF6E7EE">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647929">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FD3F6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2FA15C">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FF4559">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二十五、债务付息支出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07376A">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B1F42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DDCEC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43FE20">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94A218">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F332FDD">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D43C0">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B017A1">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AAFC21">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72F7A0">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二十六、抗疫特别国债安排的支出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7F4E88">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FBF6D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DF440A">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26307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D6DF61">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E25BEDA">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50B9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9F76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B9D6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C176A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1404D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F2CE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905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5D78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DB386D">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1AA694DA">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909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年初财政拨款结转和结余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2E8E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C59F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874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年末财政拨款结转和结余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FDE1F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5EB5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E7B7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E528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CC7CC5">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1E56FEC7">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526E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7F347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24D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C3328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6F21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39B5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E166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3670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7FD0B5">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574ED714">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4B08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5B5A5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85D1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EBAE0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828C2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C29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4C59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DF89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E64725">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EDBCAED">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E554F6">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三、国有资本经营预算财政拨款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89311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9CB7D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E0F6E">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78CEEB">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63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55EECF">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2BD09F">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500AF9">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E80243">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2B660FCD">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691D1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6FD5D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867E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5DB31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CB62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1A48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FBE3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1B80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C61BE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163B6F3">
        <w:tblPrEx>
          <w:tblCellMar>
            <w:top w:w="15" w:type="dxa"/>
            <w:left w:w="15" w:type="dxa"/>
            <w:bottom w:w="15" w:type="dxa"/>
            <w:right w:w="15" w:type="dxa"/>
          </w:tblCellMar>
        </w:tblPrEx>
        <w:tc>
          <w:tcPr>
            <w:tcW w:w="9988"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9CA3BF">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注：本表反映本年度一般公共预算财政拨款、政府性基金预算财政拨款和国有资本经营预算财政拨款的总收支和年末结转结余情况。</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23F49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0A418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C42703">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bl>
    <w:p w14:paraId="4F63E5CA">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B806FA1">
      <w:pPr>
        <w:pStyle w:val="29"/>
        <w:widowControl/>
        <w:spacing w:before="100" w:after="100"/>
        <w:ind w:left="0" w:right="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64CAEA29">
      <w:pPr>
        <w:pStyle w:val="5"/>
        <w:keepNext w:val="0"/>
        <w:keepLines w:val="0"/>
        <w:spacing w:before="100" w:after="100" w:line="240" w:lineRule="auto"/>
        <w:ind w:left="720" w:right="0" w:hanging="720" w:firstLineChars="0"/>
        <w:rPr>
          <w:rFonts w:ascii="Times New Roman" w:hAnsi="Times New Roman" w:eastAsia="Times New Roman" w:cs="Times New Roman"/>
          <w:b/>
          <w:bCs/>
          <w:kern w:val="0"/>
          <w:sz w:val="28"/>
          <w:szCs w:val="28"/>
        </w:rPr>
      </w:pPr>
      <w:bookmarkStart w:id="45" w:name="_Toc256000104"/>
      <w:bookmarkStart w:id="46" w:name="_Toc256000073"/>
      <w:bookmarkStart w:id="47" w:name="_Toc256000042"/>
      <w:bookmarkStart w:id="48" w:name="_Toc256000011"/>
      <w:r>
        <w:rPr>
          <w:rFonts w:ascii="黑体" w:hAnsi="黑体" w:eastAsia="黑体" w:cs="黑体"/>
          <w:b/>
          <w:spacing w:val="0"/>
        </w:rPr>
        <w:t>五、一般公共预算财政拨款支出决算表</w:t>
      </w:r>
      <w:bookmarkEnd w:id="45"/>
      <w:bookmarkEnd w:id="46"/>
      <w:bookmarkEnd w:id="47"/>
      <w:bookmarkEnd w:id="48"/>
    </w:p>
    <w:p w14:paraId="4D76D347">
      <w:pPr>
        <w:sectPr>
          <w:footerReference r:id="rId13" w:type="default"/>
          <w:pgSz w:w="16383" w:h="11906" w:orient="landscape"/>
          <w:pgMar w:top="1440" w:right="720" w:bottom="1440" w:left="720" w:header="720" w:footer="720" w:gutter="0"/>
          <w:cols w:space="720" w:num="1"/>
        </w:sectPr>
      </w:pPr>
    </w:p>
    <w:p w14:paraId="2AA2F0E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4983" w:type="dxa"/>
        <w:tblInd w:w="20" w:type="dxa"/>
        <w:tblLayout w:type="fixed"/>
        <w:tblCellMar>
          <w:top w:w="15" w:type="dxa"/>
          <w:left w:w="15" w:type="dxa"/>
          <w:bottom w:w="15" w:type="dxa"/>
          <w:right w:w="15" w:type="dxa"/>
        </w:tblCellMar>
      </w:tblPr>
      <w:tblGrid>
        <w:gridCol w:w="1872"/>
        <w:gridCol w:w="2186"/>
        <w:gridCol w:w="2185"/>
        <w:gridCol w:w="2185"/>
        <w:gridCol w:w="2185"/>
        <w:gridCol w:w="2185"/>
        <w:gridCol w:w="2185"/>
      </w:tblGrid>
      <w:tr w14:paraId="33091711">
        <w:tblPrEx>
          <w:tblCellMar>
            <w:top w:w="15" w:type="dxa"/>
            <w:left w:w="15" w:type="dxa"/>
            <w:bottom w:w="15" w:type="dxa"/>
            <w:right w:w="15" w:type="dxa"/>
          </w:tblCellMar>
        </w:tblPrEx>
        <w:trPr>
          <w:tblHeader/>
        </w:trPr>
        <w:tc>
          <w:tcPr>
            <w:tcW w:w="14983" w:type="dxa"/>
            <w:gridSpan w:val="7"/>
            <w:noWrap w:val="0"/>
            <w:tcMar>
              <w:top w:w="20" w:type="dxa"/>
              <w:left w:w="20" w:type="dxa"/>
              <w:bottom w:w="20" w:type="dxa"/>
              <w:right w:w="20" w:type="dxa"/>
            </w:tcMar>
            <w:vAlign w:val="center"/>
          </w:tcPr>
          <w:p w14:paraId="4B4CD68F">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14:paraId="6497A35C">
        <w:tblPrEx>
          <w:tblCellMar>
            <w:top w:w="15" w:type="dxa"/>
            <w:left w:w="15" w:type="dxa"/>
            <w:bottom w:w="15" w:type="dxa"/>
            <w:right w:w="15" w:type="dxa"/>
          </w:tblCellMar>
        </w:tblPrEx>
        <w:trPr>
          <w:tblHeader/>
        </w:trPr>
        <w:tc>
          <w:tcPr>
            <w:tcW w:w="1872"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796377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6"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53F2DD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83054B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8C6E00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EABDA3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2F5B27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09F95080">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50214820">
        <w:tblPrEx>
          <w:tblCellMar>
            <w:top w:w="15" w:type="dxa"/>
            <w:left w:w="15" w:type="dxa"/>
            <w:bottom w:w="15" w:type="dxa"/>
            <w:right w:w="15" w:type="dxa"/>
          </w:tblCellMar>
        </w:tblPrEx>
        <w:tc>
          <w:tcPr>
            <w:tcW w:w="10613" w:type="dxa"/>
            <w:gridSpan w:val="5"/>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181E3526">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218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524EB38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18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6DECD12C">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35B0ECAC">
        <w:tblPrEx>
          <w:tblCellMar>
            <w:top w:w="15" w:type="dxa"/>
            <w:left w:w="15" w:type="dxa"/>
            <w:bottom w:w="15" w:type="dxa"/>
            <w:right w:w="15" w:type="dxa"/>
          </w:tblCellMar>
        </w:tblPrEx>
        <w:tc>
          <w:tcPr>
            <w:tcW w:w="8428"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E8DD7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655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31A3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w:t>
            </w:r>
          </w:p>
        </w:tc>
      </w:tr>
      <w:tr w14:paraId="5DAA0814">
        <w:tblPrEx>
          <w:tblCellMar>
            <w:top w:w="15" w:type="dxa"/>
            <w:left w:w="15" w:type="dxa"/>
            <w:bottom w:w="15" w:type="dxa"/>
            <w:right w:w="15" w:type="dxa"/>
          </w:tblCellMar>
        </w:tblPrEx>
        <w:trPr>
          <w:tblHeader/>
        </w:trPr>
        <w:tc>
          <w:tcPr>
            <w:tcW w:w="6243"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CE28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218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CECA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218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F075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p>
        </w:tc>
        <w:tc>
          <w:tcPr>
            <w:tcW w:w="218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22EA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p>
        </w:tc>
        <w:tc>
          <w:tcPr>
            <w:tcW w:w="218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E2D8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r>
      <w:tr w14:paraId="20B1622C">
        <w:tblPrEx>
          <w:tblCellMar>
            <w:top w:w="15" w:type="dxa"/>
            <w:left w:w="15" w:type="dxa"/>
            <w:bottom w:w="15" w:type="dxa"/>
            <w:right w:w="15" w:type="dxa"/>
          </w:tblCellMar>
        </w:tblPrEx>
        <w:trPr>
          <w:tblHeader/>
        </w:trPr>
        <w:tc>
          <w:tcPr>
            <w:tcW w:w="624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1CF12138">
            <w:pPr>
              <w:rPr>
                <w:rFonts w:ascii="Times New Roman" w:hAnsi="Times New Roman" w:eastAsia="Times New Roman" w:cs="Times New Roman"/>
                <w:b w:val="0"/>
                <w:bCs w:val="0"/>
                <w:i w:val="0"/>
                <w:iCs w:val="0"/>
                <w:smallCaps w:val="0"/>
                <w:color w:val="000000"/>
                <w:kern w:val="0"/>
                <w:sz w:val="26"/>
                <w:szCs w:val="26"/>
              </w:rPr>
            </w:pPr>
          </w:p>
        </w:tc>
        <w:tc>
          <w:tcPr>
            <w:tcW w:w="2185" w:type="dxa"/>
            <w:vMerge w:val="continue"/>
            <w:tcBorders>
              <w:top w:val="single" w:color="000000" w:sz="6" w:space="0"/>
              <w:left w:val="single" w:color="000000" w:sz="6" w:space="0"/>
              <w:bottom w:val="single" w:color="000000" w:sz="6" w:space="0"/>
              <w:right w:val="single" w:color="000000" w:sz="6" w:space="0"/>
            </w:tcBorders>
            <w:vAlign w:val="center"/>
          </w:tcPr>
          <w:p w14:paraId="5E0E00A3">
            <w:pPr>
              <w:rPr>
                <w:rFonts w:ascii="Times New Roman" w:hAnsi="Times New Roman" w:eastAsia="Times New Roman" w:cs="Times New Roman"/>
                <w:b w:val="0"/>
                <w:bCs w:val="0"/>
                <w:i w:val="0"/>
                <w:iCs w:val="0"/>
                <w:smallCaps w:val="0"/>
                <w:color w:val="000000"/>
                <w:kern w:val="0"/>
                <w:sz w:val="26"/>
                <w:szCs w:val="26"/>
              </w:rPr>
            </w:pPr>
          </w:p>
        </w:tc>
        <w:tc>
          <w:tcPr>
            <w:tcW w:w="2185" w:type="dxa"/>
            <w:vMerge w:val="continue"/>
            <w:tcBorders>
              <w:top w:val="single" w:color="000000" w:sz="6" w:space="0"/>
              <w:left w:val="single" w:color="000000" w:sz="6" w:space="0"/>
              <w:bottom w:val="single" w:color="000000" w:sz="6" w:space="0"/>
              <w:right w:val="single" w:color="000000" w:sz="6" w:space="0"/>
            </w:tcBorders>
            <w:vAlign w:val="center"/>
          </w:tcPr>
          <w:p w14:paraId="365CDB3E">
            <w:pPr>
              <w:rPr>
                <w:rFonts w:ascii="Times New Roman" w:hAnsi="Times New Roman" w:eastAsia="Times New Roman" w:cs="Times New Roman"/>
                <w:b w:val="0"/>
                <w:bCs w:val="0"/>
                <w:i w:val="0"/>
                <w:iCs w:val="0"/>
                <w:smallCaps w:val="0"/>
                <w:color w:val="000000"/>
                <w:kern w:val="0"/>
                <w:sz w:val="26"/>
                <w:szCs w:val="26"/>
              </w:rPr>
            </w:pPr>
          </w:p>
        </w:tc>
        <w:tc>
          <w:tcPr>
            <w:tcW w:w="2185" w:type="dxa"/>
            <w:vMerge w:val="continue"/>
            <w:tcBorders>
              <w:top w:val="single" w:color="000000" w:sz="6" w:space="0"/>
              <w:left w:val="single" w:color="000000" w:sz="6" w:space="0"/>
              <w:bottom w:val="single" w:color="000000" w:sz="6" w:space="0"/>
              <w:right w:val="single" w:color="000000" w:sz="6" w:space="0"/>
            </w:tcBorders>
            <w:vAlign w:val="center"/>
          </w:tcPr>
          <w:p w14:paraId="7EE35BE7">
            <w:pPr>
              <w:rPr>
                <w:rFonts w:ascii="Times New Roman" w:hAnsi="Times New Roman" w:eastAsia="Times New Roman" w:cs="Times New Roman"/>
                <w:b w:val="0"/>
                <w:bCs w:val="0"/>
                <w:i w:val="0"/>
                <w:iCs w:val="0"/>
                <w:smallCaps w:val="0"/>
                <w:color w:val="000000"/>
                <w:kern w:val="0"/>
                <w:sz w:val="26"/>
                <w:szCs w:val="26"/>
              </w:rPr>
            </w:pPr>
          </w:p>
        </w:tc>
        <w:tc>
          <w:tcPr>
            <w:tcW w:w="2185" w:type="dxa"/>
            <w:vMerge w:val="continue"/>
            <w:tcBorders>
              <w:top w:val="single" w:color="000000" w:sz="6" w:space="0"/>
              <w:left w:val="single" w:color="000000" w:sz="6" w:space="0"/>
              <w:bottom w:val="single" w:color="000000" w:sz="6" w:space="0"/>
              <w:right w:val="single" w:color="000000" w:sz="6" w:space="0"/>
            </w:tcBorders>
            <w:vAlign w:val="center"/>
          </w:tcPr>
          <w:p w14:paraId="5D53F79F">
            <w:pPr>
              <w:rPr>
                <w:rFonts w:ascii="Times New Roman" w:hAnsi="Times New Roman" w:eastAsia="Times New Roman" w:cs="Times New Roman"/>
                <w:b w:val="0"/>
                <w:bCs w:val="0"/>
                <w:i w:val="0"/>
                <w:iCs w:val="0"/>
                <w:smallCaps w:val="0"/>
                <w:color w:val="000000"/>
                <w:kern w:val="0"/>
                <w:sz w:val="26"/>
                <w:szCs w:val="26"/>
              </w:rPr>
            </w:pPr>
          </w:p>
        </w:tc>
      </w:tr>
      <w:tr w14:paraId="1272E741">
        <w:tblPrEx>
          <w:tblCellMar>
            <w:top w:w="15" w:type="dxa"/>
            <w:left w:w="15" w:type="dxa"/>
            <w:bottom w:w="15" w:type="dxa"/>
            <w:right w:w="15" w:type="dxa"/>
          </w:tblCellMar>
        </w:tblPrEx>
        <w:trPr>
          <w:tblHeader/>
        </w:trPr>
        <w:tc>
          <w:tcPr>
            <w:tcW w:w="624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73343BF">
            <w:pPr>
              <w:rPr>
                <w:rFonts w:ascii="Times New Roman" w:hAnsi="Times New Roman" w:eastAsia="Times New Roman" w:cs="Times New Roman"/>
                <w:b w:val="0"/>
                <w:bCs w:val="0"/>
                <w:i w:val="0"/>
                <w:iCs w:val="0"/>
                <w:smallCaps w:val="0"/>
                <w:color w:val="000000"/>
                <w:kern w:val="0"/>
                <w:sz w:val="26"/>
                <w:szCs w:val="26"/>
              </w:rPr>
            </w:pPr>
          </w:p>
        </w:tc>
        <w:tc>
          <w:tcPr>
            <w:tcW w:w="2185" w:type="dxa"/>
            <w:vMerge w:val="continue"/>
            <w:tcBorders>
              <w:top w:val="single" w:color="000000" w:sz="6" w:space="0"/>
              <w:left w:val="single" w:color="000000" w:sz="6" w:space="0"/>
              <w:bottom w:val="single" w:color="000000" w:sz="6" w:space="0"/>
              <w:right w:val="single" w:color="000000" w:sz="6" w:space="0"/>
            </w:tcBorders>
            <w:vAlign w:val="center"/>
          </w:tcPr>
          <w:p w14:paraId="1CCEE4D2">
            <w:pPr>
              <w:rPr>
                <w:rFonts w:ascii="Times New Roman" w:hAnsi="Times New Roman" w:eastAsia="Times New Roman" w:cs="Times New Roman"/>
                <w:b w:val="0"/>
                <w:bCs w:val="0"/>
                <w:i w:val="0"/>
                <w:iCs w:val="0"/>
                <w:smallCaps w:val="0"/>
                <w:color w:val="000000"/>
                <w:kern w:val="0"/>
                <w:sz w:val="26"/>
                <w:szCs w:val="26"/>
              </w:rPr>
            </w:pP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E860F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3887F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44E4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r>
      <w:tr w14:paraId="796DB45D">
        <w:tblPrEx>
          <w:tblCellMar>
            <w:top w:w="15" w:type="dxa"/>
            <w:left w:w="15" w:type="dxa"/>
            <w:bottom w:w="15" w:type="dxa"/>
            <w:right w:w="15" w:type="dxa"/>
          </w:tblCellMar>
        </w:tblPrEx>
        <w:tc>
          <w:tcPr>
            <w:tcW w:w="8428"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4A93E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24C8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607.6</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9317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358.77</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E367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248.83</w:t>
            </w:r>
          </w:p>
        </w:tc>
      </w:tr>
      <w:tr w14:paraId="38664DB7">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6BD60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358E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1E4F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590.13</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0C60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341.3</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85E9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248.83</w:t>
            </w:r>
          </w:p>
        </w:tc>
      </w:tr>
      <w:tr w14:paraId="29284208">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320CE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4B51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人力资源和社会保障管理事务</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2DB6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549.62</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603F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300.79</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21A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248.83</w:t>
            </w:r>
          </w:p>
        </w:tc>
      </w:tr>
      <w:tr w14:paraId="1BFB1580">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E094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2080102</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9EE3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一般行政管理事务</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AD2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52.9</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F683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3078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52.9</w:t>
            </w:r>
          </w:p>
        </w:tc>
      </w:tr>
      <w:tr w14:paraId="128CBEF4">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8340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2080112</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91F5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劳动人事争议调解仲裁</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B6B9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496.72</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11F3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300.79</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188D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195.93</w:t>
            </w:r>
          </w:p>
        </w:tc>
      </w:tr>
      <w:tr w14:paraId="7158C3B7">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173CE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B29C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158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40.52</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E3F7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40.52</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5D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5F280AA">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CD076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C609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769A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27.01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56CD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27.01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95AB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E428FD9">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1069A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CBC2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7DEB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13.51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143B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13.51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AB4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477249D">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BFCFB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7230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F3BC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6439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5549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3530459">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5E910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D27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B004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C4FF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17.47</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5F18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67ADC92">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61D83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2101102</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9C52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事业单位医疗</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B6C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11.56</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C407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11.56</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E6A5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80BC7C1">
        <w:tblPrEx>
          <w:tblCellMar>
            <w:top w:w="15" w:type="dxa"/>
            <w:left w:w="15" w:type="dxa"/>
            <w:bottom w:w="15" w:type="dxa"/>
            <w:right w:w="15" w:type="dxa"/>
          </w:tblCellMar>
        </w:tblPrEx>
        <w:tc>
          <w:tcPr>
            <w:tcW w:w="624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442D6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2101199</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89A0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其他行政事业单位医疗支出</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3259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1429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5.91</w:t>
            </w:r>
          </w:p>
        </w:tc>
        <w:tc>
          <w:tcPr>
            <w:tcW w:w="218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D8B7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7488382">
        <w:tblPrEx>
          <w:tblCellMar>
            <w:top w:w="15" w:type="dxa"/>
            <w:left w:w="15" w:type="dxa"/>
            <w:bottom w:w="15" w:type="dxa"/>
            <w:right w:w="15" w:type="dxa"/>
          </w:tblCellMar>
        </w:tblPrEx>
        <w:tc>
          <w:tcPr>
            <w:tcW w:w="14983" w:type="dxa"/>
            <w:gridSpan w:val="7"/>
            <w:noWrap w:val="0"/>
            <w:tcMar>
              <w:top w:w="20" w:type="dxa"/>
              <w:left w:w="20" w:type="dxa"/>
              <w:bottom w:w="20" w:type="dxa"/>
              <w:right w:w="20" w:type="dxa"/>
            </w:tcMar>
            <w:vAlign w:val="center"/>
          </w:tcPr>
          <w:p w14:paraId="71C9112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注：本表反映本年度一般公共预算财政拨款支出情况。</w:t>
            </w:r>
          </w:p>
        </w:tc>
      </w:tr>
    </w:tbl>
    <w:p w14:paraId="66A23257">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5958A99">
      <w:pPr>
        <w:pStyle w:val="29"/>
        <w:widowControl/>
        <w:spacing w:before="100" w:after="100"/>
        <w:ind w:left="0" w:right="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7CFE0AD8">
      <w:pPr>
        <w:pStyle w:val="5"/>
        <w:keepNext w:val="0"/>
        <w:keepLines w:val="0"/>
        <w:spacing w:before="100" w:after="100" w:line="240" w:lineRule="auto"/>
        <w:ind w:left="720" w:right="0" w:hanging="720" w:firstLineChars="0"/>
        <w:rPr>
          <w:rFonts w:ascii="Times New Roman" w:hAnsi="Times New Roman" w:eastAsia="Times New Roman" w:cs="Times New Roman"/>
          <w:b/>
          <w:bCs/>
          <w:kern w:val="0"/>
          <w:sz w:val="28"/>
          <w:szCs w:val="28"/>
        </w:rPr>
      </w:pPr>
      <w:bookmarkStart w:id="49" w:name="_Toc256000105"/>
      <w:bookmarkStart w:id="50" w:name="_Toc256000074"/>
      <w:bookmarkStart w:id="51" w:name="_Toc256000043"/>
      <w:bookmarkStart w:id="52" w:name="_Toc256000012"/>
      <w:r>
        <w:rPr>
          <w:rFonts w:ascii="黑体" w:hAnsi="黑体" w:eastAsia="黑体" w:cs="黑体"/>
          <w:b/>
          <w:spacing w:val="0"/>
        </w:rPr>
        <w:t>六、一般公共预算财政拨款基本支出决算表</w:t>
      </w:r>
      <w:bookmarkEnd w:id="49"/>
      <w:bookmarkEnd w:id="50"/>
      <w:bookmarkEnd w:id="51"/>
      <w:bookmarkEnd w:id="52"/>
    </w:p>
    <w:p w14:paraId="4DD9D552">
      <w:pPr>
        <w:sectPr>
          <w:footerReference r:id="rId14" w:type="default"/>
          <w:pgSz w:w="16383" w:h="11906" w:orient="landscape"/>
          <w:pgMar w:top="1440" w:right="720" w:bottom="1440" w:left="720" w:header="720" w:footer="720" w:gutter="0"/>
          <w:cols w:space="720" w:num="1"/>
        </w:sectPr>
      </w:pPr>
    </w:p>
    <w:p w14:paraId="3B155D5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4983" w:type="dxa"/>
        <w:tblInd w:w="20" w:type="dxa"/>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14:paraId="7B0642CA">
        <w:tblPrEx>
          <w:tblCellMar>
            <w:top w:w="15" w:type="dxa"/>
            <w:left w:w="15" w:type="dxa"/>
            <w:bottom w:w="15" w:type="dxa"/>
            <w:right w:w="15" w:type="dxa"/>
          </w:tblCellMar>
        </w:tblPrEx>
        <w:trPr>
          <w:tblHeader/>
        </w:trPr>
        <w:tc>
          <w:tcPr>
            <w:tcW w:w="14983" w:type="dxa"/>
            <w:gridSpan w:val="9"/>
            <w:noWrap w:val="0"/>
            <w:tcMar>
              <w:top w:w="20" w:type="dxa"/>
              <w:left w:w="20" w:type="dxa"/>
              <w:bottom w:w="20" w:type="dxa"/>
              <w:right w:w="20" w:type="dxa"/>
            </w:tcMar>
            <w:vAlign w:val="center"/>
          </w:tcPr>
          <w:p w14:paraId="3E86F0FC">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一般公共预算财政拨款基本支出决算表</w:t>
            </w:r>
          </w:p>
        </w:tc>
      </w:tr>
      <w:tr w14:paraId="4EAA155C">
        <w:tblPrEx>
          <w:tblCellMar>
            <w:top w:w="15" w:type="dxa"/>
            <w:left w:w="15" w:type="dxa"/>
            <w:bottom w:w="15" w:type="dxa"/>
            <w:right w:w="15" w:type="dxa"/>
          </w:tblCellMar>
        </w:tblPrEx>
        <w:trPr>
          <w:tblHeader/>
        </w:trPr>
        <w:tc>
          <w:tcPr>
            <w:tcW w:w="166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B86A76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E97D6F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271537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27C5E4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252EE5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8164AC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0A1CC2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D37469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20E1825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5FE6208E">
        <w:tblPrEx>
          <w:tblCellMar>
            <w:top w:w="15" w:type="dxa"/>
            <w:left w:w="15" w:type="dxa"/>
            <w:bottom w:w="15" w:type="dxa"/>
            <w:right w:w="15" w:type="dxa"/>
          </w:tblCellMar>
        </w:tblPrEx>
        <w:tc>
          <w:tcPr>
            <w:tcW w:w="6658" w:type="dxa"/>
            <w:gridSpan w:val="4"/>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325FA2EB">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3118AF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2FA5B0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336B82F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C9A369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59637FFE">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5A946207">
        <w:tblPrEx>
          <w:tblCellMar>
            <w:top w:w="15" w:type="dxa"/>
            <w:left w:w="15" w:type="dxa"/>
            <w:bottom w:w="15" w:type="dxa"/>
            <w:right w:w="15" w:type="dxa"/>
          </w:tblCellMar>
        </w:tblPrEx>
        <w:trPr>
          <w:tblHeader/>
        </w:trPr>
        <w:tc>
          <w:tcPr>
            <w:tcW w:w="16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F4B0E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5ECDF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8192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1B86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3F293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B0221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584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27F1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92A65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r>
      <w:tr w14:paraId="340ADFED">
        <w:tblPrEx>
          <w:tblCellMar>
            <w:top w:w="15" w:type="dxa"/>
            <w:left w:w="15" w:type="dxa"/>
            <w:bottom w:w="15" w:type="dxa"/>
            <w:right w:w="15" w:type="dxa"/>
          </w:tblCellMar>
        </w:tblPrEx>
        <w:trPr>
          <w:tblHeader/>
        </w:trPr>
        <w:tc>
          <w:tcPr>
            <w:tcW w:w="1664" w:type="dxa"/>
            <w:vMerge w:val="continue"/>
            <w:tcBorders>
              <w:top w:val="single" w:color="000000" w:sz="6" w:space="0"/>
              <w:left w:val="single" w:color="000000" w:sz="6" w:space="0"/>
              <w:bottom w:val="single" w:color="000000" w:sz="6" w:space="0"/>
              <w:right w:val="single" w:color="000000" w:sz="6" w:space="0"/>
            </w:tcBorders>
            <w:vAlign w:val="center"/>
          </w:tcPr>
          <w:p w14:paraId="4AA7D803">
            <w:pPr>
              <w:rPr>
                <w:rFonts w:ascii="Times New Roman" w:hAnsi="Times New Roman" w:eastAsia="Times New Roman" w:cs="Times New Roman"/>
                <w:b w:val="0"/>
                <w:bCs w:val="0"/>
                <w:i w:val="0"/>
                <w:iCs w:val="0"/>
                <w:smallCaps w:val="0"/>
                <w:color w:val="000000"/>
                <w:kern w:val="0"/>
                <w:sz w:val="26"/>
                <w:szCs w:val="26"/>
              </w:rPr>
            </w:pPr>
          </w:p>
        </w:tc>
        <w:tc>
          <w:tcPr>
            <w:tcW w:w="1664" w:type="dxa"/>
            <w:vMerge w:val="continue"/>
            <w:tcBorders>
              <w:top w:val="single" w:color="000000" w:sz="6" w:space="0"/>
              <w:left w:val="single" w:color="000000" w:sz="6" w:space="0"/>
              <w:bottom w:val="single" w:color="000000" w:sz="6" w:space="0"/>
              <w:right w:val="single" w:color="000000" w:sz="6" w:space="0"/>
            </w:tcBorders>
            <w:vAlign w:val="center"/>
          </w:tcPr>
          <w:p w14:paraId="0D484CFF">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2441B521">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06342AAD">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642EC3D0">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0991A2B1">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2AD38A11">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282F43C5">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3112D423">
            <w:pPr>
              <w:rPr>
                <w:rFonts w:ascii="Times New Roman" w:hAnsi="Times New Roman" w:eastAsia="Times New Roman" w:cs="Times New Roman"/>
                <w:b w:val="0"/>
                <w:bCs w:val="0"/>
                <w:i w:val="0"/>
                <w:iCs w:val="0"/>
                <w:smallCaps w:val="0"/>
                <w:color w:val="000000"/>
                <w:kern w:val="0"/>
                <w:sz w:val="26"/>
                <w:szCs w:val="26"/>
              </w:rPr>
            </w:pPr>
          </w:p>
        </w:tc>
      </w:tr>
      <w:tr w14:paraId="42F19920">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E880F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583A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工资福利支出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144D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339.28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7ACB5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4A2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商品和服务支出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3C1F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17.06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7B87F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E714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国内债务发行费用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FACC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358329AD">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19A3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D286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基本工资</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8245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42.32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1C85D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58B2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办公费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787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9.56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0406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F01A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国外债务发行费用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A993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34472A8">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6702A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2BCE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津贴补贴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04F2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73.47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FB26D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1E2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印刷费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81C7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DC41E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696E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资本性支出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E031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2.44</w:t>
            </w:r>
          </w:p>
        </w:tc>
      </w:tr>
      <w:tr w14:paraId="3DAF8E39">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C50B8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FEB6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奖金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5E02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103.33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563E3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C349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咨询费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E7E0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4BA13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535D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房屋建筑物购建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A69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DAA25F6">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BFAEF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30106</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C4DB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伙食补助费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DB2E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0E1BB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EE11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手续费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785D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202FB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1AC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办公设备购置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19DB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2.44</w:t>
            </w:r>
          </w:p>
        </w:tc>
      </w:tr>
      <w:tr w14:paraId="1EB2EEF5">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0350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30107</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4685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绩效工资</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7F38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1E528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5548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1971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C81B7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BDE2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专用设备购置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07CC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DC14888">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25BEB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30108</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9751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09BC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99C36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BD5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电费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67C1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0129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3E69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基础设施建设</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5DA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02E1791">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D0177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69DD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职业年金缴费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D51D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13.51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3079B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9A2E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邮电费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1724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90F8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0DA5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大型修缮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32DA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D232F8B">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6BD10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30110</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DE3B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职工基本医疗保险缴费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22CB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11.56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9729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96A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取暖费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A846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E89B8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9807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信息网络及软件购置更新</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2377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E2A49F4">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73784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FB40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5102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D5E5B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6C74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物业管理费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B28E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77DC0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DA39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物资储备</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5DE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3826004">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E4EF0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BB6B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其他社会保障缴费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9FE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7.73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BCE00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3405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差旅费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C2BE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6159A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B083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土地补偿</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C319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36024A90">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36993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ED9E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住房公积金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57D3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27.28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45BE4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F69D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因公出国（境）费用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B9E6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59986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202B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安置补助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E16C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35D69F2C">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E4501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30114</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2623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医疗费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9120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9887B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E391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维修（护）费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7FD6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AC939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1067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地上附着物和青苗补偿</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E948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93AAC57">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00C7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30199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7B86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其他工资福利支出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83CC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7008A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3699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租赁费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D91A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F48D7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F496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拆迁补偿</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72FD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1283761C">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105ED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678F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对个人和家庭的补助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1B38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632CE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D385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会议费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6CE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BEEDC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C571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DCD4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69356D7D">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C21C6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2F43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离休费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B4AE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6251E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A741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培训费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C3F8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4F0DB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CBB4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其他交通工具购置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A6C9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C090DCB">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55536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DF79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退休费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D3E0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F8AF1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6497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EF21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0.44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A825A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31021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0D72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文物和陈列品购置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A567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CDE71F9">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14488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76BE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退职（役）费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96C2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9B1DF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400F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专用材料费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2415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7E630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1291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无形资产购置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0E72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CF2EBEA">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F01A8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30304</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F2E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抚恤金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9C81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B8227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4477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被装购置费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8A91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98D3B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268F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其他资本性支出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AA3C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23D86B7">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36A8A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30305</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B7BD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生活补助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CD1C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46998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0DDF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专用燃料费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0E7E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C82F9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78B0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对企业补助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4AF5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8066A6C">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409EA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30306</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1213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救济费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27E8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8F340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B165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劳务费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18E4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D16C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A2AB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资本金注入</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DC5A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33C48D57">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DDEC4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30307</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0A1E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医疗费补助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C578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42291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FBA7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委托业务费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99E1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7C5F6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E668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政府投资基金股权投资</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628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26F19D3">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60C98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30308</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5B4E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助学金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FE5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87753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1B5C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工会经费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2D63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556F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98A6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费用补贴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B03F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873D263">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70CA3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F115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奖励金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295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2245C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495B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福利费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78E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0.17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20EE3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1069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利息补贴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779F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306123C0">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E9C47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30310</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CAEC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个人农业生产补贴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457BB2">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31075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30231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16DE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50BC8E">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0.6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0A09A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69AA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其他资本性补助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FDEDD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AD74300">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DDB30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30311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FD75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代缴社会保险费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1373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AD6BC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30239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8384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其他交通费用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5B43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0C3D5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1106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其他对企业补助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05D2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619521C">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17609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30399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F61F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其他对个人和家庭的补助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64F4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86F93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30240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3978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税金及附加费用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0220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1E797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3B45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CB21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47058A32">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EA37C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8355F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A0B7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6E327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C15B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其他商品和服务支出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7143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836AC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5B54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国家赔偿费用支出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8801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3ABDA607">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2490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03D6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A2CE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A8778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E7F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债务利息及费用支出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B51E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CAAF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A364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对民间非营利组织和群众性自治组织补贴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6798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1ADA00CE">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E6B5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DE50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CE816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23086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0DC3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国内债务付息</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C3637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37E2B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AC1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经常性赠与</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6C59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6E25CED">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524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5661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60E91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219BB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61D9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国外债务付息</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735C4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C74AA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39910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8E34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资本性赠与</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481C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521D2836">
        <w:tblPrEx>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CBE5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DC1B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35874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FEAEE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6B514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B13A9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6F0AA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9AC3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4010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701F9ED8">
        <w:tblPrEx>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C6CB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人员经费合计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DE3F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339.28</w:t>
            </w:r>
          </w:p>
        </w:tc>
        <w:tc>
          <w:tcPr>
            <w:tcW w:w="8325"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4B7E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公用经费合计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1E26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19.49</w:t>
            </w:r>
          </w:p>
        </w:tc>
      </w:tr>
      <w:tr w14:paraId="4EC596C7">
        <w:tblPrEx>
          <w:tblCellMar>
            <w:top w:w="15" w:type="dxa"/>
            <w:left w:w="15" w:type="dxa"/>
            <w:bottom w:w="15" w:type="dxa"/>
            <w:right w:w="15" w:type="dxa"/>
          </w:tblCellMar>
        </w:tblPrEx>
        <w:tc>
          <w:tcPr>
            <w:tcW w:w="14983" w:type="dxa"/>
            <w:gridSpan w:val="9"/>
            <w:noWrap w:val="0"/>
            <w:tcMar>
              <w:top w:w="20" w:type="dxa"/>
              <w:left w:w="20" w:type="dxa"/>
              <w:bottom w:w="20" w:type="dxa"/>
              <w:right w:w="20" w:type="dxa"/>
            </w:tcMar>
            <w:vAlign w:val="center"/>
          </w:tcPr>
          <w:p w14:paraId="53B7C68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注：本表反映本年度一般公共预算财政拨款基本支出明细情况。</w:t>
            </w:r>
          </w:p>
        </w:tc>
      </w:tr>
    </w:tbl>
    <w:p w14:paraId="1C92B840">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2422F7CB">
      <w:pPr>
        <w:pStyle w:val="29"/>
        <w:widowControl/>
        <w:spacing w:before="100" w:after="100"/>
        <w:ind w:left="0" w:right="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1954DA94">
      <w:pPr>
        <w:pStyle w:val="5"/>
        <w:keepNext w:val="0"/>
        <w:keepLines w:val="0"/>
        <w:spacing w:before="100" w:after="100" w:line="240" w:lineRule="auto"/>
        <w:ind w:left="720" w:right="0" w:hanging="720" w:firstLineChars="0"/>
        <w:rPr>
          <w:rFonts w:ascii="Times New Roman" w:hAnsi="Times New Roman" w:eastAsia="Times New Roman" w:cs="Times New Roman"/>
          <w:b/>
          <w:bCs/>
          <w:kern w:val="0"/>
          <w:sz w:val="28"/>
          <w:szCs w:val="28"/>
        </w:rPr>
      </w:pPr>
      <w:bookmarkStart w:id="53" w:name="_Toc256000106"/>
      <w:bookmarkStart w:id="54" w:name="_Toc256000044"/>
      <w:bookmarkStart w:id="55" w:name="_Toc256000013"/>
      <w:bookmarkStart w:id="56" w:name="_Toc256000075"/>
      <w:r>
        <w:rPr>
          <w:rFonts w:ascii="黑体" w:hAnsi="黑体" w:eastAsia="黑体" w:cs="黑体"/>
          <w:b/>
          <w:spacing w:val="0"/>
        </w:rPr>
        <w:t>七、一般公共预算财政拨款“三公”经费支出决算表</w:t>
      </w:r>
      <w:bookmarkEnd w:id="53"/>
      <w:bookmarkEnd w:id="54"/>
      <w:bookmarkEnd w:id="55"/>
      <w:bookmarkEnd w:id="56"/>
    </w:p>
    <w:p w14:paraId="5DF65509">
      <w:pPr>
        <w:sectPr>
          <w:footerReference r:id="rId15" w:type="default"/>
          <w:pgSz w:w="16383" w:h="11906" w:orient="landscape"/>
          <w:pgMar w:top="1440" w:right="720" w:bottom="1440" w:left="720" w:header="720" w:footer="720" w:gutter="0"/>
          <w:cols w:space="720" w:num="1"/>
        </w:sectPr>
      </w:pPr>
    </w:p>
    <w:p w14:paraId="69AFA3E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4983" w:type="dxa"/>
        <w:tblInd w:w="20" w:type="dxa"/>
        <w:tblLayout w:type="fixed"/>
        <w:tblCellMar>
          <w:top w:w="15" w:type="dxa"/>
          <w:left w:w="15" w:type="dxa"/>
          <w:bottom w:w="15" w:type="dxa"/>
          <w:right w:w="15" w:type="dxa"/>
        </w:tblCellMar>
      </w:tblPr>
      <w:tblGrid>
        <w:gridCol w:w="1248"/>
        <w:gridCol w:w="1248"/>
        <w:gridCol w:w="1248"/>
        <w:gridCol w:w="1248"/>
        <w:gridCol w:w="1248"/>
        <w:gridCol w:w="1249"/>
        <w:gridCol w:w="1249"/>
        <w:gridCol w:w="1249"/>
        <w:gridCol w:w="1249"/>
        <w:gridCol w:w="1249"/>
        <w:gridCol w:w="1249"/>
        <w:gridCol w:w="1249"/>
      </w:tblGrid>
      <w:tr w14:paraId="5D134DE1">
        <w:tblPrEx>
          <w:tblCellMar>
            <w:top w:w="15" w:type="dxa"/>
            <w:left w:w="15" w:type="dxa"/>
            <w:bottom w:w="15" w:type="dxa"/>
            <w:right w:w="15" w:type="dxa"/>
          </w:tblCellMar>
        </w:tblPrEx>
        <w:trPr>
          <w:tblHeader/>
        </w:trPr>
        <w:tc>
          <w:tcPr>
            <w:tcW w:w="14983" w:type="dxa"/>
            <w:gridSpan w:val="12"/>
            <w:noWrap w:val="0"/>
            <w:tcMar>
              <w:top w:w="20" w:type="dxa"/>
              <w:left w:w="20" w:type="dxa"/>
              <w:bottom w:w="20" w:type="dxa"/>
              <w:right w:w="20" w:type="dxa"/>
            </w:tcMar>
            <w:vAlign w:val="center"/>
          </w:tcPr>
          <w:p w14:paraId="11B0B181">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w:t>
            </w:r>
          </w:p>
        </w:tc>
      </w:tr>
      <w:tr w14:paraId="697FC016">
        <w:tblPrEx>
          <w:tblCellMar>
            <w:top w:w="15" w:type="dxa"/>
            <w:left w:w="15" w:type="dxa"/>
            <w:bottom w:w="15" w:type="dxa"/>
            <w:right w:w="15" w:type="dxa"/>
          </w:tblCellMar>
        </w:tblPrEx>
        <w:trPr>
          <w:tblHeader/>
        </w:trPr>
        <w:tc>
          <w:tcPr>
            <w:tcW w:w="1248"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B2C359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F7F1BB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32490E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3C7692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310673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125301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10E8C1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D19F3C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14E75B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759966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808DFE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7226BE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096D6CBB">
        <w:tblPrEx>
          <w:tblCellMar>
            <w:top w:w="15" w:type="dxa"/>
            <w:left w:w="15" w:type="dxa"/>
            <w:bottom w:w="15" w:type="dxa"/>
            <w:right w:w="15" w:type="dxa"/>
          </w:tblCellMar>
        </w:tblPrEx>
        <w:tc>
          <w:tcPr>
            <w:tcW w:w="7489" w:type="dxa"/>
            <w:gridSpan w:val="6"/>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48764AED">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0C82BEED">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94279E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4E9F5B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1A2AD4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8B48A1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5A66B3BE">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04393B1F">
        <w:tblPrEx>
          <w:tblCellMar>
            <w:top w:w="15" w:type="dxa"/>
            <w:left w:w="15" w:type="dxa"/>
            <w:bottom w:w="15" w:type="dxa"/>
            <w:right w:w="15" w:type="dxa"/>
          </w:tblCellMar>
        </w:tblPrEx>
        <w:tc>
          <w:tcPr>
            <w:tcW w:w="7489"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BF9AA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预算数</w:t>
            </w:r>
          </w:p>
        </w:tc>
        <w:tc>
          <w:tcPr>
            <w:tcW w:w="7494"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8A6C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决算数</w:t>
            </w:r>
          </w:p>
        </w:tc>
      </w:tr>
      <w:tr w14:paraId="1C76F5FD">
        <w:tblPrEx>
          <w:tblCellMar>
            <w:top w:w="15" w:type="dxa"/>
            <w:left w:w="15" w:type="dxa"/>
            <w:bottom w:w="15" w:type="dxa"/>
            <w:right w:w="15" w:type="dxa"/>
          </w:tblCellMar>
        </w:tblPrEx>
        <w:trPr>
          <w:tblHeader/>
        </w:trPr>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3812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0864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w:t>
            </w:r>
            <w:r>
              <w:rPr>
                <w:rFonts w:ascii="Times New Roman" w:hAnsi="Times New Roman" w:eastAsia="Times New Roman" w:cs="Times New Roman"/>
                <w:b w:val="0"/>
                <w:bCs w:val="0"/>
                <w:i w:val="0"/>
                <w:iCs w:val="0"/>
                <w:smallCaps w:val="0"/>
                <w:color w:val="000000"/>
                <w:kern w:val="0"/>
                <w:sz w:val="26"/>
                <w:szCs w:val="26"/>
              </w:rPr>
              <w:t xml:space="preserve"> </w:t>
            </w:r>
            <w:r>
              <w:rPr>
                <w:rFonts w:ascii="宋体" w:hAnsi="宋体" w:eastAsia="宋体" w:cs="宋体"/>
                <w:b w:val="0"/>
                <w:bCs w:val="0"/>
                <w:i w:val="0"/>
                <w:iCs w:val="0"/>
                <w:smallCaps w:val="0"/>
                <w:color w:val="000000"/>
                <w:kern w:val="0"/>
                <w:sz w:val="26"/>
                <w:szCs w:val="26"/>
              </w:rPr>
              <w:t>（境）费</w:t>
            </w:r>
          </w:p>
        </w:tc>
        <w:tc>
          <w:tcPr>
            <w:tcW w:w="3744"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AE2C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公务用车购置及运行维护费</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2185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C5C9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5C6D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w:t>
            </w:r>
            <w:r>
              <w:rPr>
                <w:rFonts w:ascii="Times New Roman" w:hAnsi="Times New Roman" w:eastAsia="Times New Roman" w:cs="Times New Roman"/>
                <w:b w:val="0"/>
                <w:bCs w:val="0"/>
                <w:i w:val="0"/>
                <w:iCs w:val="0"/>
                <w:smallCaps w:val="0"/>
                <w:color w:val="000000"/>
                <w:kern w:val="0"/>
                <w:sz w:val="26"/>
                <w:szCs w:val="26"/>
              </w:rPr>
              <w:t xml:space="preserve"> </w:t>
            </w:r>
            <w:r>
              <w:rPr>
                <w:rFonts w:ascii="宋体" w:hAnsi="宋体" w:eastAsia="宋体" w:cs="宋体"/>
                <w:b w:val="0"/>
                <w:bCs w:val="0"/>
                <w:i w:val="0"/>
                <w:iCs w:val="0"/>
                <w:smallCaps w:val="0"/>
                <w:color w:val="000000"/>
                <w:kern w:val="0"/>
                <w:sz w:val="26"/>
                <w:szCs w:val="26"/>
              </w:rPr>
              <w:t>（境）费</w:t>
            </w:r>
          </w:p>
        </w:tc>
        <w:tc>
          <w:tcPr>
            <w:tcW w:w="374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D4193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公务用车购置及运行维护费</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0515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r>
      <w:tr w14:paraId="63BD61C7">
        <w:tblPrEx>
          <w:tblCellMar>
            <w:top w:w="15" w:type="dxa"/>
            <w:left w:w="15" w:type="dxa"/>
            <w:bottom w:w="15" w:type="dxa"/>
            <w:right w:w="15" w:type="dxa"/>
          </w:tblCellMar>
        </w:tblPrEx>
        <w:trPr>
          <w:tblHeader/>
        </w:trPr>
        <w:tc>
          <w:tcPr>
            <w:tcW w:w="1248" w:type="dxa"/>
            <w:vMerge w:val="continue"/>
            <w:tcBorders>
              <w:top w:val="single" w:color="000000" w:sz="6" w:space="0"/>
              <w:left w:val="single" w:color="000000" w:sz="6" w:space="0"/>
              <w:bottom w:val="single" w:color="000000" w:sz="6" w:space="0"/>
              <w:right w:val="single" w:color="000000" w:sz="6" w:space="0"/>
            </w:tcBorders>
            <w:vAlign w:val="center"/>
          </w:tcPr>
          <w:p w14:paraId="28EEFEB0">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14:paraId="2A9EE384">
            <w:pPr>
              <w:rPr>
                <w:rFonts w:ascii="Times New Roman" w:hAnsi="Times New Roman" w:eastAsia="Times New Roman" w:cs="Times New Roman"/>
                <w:b w:val="0"/>
                <w:bCs w:val="0"/>
                <w:i w:val="0"/>
                <w:iCs w:val="0"/>
                <w:smallCaps w:val="0"/>
                <w:color w:val="000000"/>
                <w:kern w:val="0"/>
                <w:sz w:val="26"/>
                <w:szCs w:val="26"/>
              </w:rPr>
            </w:pPr>
          </w:p>
        </w:tc>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0377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6E69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公务用车购置费</w:t>
            </w:r>
          </w:p>
        </w:tc>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DC58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2945D468">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2DD2302F">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7C4B3C22">
            <w:pPr>
              <w:rPr>
                <w:rFonts w:ascii="Times New Roman" w:hAnsi="Times New Roman" w:eastAsia="Times New Roman" w:cs="Times New Roman"/>
                <w:b w:val="0"/>
                <w:bCs w:val="0"/>
                <w:i w:val="0"/>
                <w:iCs w:val="0"/>
                <w:smallCaps w:val="0"/>
                <w:color w:val="000000"/>
                <w:kern w:val="0"/>
                <w:sz w:val="26"/>
                <w:szCs w:val="26"/>
              </w:rPr>
            </w:pP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71A3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F010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公务用车购置费</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2A636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59C78076">
            <w:pPr>
              <w:rPr>
                <w:rFonts w:ascii="Times New Roman" w:hAnsi="Times New Roman" w:eastAsia="Times New Roman" w:cs="Times New Roman"/>
                <w:b w:val="0"/>
                <w:bCs w:val="0"/>
                <w:i w:val="0"/>
                <w:iCs w:val="0"/>
                <w:smallCaps w:val="0"/>
                <w:color w:val="000000"/>
                <w:kern w:val="0"/>
                <w:sz w:val="26"/>
                <w:szCs w:val="26"/>
              </w:rPr>
            </w:pPr>
          </w:p>
        </w:tc>
      </w:tr>
      <w:tr w14:paraId="5EDA2844">
        <w:tblPrEx>
          <w:tblCellMar>
            <w:top w:w="15" w:type="dxa"/>
            <w:left w:w="15" w:type="dxa"/>
            <w:bottom w:w="15" w:type="dxa"/>
            <w:right w:w="15" w:type="dxa"/>
          </w:tblCellMar>
        </w:tblPrEx>
        <w:trPr>
          <w:tblHeader/>
        </w:trPr>
        <w:tc>
          <w:tcPr>
            <w:tcW w:w="1248" w:type="dxa"/>
            <w:vMerge w:val="continue"/>
            <w:tcBorders>
              <w:top w:val="single" w:color="000000" w:sz="6" w:space="0"/>
              <w:left w:val="single" w:color="000000" w:sz="6" w:space="0"/>
              <w:bottom w:val="single" w:color="000000" w:sz="6" w:space="0"/>
              <w:right w:val="single" w:color="000000" w:sz="6" w:space="0"/>
            </w:tcBorders>
            <w:vAlign w:val="center"/>
          </w:tcPr>
          <w:p w14:paraId="5B6E58B1">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14:paraId="180EB973">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14:paraId="3FD08252">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14:paraId="5439A3C1">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14:paraId="6F38E190">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36AF5FFA">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6E83A0EC">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7452CC69">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07286F36">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6E0C3C64">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18A3A6FD">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14:paraId="656DBD95">
            <w:pPr>
              <w:rPr>
                <w:rFonts w:ascii="Times New Roman" w:hAnsi="Times New Roman" w:eastAsia="Times New Roman" w:cs="Times New Roman"/>
                <w:b w:val="0"/>
                <w:bCs w:val="0"/>
                <w:i w:val="0"/>
                <w:iCs w:val="0"/>
                <w:smallCaps w:val="0"/>
                <w:color w:val="000000"/>
                <w:kern w:val="0"/>
                <w:sz w:val="26"/>
                <w:szCs w:val="26"/>
              </w:rPr>
            </w:pPr>
          </w:p>
        </w:tc>
      </w:tr>
      <w:tr w14:paraId="2BE89BCE">
        <w:tblPrEx>
          <w:tblCellMar>
            <w:top w:w="15" w:type="dxa"/>
            <w:left w:w="15" w:type="dxa"/>
            <w:bottom w:w="15" w:type="dxa"/>
            <w:right w:w="15" w:type="dxa"/>
          </w:tblCellMar>
        </w:tblPrEx>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DEC5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C4E5C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AB4D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550D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5CF7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FA31F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7BE1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5443E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706E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E58A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10</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5C52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443FC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12</w:t>
            </w:r>
          </w:p>
        </w:tc>
      </w:tr>
      <w:tr w14:paraId="54E9D313">
        <w:tblPrEx>
          <w:tblCellMar>
            <w:top w:w="15" w:type="dxa"/>
            <w:left w:w="15" w:type="dxa"/>
            <w:bottom w:w="15" w:type="dxa"/>
            <w:right w:w="15" w:type="dxa"/>
          </w:tblCellMar>
        </w:tblPrEx>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BF1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1.04</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3888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7A2F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0.6</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5EC7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2AA6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0.6</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ED5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0.44</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5F79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1.04</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6FBD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CB84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0.6</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BCFC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3DC3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0.6</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1416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0.44</w:t>
            </w:r>
          </w:p>
        </w:tc>
      </w:tr>
      <w:tr w14:paraId="33F39587">
        <w:tblPrEx>
          <w:tblCellMar>
            <w:top w:w="15" w:type="dxa"/>
            <w:left w:w="15" w:type="dxa"/>
            <w:bottom w:w="15" w:type="dxa"/>
            <w:right w:w="15" w:type="dxa"/>
          </w:tblCellMar>
        </w:tblPrEx>
        <w:tc>
          <w:tcPr>
            <w:tcW w:w="14983" w:type="dxa"/>
            <w:gridSpan w:val="12"/>
            <w:noWrap w:val="0"/>
            <w:tcMar>
              <w:top w:w="20" w:type="dxa"/>
              <w:left w:w="20" w:type="dxa"/>
              <w:bottom w:w="20" w:type="dxa"/>
              <w:right w:w="20" w:type="dxa"/>
            </w:tcMar>
            <w:vAlign w:val="center"/>
          </w:tcPr>
          <w:p w14:paraId="0C8FF3C8">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注：本表反映本年度财政拨款</w:t>
            </w:r>
            <w:r>
              <w:rPr>
                <w:rFonts w:ascii="Times New Roman" w:hAnsi="Times New Roman" w:eastAsia="Times New Roman" w:cs="Times New Roman"/>
                <w:b w:val="0"/>
                <w:bCs w:val="0"/>
                <w:i w:val="0"/>
                <w:iCs w:val="0"/>
                <w:smallCaps w:val="0"/>
                <w:color w:val="000000"/>
                <w:kern w:val="0"/>
                <w:sz w:val="26"/>
                <w:szCs w:val="26"/>
              </w:rPr>
              <w:t>“</w:t>
            </w:r>
            <w:r>
              <w:rPr>
                <w:rFonts w:ascii="宋体" w:hAnsi="宋体" w:eastAsia="宋体" w:cs="宋体"/>
                <w:b w:val="0"/>
                <w:bCs w:val="0"/>
                <w:i w:val="0"/>
                <w:iCs w:val="0"/>
                <w:smallCaps w:val="0"/>
                <w:color w:val="000000"/>
                <w:kern w:val="0"/>
                <w:sz w:val="26"/>
                <w:szCs w:val="26"/>
              </w:rPr>
              <w:t>三公</w:t>
            </w:r>
            <w:r>
              <w:rPr>
                <w:rFonts w:ascii="Times New Roman" w:hAnsi="Times New Roman" w:eastAsia="Times New Roman" w:cs="Times New Roman"/>
                <w:b w:val="0"/>
                <w:bCs w:val="0"/>
                <w:i w:val="0"/>
                <w:iCs w:val="0"/>
                <w:smallCaps w:val="0"/>
                <w:color w:val="000000"/>
                <w:kern w:val="0"/>
                <w:sz w:val="26"/>
                <w:szCs w:val="26"/>
              </w:rPr>
              <w:t>”</w:t>
            </w:r>
            <w:r>
              <w:rPr>
                <w:rFonts w:ascii="宋体" w:hAnsi="宋体" w:eastAsia="宋体" w:cs="宋体"/>
                <w:b w:val="0"/>
                <w:bCs w:val="0"/>
                <w:i w:val="0"/>
                <w:iCs w:val="0"/>
                <w:smallCaps w:val="0"/>
                <w:color w:val="000000"/>
                <w:kern w:val="0"/>
                <w:sz w:val="26"/>
                <w:szCs w:val="26"/>
              </w:rPr>
              <w:t>经费支出预决算情况。其中，预算数为</w:t>
            </w:r>
            <w:r>
              <w:rPr>
                <w:rFonts w:ascii="Times New Roman" w:hAnsi="Times New Roman" w:eastAsia="Times New Roman" w:cs="Times New Roman"/>
                <w:b w:val="0"/>
                <w:bCs w:val="0"/>
                <w:i w:val="0"/>
                <w:iCs w:val="0"/>
                <w:smallCaps w:val="0"/>
                <w:color w:val="000000"/>
                <w:kern w:val="0"/>
                <w:sz w:val="26"/>
                <w:szCs w:val="26"/>
              </w:rPr>
              <w:t>“</w:t>
            </w:r>
            <w:r>
              <w:rPr>
                <w:rFonts w:ascii="宋体" w:hAnsi="宋体" w:eastAsia="宋体" w:cs="宋体"/>
                <w:b w:val="0"/>
                <w:bCs w:val="0"/>
                <w:i w:val="0"/>
                <w:iCs w:val="0"/>
                <w:smallCaps w:val="0"/>
                <w:color w:val="000000"/>
                <w:kern w:val="0"/>
                <w:sz w:val="26"/>
                <w:szCs w:val="26"/>
              </w:rPr>
              <w:t>三公</w:t>
            </w:r>
            <w:r>
              <w:rPr>
                <w:rFonts w:ascii="Times New Roman" w:hAnsi="Times New Roman" w:eastAsia="Times New Roman" w:cs="Times New Roman"/>
                <w:b w:val="0"/>
                <w:bCs w:val="0"/>
                <w:i w:val="0"/>
                <w:iCs w:val="0"/>
                <w:smallCaps w:val="0"/>
                <w:color w:val="000000"/>
                <w:kern w:val="0"/>
                <w:sz w:val="26"/>
                <w:szCs w:val="26"/>
              </w:rPr>
              <w:t>”</w:t>
            </w:r>
            <w:r>
              <w:rPr>
                <w:rFonts w:ascii="宋体" w:hAnsi="宋体" w:eastAsia="宋体" w:cs="宋体"/>
                <w:b w:val="0"/>
                <w:bCs w:val="0"/>
                <w:i w:val="0"/>
                <w:iCs w:val="0"/>
                <w:smallCaps w:val="0"/>
                <w:color w:val="000000"/>
                <w:kern w:val="0"/>
                <w:sz w:val="26"/>
                <w:szCs w:val="26"/>
              </w:rPr>
              <w:t>经费全年预算数，反映按规定程序调整后的预算数；决算数是包括当年财政拨款和以前年度结转资金安排的实际支出。</w:t>
            </w:r>
          </w:p>
        </w:tc>
      </w:tr>
    </w:tbl>
    <w:p w14:paraId="5A98DFFE">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28F7A5A5">
      <w:pPr>
        <w:pStyle w:val="28"/>
        <w:widowControl/>
        <w:spacing w:before="100" w:after="100"/>
        <w:ind w:left="0" w:right="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54DB5C3D">
      <w:pPr>
        <w:pStyle w:val="5"/>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57" w:name="_Toc256000107"/>
      <w:bookmarkStart w:id="58" w:name="_Toc256000076"/>
      <w:bookmarkStart w:id="59" w:name="_Toc256000045"/>
      <w:bookmarkStart w:id="60" w:name="_Toc256000014"/>
      <w:r>
        <w:rPr>
          <w:rFonts w:ascii="黑体" w:hAnsi="黑体" w:eastAsia="黑体" w:cs="黑体"/>
          <w:b/>
          <w:spacing w:val="0"/>
        </w:rPr>
        <w:t>八、政府性基金预算财政拨款收入支出决算表</w:t>
      </w:r>
      <w:bookmarkEnd w:id="57"/>
      <w:bookmarkEnd w:id="58"/>
      <w:bookmarkEnd w:id="59"/>
      <w:bookmarkEnd w:id="60"/>
    </w:p>
    <w:p w14:paraId="5823E1FE">
      <w:pPr>
        <w:sectPr>
          <w:footerReference r:id="rId16" w:type="default"/>
          <w:pgSz w:w="16383" w:h="11906" w:orient="landscape"/>
          <w:pgMar w:top="1440" w:right="720" w:bottom="1440" w:left="720" w:header="720" w:footer="720" w:gutter="0"/>
          <w:cols w:space="720" w:num="1"/>
        </w:sectPr>
      </w:pPr>
    </w:p>
    <w:p w14:paraId="5EFD1AE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4983" w:type="dxa"/>
        <w:tblInd w:w="20" w:type="dxa"/>
        <w:tblLayout w:type="fixed"/>
        <w:tblCellMar>
          <w:top w:w="15" w:type="dxa"/>
          <w:left w:w="15" w:type="dxa"/>
          <w:bottom w:w="15" w:type="dxa"/>
          <w:right w:w="15" w:type="dxa"/>
        </w:tblCellMar>
      </w:tblPr>
      <w:tblGrid>
        <w:gridCol w:w="1872"/>
        <w:gridCol w:w="1873"/>
        <w:gridCol w:w="1873"/>
        <w:gridCol w:w="1873"/>
        <w:gridCol w:w="1873"/>
        <w:gridCol w:w="1873"/>
        <w:gridCol w:w="1873"/>
        <w:gridCol w:w="1873"/>
      </w:tblGrid>
      <w:tr w14:paraId="70F655F4">
        <w:tblPrEx>
          <w:tblCellMar>
            <w:top w:w="15" w:type="dxa"/>
            <w:left w:w="15" w:type="dxa"/>
            <w:bottom w:w="15" w:type="dxa"/>
            <w:right w:w="15" w:type="dxa"/>
          </w:tblCellMar>
        </w:tblPrEx>
        <w:trPr>
          <w:tblHeader/>
        </w:trPr>
        <w:tc>
          <w:tcPr>
            <w:tcW w:w="14983" w:type="dxa"/>
            <w:gridSpan w:val="8"/>
            <w:noWrap w:val="0"/>
            <w:tcMar>
              <w:top w:w="20" w:type="dxa"/>
              <w:left w:w="20" w:type="dxa"/>
              <w:bottom w:w="20" w:type="dxa"/>
              <w:right w:w="20" w:type="dxa"/>
            </w:tcMar>
            <w:vAlign w:val="center"/>
          </w:tcPr>
          <w:p w14:paraId="34519C56">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14:paraId="15F620B3">
        <w:tblPrEx>
          <w:tblCellMar>
            <w:top w:w="15" w:type="dxa"/>
            <w:left w:w="15" w:type="dxa"/>
            <w:bottom w:w="15" w:type="dxa"/>
            <w:right w:w="15" w:type="dxa"/>
          </w:tblCellMar>
        </w:tblPrEx>
        <w:trPr>
          <w:tblHeader/>
        </w:trPr>
        <w:tc>
          <w:tcPr>
            <w:tcW w:w="1872"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24F90AC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1FA267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6AAFA4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CA6BCF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3919B5D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1AD8B0F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0617264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6872CD7A">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3A47274C">
        <w:tblPrEx>
          <w:tblCellMar>
            <w:top w:w="15" w:type="dxa"/>
            <w:left w:w="15" w:type="dxa"/>
            <w:bottom w:w="15" w:type="dxa"/>
            <w:right w:w="15" w:type="dxa"/>
          </w:tblCellMar>
        </w:tblPrEx>
        <w:tc>
          <w:tcPr>
            <w:tcW w:w="7491" w:type="dxa"/>
            <w:gridSpan w:val="4"/>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F53089F">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75A8668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72AB19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5B80B5A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0AA3CC1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0E489053">
        <w:tblPrEx>
          <w:tblCellMar>
            <w:top w:w="15" w:type="dxa"/>
            <w:left w:w="15" w:type="dxa"/>
            <w:bottom w:w="15" w:type="dxa"/>
            <w:right w:w="15" w:type="dxa"/>
          </w:tblCellMar>
        </w:tblPrEx>
        <w:trPr>
          <w:tblHeader/>
        </w:trPr>
        <w:tc>
          <w:tcPr>
            <w:tcW w:w="37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E39F8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87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371D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87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370C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w:t>
            </w:r>
          </w:p>
        </w:tc>
        <w:tc>
          <w:tcPr>
            <w:tcW w:w="561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DCB1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w:t>
            </w:r>
          </w:p>
        </w:tc>
        <w:tc>
          <w:tcPr>
            <w:tcW w:w="187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9241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年末结转和结余</w:t>
            </w:r>
          </w:p>
        </w:tc>
      </w:tr>
      <w:tr w14:paraId="4C753DC4">
        <w:tblPrEx>
          <w:tblCellMar>
            <w:top w:w="15" w:type="dxa"/>
            <w:left w:w="15" w:type="dxa"/>
            <w:bottom w:w="15" w:type="dxa"/>
            <w:right w:w="15" w:type="dxa"/>
          </w:tblCellMar>
        </w:tblPrEx>
        <w:trPr>
          <w:tblHeader/>
        </w:trPr>
        <w:tc>
          <w:tcPr>
            <w:tcW w:w="187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3CAEF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支出功能分类科目编码</w:t>
            </w:r>
          </w:p>
        </w:tc>
        <w:tc>
          <w:tcPr>
            <w:tcW w:w="187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2053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045473AE">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3F781C0F">
            <w:pPr>
              <w:rPr>
                <w:rFonts w:ascii="Times New Roman" w:hAnsi="Times New Roman" w:eastAsia="Times New Roman" w:cs="Times New Roman"/>
                <w:b w:val="0"/>
                <w:bCs w:val="0"/>
                <w:i w:val="0"/>
                <w:iCs w:val="0"/>
                <w:smallCaps w:val="0"/>
                <w:color w:val="000000"/>
                <w:kern w:val="0"/>
                <w:sz w:val="26"/>
                <w:szCs w:val="26"/>
              </w:rPr>
            </w:pPr>
          </w:p>
        </w:tc>
        <w:tc>
          <w:tcPr>
            <w:tcW w:w="187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DE6E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p>
        </w:tc>
        <w:tc>
          <w:tcPr>
            <w:tcW w:w="187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E5AF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r>
              <w:rPr>
                <w:rFonts w:ascii="Times New Roman" w:hAnsi="Times New Roman" w:eastAsia="Times New Roman" w:cs="Times New Roman"/>
                <w:b w:val="0"/>
                <w:bCs w:val="0"/>
                <w:i w:val="0"/>
                <w:iCs w:val="0"/>
                <w:smallCaps w:val="0"/>
                <w:color w:val="000000"/>
                <w:kern w:val="0"/>
                <w:sz w:val="26"/>
                <w:szCs w:val="26"/>
              </w:rPr>
              <w:t xml:space="preserve"> </w:t>
            </w:r>
          </w:p>
        </w:tc>
        <w:tc>
          <w:tcPr>
            <w:tcW w:w="187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C25B8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568AACEA">
            <w:pPr>
              <w:rPr>
                <w:rFonts w:ascii="Times New Roman" w:hAnsi="Times New Roman" w:eastAsia="Times New Roman" w:cs="Times New Roman"/>
                <w:b w:val="0"/>
                <w:bCs w:val="0"/>
                <w:i w:val="0"/>
                <w:iCs w:val="0"/>
                <w:smallCaps w:val="0"/>
                <w:color w:val="000000"/>
                <w:kern w:val="0"/>
                <w:sz w:val="26"/>
                <w:szCs w:val="26"/>
              </w:rPr>
            </w:pPr>
          </w:p>
        </w:tc>
      </w:tr>
      <w:tr w14:paraId="6CBDFA8B">
        <w:tblPrEx>
          <w:tblCellMar>
            <w:top w:w="15" w:type="dxa"/>
            <w:left w:w="15" w:type="dxa"/>
            <w:bottom w:w="15" w:type="dxa"/>
            <w:right w:w="15" w:type="dxa"/>
          </w:tblCellMar>
        </w:tblPrEx>
        <w:trPr>
          <w:tblHeader/>
        </w:trPr>
        <w:tc>
          <w:tcPr>
            <w:tcW w:w="1872" w:type="dxa"/>
            <w:vMerge w:val="continue"/>
            <w:tcBorders>
              <w:top w:val="single" w:color="000000" w:sz="6" w:space="0"/>
              <w:left w:val="single" w:color="000000" w:sz="6" w:space="0"/>
              <w:bottom w:val="single" w:color="000000" w:sz="6" w:space="0"/>
              <w:right w:val="single" w:color="000000" w:sz="6" w:space="0"/>
            </w:tcBorders>
            <w:vAlign w:val="center"/>
          </w:tcPr>
          <w:p w14:paraId="5DA09A87">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7FB416D4">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07E93D5C">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2BA17ADC">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03D19341">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1853C438">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6EC8EBE8">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14:paraId="590A6DF4">
            <w:pPr>
              <w:rPr>
                <w:rFonts w:ascii="Times New Roman" w:hAnsi="Times New Roman" w:eastAsia="Times New Roman" w:cs="Times New Roman"/>
                <w:b w:val="0"/>
                <w:bCs w:val="0"/>
                <w:i w:val="0"/>
                <w:iCs w:val="0"/>
                <w:smallCaps w:val="0"/>
                <w:color w:val="000000"/>
                <w:kern w:val="0"/>
                <w:sz w:val="26"/>
                <w:szCs w:val="26"/>
              </w:rPr>
            </w:pPr>
          </w:p>
        </w:tc>
      </w:tr>
      <w:tr w14:paraId="6BD85FAF">
        <w:tblPrEx>
          <w:tblCellMar>
            <w:top w:w="15" w:type="dxa"/>
            <w:left w:w="15" w:type="dxa"/>
            <w:bottom w:w="15" w:type="dxa"/>
            <w:right w:w="15" w:type="dxa"/>
          </w:tblCellMar>
        </w:tblPrEx>
        <w:tc>
          <w:tcPr>
            <w:tcW w:w="37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3DC9A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68BD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BAD8A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2A2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9D53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CBCF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FED0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r>
      <w:tr w14:paraId="47E58F20">
        <w:tblPrEx>
          <w:tblCellMar>
            <w:top w:w="15" w:type="dxa"/>
            <w:left w:w="15" w:type="dxa"/>
            <w:bottom w:w="15" w:type="dxa"/>
            <w:right w:w="15" w:type="dxa"/>
          </w:tblCellMar>
        </w:tblPrEx>
        <w:tc>
          <w:tcPr>
            <w:tcW w:w="374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85B4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E653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AD03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DD0A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BD67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CDEC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BFE5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2413D060">
        <w:tblPrEx>
          <w:tblCellMar>
            <w:top w:w="15" w:type="dxa"/>
            <w:left w:w="15" w:type="dxa"/>
            <w:bottom w:w="15" w:type="dxa"/>
            <w:right w:w="15" w:type="dxa"/>
          </w:tblCellMar>
        </w:tblPrEx>
        <w:tc>
          <w:tcPr>
            <w:tcW w:w="187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7BE18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E54F3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0B51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D1B7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E2B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0757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3098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8DD6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14:paraId="085E061A">
        <w:tblPrEx>
          <w:tblCellMar>
            <w:top w:w="15" w:type="dxa"/>
            <w:left w:w="15" w:type="dxa"/>
            <w:bottom w:w="15" w:type="dxa"/>
            <w:right w:w="15" w:type="dxa"/>
          </w:tblCellMar>
        </w:tblPrEx>
        <w:tc>
          <w:tcPr>
            <w:tcW w:w="14983" w:type="dxa"/>
            <w:gridSpan w:val="8"/>
            <w:noWrap w:val="0"/>
            <w:tcMar>
              <w:top w:w="20" w:type="dxa"/>
              <w:left w:w="20" w:type="dxa"/>
              <w:bottom w:w="20" w:type="dxa"/>
              <w:right w:w="20" w:type="dxa"/>
            </w:tcMar>
            <w:vAlign w:val="center"/>
          </w:tcPr>
          <w:p w14:paraId="39FEE6E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注：本表反映本年度政府性基金预算财政拨款收入、支出及结转和结余情况。</w:t>
            </w:r>
          </w:p>
        </w:tc>
      </w:tr>
    </w:tbl>
    <w:p w14:paraId="6A40C17A">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B24E408">
      <w:pPr>
        <w:pStyle w:val="28"/>
        <w:widowControl/>
        <w:spacing w:before="100" w:after="100"/>
        <w:ind w:left="0" w:right="0" w:firstLine="48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42814E33">
      <w:pPr>
        <w:pStyle w:val="5"/>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61" w:name="_Toc256000108"/>
      <w:bookmarkStart w:id="62" w:name="_Toc256000046"/>
      <w:bookmarkStart w:id="63" w:name="_Toc256000077"/>
      <w:bookmarkStart w:id="64" w:name="_Toc256000015"/>
      <w:r>
        <w:rPr>
          <w:rFonts w:ascii="黑体" w:hAnsi="黑体" w:eastAsia="黑体" w:cs="黑体"/>
          <w:b/>
          <w:spacing w:val="0"/>
        </w:rPr>
        <w:t>九、国有资本经营预算财政拨款支出决算表</w:t>
      </w:r>
      <w:bookmarkEnd w:id="61"/>
      <w:bookmarkEnd w:id="62"/>
      <w:bookmarkEnd w:id="63"/>
      <w:bookmarkEnd w:id="64"/>
    </w:p>
    <w:p w14:paraId="17B3A4FE">
      <w:pPr>
        <w:sectPr>
          <w:footerReference r:id="rId17" w:type="default"/>
          <w:pgSz w:w="16383" w:h="11906" w:orient="landscape"/>
          <w:pgMar w:top="1440" w:right="720" w:bottom="1440" w:left="720" w:header="720" w:footer="720" w:gutter="0"/>
          <w:cols w:space="720" w:num="1"/>
        </w:sectPr>
      </w:pPr>
    </w:p>
    <w:p w14:paraId="7ACDE8F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3543" w:type="dxa"/>
        <w:tblInd w:w="20" w:type="dxa"/>
        <w:tblLayout w:type="fixed"/>
        <w:tblCellMar>
          <w:top w:w="15" w:type="dxa"/>
          <w:left w:w="15" w:type="dxa"/>
          <w:bottom w:w="15" w:type="dxa"/>
          <w:right w:w="15" w:type="dxa"/>
        </w:tblCellMar>
      </w:tblPr>
      <w:tblGrid>
        <w:gridCol w:w="2708"/>
        <w:gridCol w:w="2708"/>
        <w:gridCol w:w="2709"/>
        <w:gridCol w:w="2709"/>
        <w:gridCol w:w="2709"/>
      </w:tblGrid>
      <w:tr w14:paraId="7861FA3C">
        <w:tblPrEx>
          <w:tblCellMar>
            <w:top w:w="15" w:type="dxa"/>
            <w:left w:w="15" w:type="dxa"/>
            <w:bottom w:w="15" w:type="dxa"/>
            <w:right w:w="15" w:type="dxa"/>
          </w:tblCellMar>
        </w:tblPrEx>
        <w:trPr>
          <w:tblHeader/>
        </w:trPr>
        <w:tc>
          <w:tcPr>
            <w:tcW w:w="13543" w:type="dxa"/>
            <w:gridSpan w:val="5"/>
            <w:noWrap w:val="0"/>
            <w:tcMar>
              <w:top w:w="20" w:type="dxa"/>
              <w:left w:w="20" w:type="dxa"/>
              <w:bottom w:w="20" w:type="dxa"/>
              <w:right w:w="20" w:type="dxa"/>
            </w:tcMar>
            <w:vAlign w:val="center"/>
          </w:tcPr>
          <w:p w14:paraId="2EB96489">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国有资本经营预算财政拨款支出决算表</w:t>
            </w:r>
          </w:p>
        </w:tc>
      </w:tr>
      <w:tr w14:paraId="126D4B93">
        <w:tblPrEx>
          <w:tblCellMar>
            <w:top w:w="15" w:type="dxa"/>
            <w:left w:w="15" w:type="dxa"/>
            <w:bottom w:w="15" w:type="dxa"/>
            <w:right w:w="15" w:type="dxa"/>
          </w:tblCellMar>
        </w:tblPrEx>
        <w:trPr>
          <w:tblHeader/>
        </w:trPr>
        <w:tc>
          <w:tcPr>
            <w:tcW w:w="2708"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610C68D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8"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B00A1A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7D3B94B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4C12491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699C3CE5">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6D8E83FB">
        <w:tblPrEx>
          <w:tblCellMar>
            <w:top w:w="15" w:type="dxa"/>
            <w:left w:w="15" w:type="dxa"/>
            <w:bottom w:w="15" w:type="dxa"/>
            <w:right w:w="15" w:type="dxa"/>
          </w:tblCellMar>
        </w:tblPrEx>
        <w:tc>
          <w:tcPr>
            <w:tcW w:w="5416" w:type="dxa"/>
            <w:gridSpan w:val="2"/>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4B89B670">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单位：厦门市湖里区劳动人事争议仲裁院</w:t>
            </w:r>
          </w:p>
        </w:tc>
        <w:tc>
          <w:tcPr>
            <w:tcW w:w="270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0F10EB96">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70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bottom"/>
          </w:tcPr>
          <w:p w14:paraId="33F39D5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9" w:type="dxa"/>
            <w:tcBorders>
              <w:top w:val="single" w:color="D0D7E5" w:sz="6" w:space="0"/>
              <w:left w:val="single" w:color="D0D7E5" w:sz="6" w:space="0"/>
              <w:bottom w:val="single" w:color="D0D7E5" w:sz="6" w:space="0"/>
              <w:right w:val="single" w:color="D0D7E5" w:sz="6" w:space="0"/>
            </w:tcBorders>
            <w:noWrap w:val="0"/>
            <w:tcMar>
              <w:top w:w="22" w:type="dxa"/>
              <w:left w:w="22" w:type="dxa"/>
              <w:bottom w:w="22" w:type="dxa"/>
              <w:right w:w="22" w:type="dxa"/>
            </w:tcMar>
            <w:vAlign w:val="center"/>
          </w:tcPr>
          <w:p w14:paraId="6A1755D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14:paraId="28F5C09E">
        <w:tblPrEx>
          <w:tblCellMar>
            <w:top w:w="15" w:type="dxa"/>
            <w:left w:w="15" w:type="dxa"/>
            <w:bottom w:w="15" w:type="dxa"/>
            <w:right w:w="15" w:type="dxa"/>
          </w:tblCellMar>
        </w:tblPrEx>
        <w:tc>
          <w:tcPr>
            <w:tcW w:w="5416"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F4E47E">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项目</w:t>
            </w:r>
          </w:p>
        </w:tc>
        <w:tc>
          <w:tcPr>
            <w:tcW w:w="812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3CC44E">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本年支出</w:t>
            </w:r>
          </w:p>
        </w:tc>
      </w:tr>
      <w:tr w14:paraId="705ED58A">
        <w:tblPrEx>
          <w:tblCellMar>
            <w:top w:w="15" w:type="dxa"/>
            <w:left w:w="15" w:type="dxa"/>
            <w:bottom w:w="15" w:type="dxa"/>
            <w:right w:w="15" w:type="dxa"/>
          </w:tblCellMar>
        </w:tblPrEx>
        <w:trPr>
          <w:tblHeader/>
        </w:trPr>
        <w:tc>
          <w:tcPr>
            <w:tcW w:w="270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AA43FB">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科目代码</w:t>
            </w:r>
          </w:p>
        </w:tc>
        <w:tc>
          <w:tcPr>
            <w:tcW w:w="270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CF2FD1">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科目名称</w:t>
            </w:r>
          </w:p>
        </w:tc>
        <w:tc>
          <w:tcPr>
            <w:tcW w:w="270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C4E886">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合计</w:t>
            </w:r>
          </w:p>
        </w:tc>
        <w:tc>
          <w:tcPr>
            <w:tcW w:w="270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887750">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基本支出</w:t>
            </w:r>
          </w:p>
        </w:tc>
        <w:tc>
          <w:tcPr>
            <w:tcW w:w="270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1F044F">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项目支出</w:t>
            </w:r>
          </w:p>
        </w:tc>
      </w:tr>
      <w:tr w14:paraId="2A533258">
        <w:tblPrEx>
          <w:tblCellMar>
            <w:top w:w="15" w:type="dxa"/>
            <w:left w:w="15" w:type="dxa"/>
            <w:bottom w:w="15" w:type="dxa"/>
            <w:right w:w="15" w:type="dxa"/>
          </w:tblCellMar>
        </w:tblPrEx>
        <w:trPr>
          <w:tblHeader/>
        </w:trPr>
        <w:tc>
          <w:tcPr>
            <w:tcW w:w="2708" w:type="dxa"/>
            <w:vMerge w:val="continue"/>
            <w:tcBorders>
              <w:top w:val="single" w:color="000000" w:sz="6" w:space="0"/>
              <w:left w:val="single" w:color="000000" w:sz="6" w:space="0"/>
              <w:bottom w:val="single" w:color="000000" w:sz="6" w:space="0"/>
              <w:right w:val="single" w:color="000000" w:sz="6" w:space="0"/>
            </w:tcBorders>
            <w:vAlign w:val="center"/>
          </w:tcPr>
          <w:p w14:paraId="43228ECB">
            <w:pPr>
              <w:rPr>
                <w:rFonts w:ascii="Times New Roman" w:hAnsi="Times New Roman" w:eastAsia="Times New Roman" w:cs="Times New Roman"/>
                <w:b w:val="0"/>
                <w:bCs w:val="0"/>
                <w:i w:val="0"/>
                <w:iCs w:val="0"/>
                <w:smallCaps w:val="0"/>
                <w:color w:val="000000"/>
                <w:kern w:val="0"/>
                <w:sz w:val="29"/>
                <w:szCs w:val="29"/>
              </w:rPr>
            </w:pPr>
          </w:p>
        </w:tc>
        <w:tc>
          <w:tcPr>
            <w:tcW w:w="2708" w:type="dxa"/>
            <w:vMerge w:val="continue"/>
            <w:tcBorders>
              <w:top w:val="single" w:color="000000" w:sz="6" w:space="0"/>
              <w:left w:val="single" w:color="000000" w:sz="6" w:space="0"/>
              <w:bottom w:val="single" w:color="000000" w:sz="6" w:space="0"/>
              <w:right w:val="single" w:color="000000" w:sz="6" w:space="0"/>
            </w:tcBorders>
            <w:vAlign w:val="center"/>
          </w:tcPr>
          <w:p w14:paraId="793985EF">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14:paraId="113C614F">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14:paraId="4448D927">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14:paraId="6361AC3D">
            <w:pPr>
              <w:rPr>
                <w:rFonts w:ascii="Times New Roman" w:hAnsi="Times New Roman" w:eastAsia="Times New Roman" w:cs="Times New Roman"/>
                <w:b w:val="0"/>
                <w:bCs w:val="0"/>
                <w:i w:val="0"/>
                <w:iCs w:val="0"/>
                <w:smallCaps w:val="0"/>
                <w:color w:val="000000"/>
                <w:kern w:val="0"/>
                <w:sz w:val="29"/>
                <w:szCs w:val="29"/>
              </w:rPr>
            </w:pPr>
          </w:p>
        </w:tc>
      </w:tr>
      <w:tr w14:paraId="2E2E9DDC">
        <w:tblPrEx>
          <w:tblCellMar>
            <w:top w:w="15" w:type="dxa"/>
            <w:left w:w="15" w:type="dxa"/>
            <w:bottom w:w="15" w:type="dxa"/>
            <w:right w:w="15" w:type="dxa"/>
          </w:tblCellMar>
        </w:tblPrEx>
        <w:trPr>
          <w:tblHeader/>
        </w:trPr>
        <w:tc>
          <w:tcPr>
            <w:tcW w:w="2708" w:type="dxa"/>
            <w:vMerge w:val="continue"/>
            <w:tcBorders>
              <w:top w:val="single" w:color="000000" w:sz="6" w:space="0"/>
              <w:left w:val="single" w:color="000000" w:sz="6" w:space="0"/>
              <w:bottom w:val="single" w:color="000000" w:sz="6" w:space="0"/>
              <w:right w:val="single" w:color="000000" w:sz="6" w:space="0"/>
            </w:tcBorders>
            <w:vAlign w:val="center"/>
          </w:tcPr>
          <w:p w14:paraId="2B2FBCDF">
            <w:pPr>
              <w:rPr>
                <w:rFonts w:ascii="Times New Roman" w:hAnsi="Times New Roman" w:eastAsia="Times New Roman" w:cs="Times New Roman"/>
                <w:b w:val="0"/>
                <w:bCs w:val="0"/>
                <w:i w:val="0"/>
                <w:iCs w:val="0"/>
                <w:smallCaps w:val="0"/>
                <w:color w:val="000000"/>
                <w:kern w:val="0"/>
                <w:sz w:val="29"/>
                <w:szCs w:val="29"/>
              </w:rPr>
            </w:pPr>
          </w:p>
        </w:tc>
        <w:tc>
          <w:tcPr>
            <w:tcW w:w="2708" w:type="dxa"/>
            <w:vMerge w:val="continue"/>
            <w:tcBorders>
              <w:top w:val="single" w:color="000000" w:sz="6" w:space="0"/>
              <w:left w:val="single" w:color="000000" w:sz="6" w:space="0"/>
              <w:bottom w:val="single" w:color="000000" w:sz="6" w:space="0"/>
              <w:right w:val="single" w:color="000000" w:sz="6" w:space="0"/>
            </w:tcBorders>
            <w:vAlign w:val="center"/>
          </w:tcPr>
          <w:p w14:paraId="36F51A8C">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14:paraId="6331A38A">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14:paraId="498D340E">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14:paraId="5C206A67">
            <w:pPr>
              <w:rPr>
                <w:rFonts w:ascii="Times New Roman" w:hAnsi="Times New Roman" w:eastAsia="Times New Roman" w:cs="Times New Roman"/>
                <w:b w:val="0"/>
                <w:bCs w:val="0"/>
                <w:i w:val="0"/>
                <w:iCs w:val="0"/>
                <w:smallCaps w:val="0"/>
                <w:color w:val="000000"/>
                <w:kern w:val="0"/>
                <w:sz w:val="29"/>
                <w:szCs w:val="29"/>
              </w:rPr>
            </w:pPr>
          </w:p>
        </w:tc>
      </w:tr>
      <w:tr w14:paraId="0E8BDA57">
        <w:tblPrEx>
          <w:tblCellMar>
            <w:top w:w="15" w:type="dxa"/>
            <w:left w:w="15" w:type="dxa"/>
            <w:bottom w:w="15" w:type="dxa"/>
            <w:right w:w="15" w:type="dxa"/>
          </w:tblCellMar>
        </w:tblPrEx>
        <w:tc>
          <w:tcPr>
            <w:tcW w:w="5416"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62DE12">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栏次</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7AB6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085A1">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8EE579">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w:t>
            </w:r>
          </w:p>
        </w:tc>
      </w:tr>
      <w:tr w14:paraId="7DDD042E">
        <w:tblPrEx>
          <w:tblCellMar>
            <w:top w:w="15" w:type="dxa"/>
            <w:left w:w="15" w:type="dxa"/>
            <w:bottom w:w="15" w:type="dxa"/>
            <w:right w:w="15" w:type="dxa"/>
          </w:tblCellMar>
        </w:tblPrEx>
        <w:tc>
          <w:tcPr>
            <w:tcW w:w="5416"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26F6E3">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合计</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894DBC">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5D592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835BC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1D81CF1D">
        <w:tblPrEx>
          <w:tblCellMar>
            <w:top w:w="15" w:type="dxa"/>
            <w:left w:w="15" w:type="dxa"/>
            <w:bottom w:w="15" w:type="dxa"/>
            <w:right w:w="15" w:type="dxa"/>
          </w:tblCellMar>
        </w:tblPrEx>
        <w:tc>
          <w:tcPr>
            <w:tcW w:w="270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F4B275">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F1A1F0">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9FB679">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46A06">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A3F44A">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14:paraId="738D1E53">
        <w:tblPrEx>
          <w:tblCellMar>
            <w:top w:w="15" w:type="dxa"/>
            <w:left w:w="15" w:type="dxa"/>
            <w:bottom w:w="15" w:type="dxa"/>
            <w:right w:w="15" w:type="dxa"/>
          </w:tblCellMar>
        </w:tblPrEx>
        <w:tc>
          <w:tcPr>
            <w:tcW w:w="13543" w:type="dxa"/>
            <w:gridSpan w:val="5"/>
            <w:noWrap w:val="0"/>
            <w:tcMar>
              <w:top w:w="20" w:type="dxa"/>
              <w:left w:w="20" w:type="dxa"/>
              <w:bottom w:w="20" w:type="dxa"/>
              <w:right w:w="20" w:type="dxa"/>
            </w:tcMar>
            <w:vAlign w:val="center"/>
          </w:tcPr>
          <w:p w14:paraId="4D7C13B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注：本表反映本年度国有资本经营预算财政拨款支出情况。</w:t>
            </w:r>
          </w:p>
        </w:tc>
      </w:tr>
    </w:tbl>
    <w:p w14:paraId="1258EBCD">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14FBFE1D">
      <w:pPr>
        <w:pStyle w:val="28"/>
        <w:widowControl/>
        <w:spacing w:before="240" w:after="240"/>
        <w:jc w:val="left"/>
        <w:rPr>
          <w:rFonts w:ascii="Times New Roman" w:hAnsi="Times New Roman" w:eastAsia="Times New Roman" w:cs="Times New Roman"/>
          <w:kern w:val="0"/>
          <w:sz w:val="24"/>
        </w:rPr>
      </w:pPr>
      <w:r>
        <w:rPr>
          <w:rFonts w:ascii="Calibri" w:hAnsi="Calibri" w:eastAsia="Calibri" w:cs="Calibri"/>
          <w:spacing w:val="0"/>
          <w:kern w:val="0"/>
          <w:sz w:val="56"/>
          <w:szCs w:val="56"/>
        </w:rPr>
        <w:t> </w:t>
      </w:r>
    </w:p>
    <w:p w14:paraId="21880FD2">
      <w:pPr>
        <w:pStyle w:val="28"/>
        <w:widowControl/>
        <w:spacing w:before="240" w:after="240"/>
        <w:jc w:val="left"/>
        <w:rPr>
          <w:rFonts w:ascii="Times New Roman" w:hAnsi="Times New Roman" w:eastAsia="Times New Roman" w:cs="Times New Roman"/>
          <w:kern w:val="0"/>
          <w:sz w:val="24"/>
        </w:rPr>
        <w:sectPr>
          <w:footerReference r:id="rId18" w:type="default"/>
          <w:pgSz w:w="16383" w:h="11906" w:orient="landscape"/>
          <w:pgMar w:top="1440" w:right="1800" w:bottom="1440" w:left="1800" w:header="720" w:footer="720" w:gutter="0"/>
          <w:cols w:space="720" w:num="1"/>
        </w:sectPr>
      </w:pPr>
    </w:p>
    <w:p w14:paraId="4DB95289">
      <w:pPr>
        <w:pStyle w:val="28"/>
        <w:widowControl/>
        <w:spacing w:before="240" w:after="240"/>
        <w:jc w:val="left"/>
        <w:rPr>
          <w:rFonts w:ascii="Times New Roman" w:hAnsi="Times New Roman" w:eastAsia="Times New Roman" w:cs="Times New Roman"/>
          <w:kern w:val="0"/>
          <w:sz w:val="24"/>
        </w:rPr>
      </w:pPr>
    </w:p>
    <w:p w14:paraId="3EE5EE08">
      <w:pPr>
        <w:pStyle w:val="28"/>
        <w:widowControl/>
        <w:spacing w:before="240" w:after="240"/>
        <w:jc w:val="left"/>
        <w:rPr>
          <w:rFonts w:ascii="Times New Roman" w:hAnsi="Times New Roman" w:eastAsia="Times New Roman" w:cs="Times New Roman"/>
          <w:kern w:val="0"/>
          <w:sz w:val="24"/>
        </w:rPr>
      </w:pPr>
    </w:p>
    <w:p w14:paraId="58EDF345">
      <w:pPr>
        <w:pStyle w:val="28"/>
        <w:widowControl/>
        <w:spacing w:before="240" w:after="240"/>
        <w:jc w:val="left"/>
        <w:rPr>
          <w:rFonts w:ascii="Times New Roman" w:hAnsi="Times New Roman" w:eastAsia="Times New Roman" w:cs="Times New Roman"/>
          <w:kern w:val="0"/>
          <w:sz w:val="24"/>
        </w:rPr>
      </w:pPr>
    </w:p>
    <w:p w14:paraId="13B9647F">
      <w:pPr>
        <w:pStyle w:val="28"/>
        <w:widowControl/>
        <w:spacing w:before="240" w:after="240"/>
        <w:jc w:val="left"/>
        <w:rPr>
          <w:rFonts w:ascii="Times New Roman" w:hAnsi="Times New Roman" w:eastAsia="Times New Roman" w:cs="Times New Roman"/>
          <w:kern w:val="0"/>
          <w:sz w:val="24"/>
        </w:rPr>
      </w:pPr>
    </w:p>
    <w:p w14:paraId="47A807EE">
      <w:pPr>
        <w:pStyle w:val="28"/>
        <w:widowControl/>
        <w:spacing w:before="240" w:after="240"/>
        <w:jc w:val="left"/>
        <w:rPr>
          <w:rFonts w:ascii="Times New Roman" w:hAnsi="Times New Roman" w:eastAsia="Times New Roman" w:cs="Times New Roman"/>
          <w:kern w:val="0"/>
          <w:sz w:val="24"/>
        </w:rPr>
      </w:pPr>
    </w:p>
    <w:p w14:paraId="736ACCA9">
      <w:pPr>
        <w:pStyle w:val="28"/>
        <w:widowControl/>
        <w:spacing w:before="240" w:after="240"/>
        <w:jc w:val="left"/>
        <w:rPr>
          <w:rFonts w:ascii="Times New Roman" w:hAnsi="Times New Roman" w:eastAsia="Times New Roman" w:cs="Times New Roman"/>
          <w:kern w:val="0"/>
          <w:sz w:val="24"/>
        </w:rPr>
      </w:pPr>
    </w:p>
    <w:p w14:paraId="7187572B">
      <w:pPr>
        <w:pStyle w:val="28"/>
        <w:widowControl/>
        <w:spacing w:before="240" w:after="240"/>
        <w:jc w:val="left"/>
        <w:rPr>
          <w:rFonts w:ascii="Times New Roman" w:hAnsi="Times New Roman" w:eastAsia="Times New Roman" w:cs="Times New Roman"/>
          <w:kern w:val="0"/>
          <w:sz w:val="24"/>
        </w:rPr>
      </w:pPr>
    </w:p>
    <w:p w14:paraId="0F42C1B5">
      <w:pPr>
        <w:pStyle w:val="28"/>
        <w:widowControl/>
        <w:spacing w:before="240" w:after="240"/>
        <w:jc w:val="left"/>
        <w:rPr>
          <w:rFonts w:ascii="Times New Roman" w:hAnsi="Times New Roman" w:eastAsia="Times New Roman" w:cs="Times New Roman"/>
          <w:kern w:val="0"/>
          <w:sz w:val="24"/>
        </w:rPr>
      </w:pPr>
    </w:p>
    <w:p w14:paraId="45FA41FC">
      <w:pPr>
        <w:pStyle w:val="3"/>
        <w:keepNext w:val="0"/>
        <w:keepLines w:val="0"/>
        <w:spacing w:before="100" w:after="100" w:line="240" w:lineRule="auto"/>
        <w:ind w:left="0" w:right="0" w:firstLine="0" w:firstLineChars="0"/>
        <w:rPr>
          <w:rFonts w:ascii="Times New Roman" w:hAnsi="Times New Roman" w:eastAsia="Times New Roman" w:cs="Times New Roman"/>
          <w:b/>
          <w:bCs/>
          <w:kern w:val="0"/>
          <w:sz w:val="36"/>
          <w:szCs w:val="36"/>
        </w:rPr>
      </w:pPr>
      <w:bookmarkStart w:id="65" w:name="_Toc256000016"/>
      <w:bookmarkStart w:id="66" w:name="_Toc256000109"/>
      <w:bookmarkStart w:id="67" w:name="_Toc256000078"/>
      <w:bookmarkStart w:id="68" w:name="_Toc256000047"/>
      <w:r>
        <w:rPr>
          <w:rFonts w:ascii="黑体" w:hAnsi="黑体" w:eastAsia="黑体" w:cs="黑体"/>
          <w:b/>
          <w:spacing w:val="0"/>
          <w:sz w:val="56"/>
          <w:szCs w:val="56"/>
        </w:rPr>
        <w:t>第三部分</w:t>
      </w:r>
      <w:bookmarkEnd w:id="65"/>
      <w:bookmarkEnd w:id="66"/>
      <w:bookmarkEnd w:id="67"/>
      <w:bookmarkEnd w:id="68"/>
      <w:r>
        <w:rPr>
          <w:rFonts w:ascii="宋体" w:hAnsi="宋体" w:eastAsia="宋体" w:cs="宋体"/>
          <w:b/>
          <w:spacing w:val="0"/>
          <w:sz w:val="56"/>
          <w:szCs w:val="56"/>
        </w:rPr>
        <w:t> </w:t>
      </w:r>
    </w:p>
    <w:p w14:paraId="478C0472">
      <w:pPr>
        <w:pStyle w:val="3"/>
        <w:keepNext w:val="0"/>
        <w:keepLines w:val="0"/>
        <w:spacing w:before="100" w:after="100" w:line="600" w:lineRule="atLeast"/>
        <w:ind w:left="0" w:right="0" w:firstLine="0" w:firstLineChars="0"/>
        <w:jc w:val="center"/>
        <w:rPr>
          <w:rFonts w:ascii="Times New Roman" w:hAnsi="Times New Roman" w:eastAsia="Times New Roman" w:cs="Times New Roman"/>
          <w:b/>
          <w:bCs/>
          <w:kern w:val="0"/>
          <w:sz w:val="36"/>
          <w:szCs w:val="36"/>
        </w:rPr>
      </w:pPr>
      <w:bookmarkStart w:id="69" w:name="_Toc256000048"/>
      <w:bookmarkStart w:id="70" w:name="_Toc256000110"/>
      <w:bookmarkStart w:id="71" w:name="_Toc256000079"/>
      <w:bookmarkStart w:id="72" w:name="_Toc256000017"/>
      <w:r>
        <w:rPr>
          <w:rFonts w:ascii="黑体" w:hAnsi="黑体" w:eastAsia="黑体" w:cs="黑体"/>
          <w:b/>
          <w:spacing w:val="0"/>
          <w:sz w:val="56"/>
          <w:szCs w:val="56"/>
        </w:rPr>
        <w:t>2024年度决算情况说明</w:t>
      </w:r>
      <w:bookmarkEnd w:id="69"/>
      <w:bookmarkEnd w:id="70"/>
      <w:bookmarkEnd w:id="71"/>
      <w:bookmarkEnd w:id="72"/>
    </w:p>
    <w:p w14:paraId="4666BAC6">
      <w:pPr>
        <w:pStyle w:val="28"/>
        <w:widowControl/>
        <w:spacing w:before="100" w:after="100" w:line="600" w:lineRule="atLeast"/>
        <w:ind w:left="0" w:right="0" w:firstLine="0"/>
        <w:jc w:val="center"/>
        <w:rPr>
          <w:rFonts w:ascii="Times New Roman" w:hAnsi="Times New Roman" w:eastAsia="Times New Roman" w:cs="Times New Roman"/>
          <w:kern w:val="0"/>
          <w:sz w:val="24"/>
        </w:rPr>
      </w:pPr>
    </w:p>
    <w:p w14:paraId="200ABB48">
      <w:pPr>
        <w:sectPr>
          <w:footerReference r:id="rId19" w:type="default"/>
          <w:pgSz w:w="11906" w:h="16838"/>
          <w:pgMar w:top="1440" w:right="720" w:bottom="1440" w:left="720" w:header="720" w:footer="720" w:gutter="0"/>
          <w:cols w:space="720" w:num="1"/>
        </w:sectPr>
      </w:pPr>
    </w:p>
    <w:p w14:paraId="2FB4DC4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F2286A1">
      <w:pPr>
        <w:widowControl/>
        <w:spacing w:before="240" w:after="240"/>
        <w:jc w:val="left"/>
        <w:rPr>
          <w:rFonts w:ascii="Times New Roman" w:hAnsi="Times New Roman" w:eastAsia="Times New Roman" w:cs="Times New Roman"/>
          <w:kern w:val="0"/>
          <w:sz w:val="24"/>
        </w:rPr>
      </w:pPr>
    </w:p>
    <w:p w14:paraId="6971E912">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73" w:name="_Toc256000111"/>
      <w:bookmarkStart w:id="74" w:name="_Toc256000049"/>
      <w:bookmarkStart w:id="75" w:name="_Toc256000080"/>
      <w:bookmarkStart w:id="76" w:name="_Toc256000018"/>
      <w:r>
        <w:rPr>
          <w:rFonts w:ascii="黑体" w:hAnsi="黑体" w:eastAsia="黑体" w:cs="黑体"/>
          <w:b/>
          <w:spacing w:val="0"/>
        </w:rPr>
        <w:t>一、收入支出决算总体情况说明</w:t>
      </w:r>
      <w:bookmarkEnd w:id="73"/>
      <w:bookmarkEnd w:id="74"/>
      <w:bookmarkEnd w:id="75"/>
      <w:bookmarkEnd w:id="76"/>
    </w:p>
    <w:p w14:paraId="318BBC99">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（一）收入支出决算总体情况说明</w:t>
      </w:r>
    </w:p>
    <w:p w14:paraId="09334CA5">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本单位收入总计607.60万元，支出总计607.60万元，与上年决算数相比，各增加42.26万元，各增长7.47%。主要是新增2024年湖里区创新园基层劳动关系公共服务站项目、裁审衔接工作现场视频摄制与制作费用、劳动关系数字调节云建设。</w:t>
      </w:r>
    </w:p>
    <w:p w14:paraId="677A0E4E">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（二）收入决算情况说明</w:t>
      </w:r>
    </w:p>
    <w:p w14:paraId="770A744A">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2024年度收入607.60万元，比上年决算数</w:t>
      </w:r>
      <w:r>
        <w:rPr>
          <w:rFonts w:ascii="仿宋" w:hAnsi="仿宋" w:eastAsia="仿宋" w:cs="仿宋"/>
          <w:kern w:val="0"/>
          <w:sz w:val="32"/>
          <w:szCs w:val="32"/>
        </w:rPr>
        <w:t>增加</w:t>
      </w:r>
      <w:r>
        <w:rPr>
          <w:rFonts w:ascii="仿宋" w:hAnsi="仿宋" w:eastAsia="仿宋" w:cs="仿宋"/>
          <w:spacing w:val="0"/>
          <w:kern w:val="0"/>
          <w:sz w:val="32"/>
          <w:szCs w:val="32"/>
        </w:rPr>
        <w:t>42.26万元，</w:t>
      </w:r>
      <w:r>
        <w:rPr>
          <w:rFonts w:ascii="仿宋" w:hAnsi="仿宋" w:eastAsia="仿宋" w:cs="仿宋"/>
          <w:kern w:val="0"/>
          <w:sz w:val="32"/>
          <w:szCs w:val="32"/>
        </w:rPr>
        <w:t>增长</w:t>
      </w:r>
      <w:r>
        <w:rPr>
          <w:rFonts w:ascii="仿宋" w:hAnsi="仿宋" w:eastAsia="仿宋" w:cs="仿宋"/>
          <w:spacing w:val="0"/>
          <w:kern w:val="0"/>
          <w:sz w:val="32"/>
          <w:szCs w:val="32"/>
        </w:rPr>
        <w:t>7.47%，具体情况如下：</w:t>
      </w:r>
    </w:p>
    <w:p w14:paraId="231080C5">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1.一般公共预算财政拨款收入607.60万元。</w:t>
      </w:r>
    </w:p>
    <w:p w14:paraId="16EEAF58">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2.政府性基金预算财政拨款收入0万元。</w:t>
      </w:r>
    </w:p>
    <w:p w14:paraId="48560A8C">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3.国有资本经营预算财政拨款收入0万元。</w:t>
      </w:r>
    </w:p>
    <w:p w14:paraId="42C3E31F">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4.上级补助收入0万元。</w:t>
      </w:r>
    </w:p>
    <w:p w14:paraId="6DC1EE46">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5.事业收入0万元。</w:t>
      </w:r>
    </w:p>
    <w:p w14:paraId="6E139977">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6.经营收入0万元。</w:t>
      </w:r>
    </w:p>
    <w:p w14:paraId="3BD7724E">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7.附属单位上缴收入0万元。</w:t>
      </w:r>
    </w:p>
    <w:p w14:paraId="045ABE29">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8.其他收入0万元。</w:t>
      </w:r>
    </w:p>
    <w:p w14:paraId="44882B18">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（三）支出决算情况说明</w:t>
      </w:r>
    </w:p>
    <w:p w14:paraId="50FAE1D3">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2024年度支出607.60万元，比上年决算数增加42.26万元，增长7.47%，具体情况如下：</w:t>
      </w:r>
    </w:p>
    <w:p w14:paraId="5DC95E6D">
      <w:pPr>
        <w:pStyle w:val="28"/>
        <w:widowControl/>
        <w:spacing w:before="100" w:after="100" w:line="600" w:lineRule="atLeast"/>
        <w:ind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1.基本支出358.77万元。其中，人员支出339.28万元，公用支出19.49万元。</w:t>
      </w:r>
    </w:p>
    <w:p w14:paraId="3851C91C">
      <w:pPr>
        <w:pStyle w:val="28"/>
        <w:widowControl/>
        <w:spacing w:before="240" w:after="240"/>
        <w:ind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2.项目支出248.83万元。</w:t>
      </w:r>
    </w:p>
    <w:p w14:paraId="62BF9108">
      <w:pPr>
        <w:pStyle w:val="28"/>
        <w:widowControl/>
        <w:spacing w:before="100" w:after="100" w:line="600" w:lineRule="atLeast"/>
        <w:ind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3.上缴上级支出0万元。</w:t>
      </w:r>
    </w:p>
    <w:p w14:paraId="40A1CC34">
      <w:pPr>
        <w:pStyle w:val="28"/>
        <w:widowControl/>
        <w:spacing w:before="100" w:after="100" w:line="600" w:lineRule="atLeast"/>
        <w:ind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4.经营支出0万元。</w:t>
      </w:r>
    </w:p>
    <w:p w14:paraId="1D6AB6DB">
      <w:pPr>
        <w:pStyle w:val="28"/>
        <w:widowControl/>
        <w:spacing w:before="100" w:after="100" w:line="600" w:lineRule="atLeast"/>
        <w:ind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5.对附属单位补助支出0万元。</w:t>
      </w:r>
    </w:p>
    <w:p w14:paraId="65F31C0E">
      <w:pPr>
        <w:pStyle w:val="5"/>
        <w:keepNext w:val="0"/>
        <w:keepLines w:val="0"/>
        <w:spacing w:before="100" w:after="100" w:line="240" w:lineRule="auto"/>
        <w:ind w:left="0" w:right="0" w:firstLine="480" w:firstLineChars="0"/>
        <w:rPr>
          <w:rFonts w:ascii="Times New Roman" w:hAnsi="Times New Roman" w:eastAsia="Times New Roman" w:cs="Times New Roman"/>
          <w:b/>
          <w:bCs/>
          <w:kern w:val="0"/>
          <w:sz w:val="28"/>
          <w:szCs w:val="28"/>
        </w:rPr>
      </w:pPr>
      <w:bookmarkStart w:id="77" w:name="_Toc256000019"/>
      <w:bookmarkStart w:id="78" w:name="_Toc256000081"/>
      <w:bookmarkStart w:id="79" w:name="_Toc256000050"/>
      <w:bookmarkStart w:id="80" w:name="_Toc256000112"/>
      <w:r>
        <w:rPr>
          <w:rFonts w:ascii="黑体" w:hAnsi="黑体" w:eastAsia="黑体" w:cs="黑体"/>
          <w:b/>
          <w:spacing w:val="0"/>
        </w:rPr>
        <w:t>二、财政拨款收入支出决算总体情况说明</w:t>
      </w:r>
      <w:bookmarkEnd w:id="77"/>
      <w:bookmarkEnd w:id="78"/>
      <w:bookmarkEnd w:id="79"/>
      <w:bookmarkEnd w:id="80"/>
    </w:p>
    <w:p w14:paraId="01CA0503">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财政拨款收入总计607.60万元，支出总计607.60万元，与上年决算数相比，各增加42.26万元，增长7.47%，主要是：新增2024年湖里区创新园基层劳动关系公共服务站项目、裁审衔接工作现场视频摄制与制作费用、劳动关系数字调节云建设。</w:t>
      </w:r>
    </w:p>
    <w:p w14:paraId="54D6F3D3">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1" w:name="_Toc256000020"/>
      <w:bookmarkStart w:id="82" w:name="_Toc256000051"/>
      <w:bookmarkStart w:id="83" w:name="_Toc256000113"/>
      <w:bookmarkStart w:id="84" w:name="_Toc256000082"/>
      <w:r>
        <w:rPr>
          <w:rFonts w:ascii="黑体" w:hAnsi="黑体" w:eastAsia="黑体" w:cs="黑体"/>
          <w:b/>
          <w:spacing w:val="0"/>
        </w:rPr>
        <w:t>三、一般公共预算拨款支出决算情况说明</w:t>
      </w:r>
      <w:bookmarkEnd w:id="81"/>
      <w:bookmarkEnd w:id="82"/>
      <w:bookmarkEnd w:id="83"/>
      <w:bookmarkEnd w:id="84"/>
    </w:p>
    <w:p w14:paraId="6887EE30">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2024年一般公共预算支出607.60万元，比上年决算数增加42.26万元，增长7.47%，具体情况如下(按</w:t>
      </w:r>
      <w:r>
        <w:rPr>
          <w:rStyle w:val="30"/>
          <w:rFonts w:ascii="仿宋" w:hAnsi="仿宋" w:eastAsia="仿宋" w:cs="仿宋"/>
          <w:spacing w:val="0"/>
          <w:kern w:val="0"/>
          <w:sz w:val="32"/>
          <w:szCs w:val="32"/>
        </w:rPr>
        <w:t>项级科目</w:t>
      </w:r>
      <w:r>
        <w:rPr>
          <w:rFonts w:ascii="仿宋" w:hAnsi="仿宋" w:eastAsia="仿宋" w:cs="仿宋"/>
          <w:spacing w:val="0"/>
          <w:kern w:val="0"/>
          <w:sz w:val="32"/>
          <w:szCs w:val="32"/>
        </w:rPr>
        <w:t>分类统计)：</w:t>
      </w:r>
    </w:p>
    <w:p w14:paraId="5EE12C17">
      <w:pPr>
        <w:pStyle w:val="28"/>
        <w:widowControl/>
        <w:spacing w:before="100" w:after="100" w:line="600" w:lineRule="atLeast"/>
        <w:ind w:left="0" w:right="0" w:firstLine="640" w:firstLineChars="200"/>
        <w:jc w:val="left"/>
        <w:rPr>
          <w:rFonts w:ascii="Times New Roman" w:hAnsi="Times New Roman" w:eastAsia="Times New Roman" w:cs="Times New Roman"/>
          <w:kern w:val="0"/>
          <w:sz w:val="24"/>
        </w:rPr>
      </w:pPr>
      <w:r>
        <w:rPr>
          <w:rFonts w:ascii="仿宋" w:hAnsi="仿宋" w:eastAsia="仿宋" w:cs="仿宋"/>
          <w:spacing w:val="0"/>
          <w:kern w:val="0"/>
          <w:sz w:val="32"/>
          <w:szCs w:val="32"/>
        </w:rPr>
        <w:t>（一）2080102 一般行政管理事务52.90万元，较上年决算数增加52.90万元，增长100%。主要原因是</w:t>
      </w:r>
      <w:r>
        <w:rPr>
          <w:rFonts w:hint="eastAsia" w:ascii="仿宋" w:hAnsi="仿宋" w:eastAsia="仿宋" w:cs="仿宋"/>
          <w:spacing w:val="0"/>
          <w:kern w:val="0"/>
          <w:sz w:val="32"/>
          <w:szCs w:val="32"/>
          <w:lang w:eastAsia="zh-CN"/>
        </w:rPr>
        <w:t>新增劳动争议预防和调解工作、全国裁审衔接现场会专项经费支出。</w:t>
      </w:r>
      <w:r>
        <w:rPr>
          <w:rFonts w:ascii="仿宋" w:hAnsi="仿宋" w:eastAsia="仿宋" w:cs="仿宋"/>
          <w:spacing w:val="0"/>
          <w:kern w:val="0"/>
          <w:sz w:val="32"/>
          <w:szCs w:val="32"/>
        </w:rPr>
        <w:br w:type="textWrapping"/>
      </w:r>
      <w:r>
        <w:rPr>
          <w:rFonts w:hint="eastAsia" w:ascii="仿宋" w:hAnsi="仿宋" w:eastAsia="仿宋" w:cs="仿宋"/>
          <w:spacing w:val="0"/>
          <w:kern w:val="0"/>
          <w:sz w:val="32"/>
          <w:szCs w:val="32"/>
          <w:lang w:val="en-US" w:eastAsia="zh-CN"/>
        </w:rPr>
        <w:t xml:space="preserve">    </w:t>
      </w:r>
      <w:r>
        <w:rPr>
          <w:rFonts w:ascii="仿宋" w:hAnsi="仿宋" w:eastAsia="仿宋" w:cs="仿宋"/>
          <w:spacing w:val="0"/>
          <w:kern w:val="0"/>
          <w:sz w:val="32"/>
          <w:szCs w:val="32"/>
        </w:rPr>
        <w:t>（二）2080112 劳动人事争议调解仲裁496.72万元，较上年决算数减少7.88万元，下降1.56%。主要原因是</w:t>
      </w:r>
      <w:r>
        <w:rPr>
          <w:rFonts w:hint="eastAsia" w:ascii="仿宋" w:hAnsi="仿宋" w:eastAsia="仿宋" w:cs="仿宋"/>
          <w:spacing w:val="0"/>
          <w:kern w:val="0"/>
          <w:sz w:val="32"/>
          <w:szCs w:val="32"/>
          <w:lang w:eastAsia="zh-CN"/>
        </w:rPr>
        <w:t>项目支出减少。</w:t>
      </w:r>
      <w:r>
        <w:rPr>
          <w:rFonts w:ascii="仿宋" w:hAnsi="仿宋" w:eastAsia="仿宋" w:cs="仿宋"/>
          <w:spacing w:val="0"/>
          <w:kern w:val="0"/>
          <w:sz w:val="32"/>
          <w:szCs w:val="32"/>
        </w:rPr>
        <w:br w:type="textWrapping"/>
      </w:r>
      <w:r>
        <w:rPr>
          <w:rFonts w:hint="eastAsia" w:ascii="仿宋" w:hAnsi="仿宋" w:eastAsia="仿宋" w:cs="仿宋"/>
          <w:spacing w:val="0"/>
          <w:kern w:val="0"/>
          <w:sz w:val="32"/>
          <w:szCs w:val="32"/>
          <w:lang w:val="en-US" w:eastAsia="zh-CN"/>
        </w:rPr>
        <w:t xml:space="preserve">    </w:t>
      </w:r>
      <w:r>
        <w:rPr>
          <w:rFonts w:ascii="仿宋" w:hAnsi="仿宋" w:eastAsia="仿宋" w:cs="仿宋"/>
          <w:spacing w:val="0"/>
          <w:kern w:val="0"/>
          <w:sz w:val="32"/>
          <w:szCs w:val="32"/>
        </w:rPr>
        <w:t>（三）2080505 机关事业单位基本养老保险缴费支出27.01万元，较上年决算数减少1.28万元，下降4.54%。主要原因是</w:t>
      </w:r>
      <w:r>
        <w:rPr>
          <w:rFonts w:hint="eastAsia" w:ascii="仿宋" w:hAnsi="仿宋" w:eastAsia="仿宋" w:cs="仿宋"/>
          <w:spacing w:val="0"/>
          <w:kern w:val="0"/>
          <w:sz w:val="32"/>
          <w:szCs w:val="32"/>
          <w:lang w:eastAsia="zh-CN"/>
        </w:rPr>
        <w:t>下半年在编人员调任</w:t>
      </w:r>
      <w:r>
        <w:rPr>
          <w:rFonts w:hint="eastAsia" w:ascii="仿宋" w:hAnsi="仿宋" w:eastAsia="仿宋" w:cs="仿宋"/>
          <w:spacing w:val="0"/>
          <w:kern w:val="0"/>
          <w:sz w:val="32"/>
          <w:szCs w:val="32"/>
          <w:lang w:val="en-US" w:eastAsia="zh-CN"/>
        </w:rPr>
        <w:t>1人，费用支出减少。</w:t>
      </w:r>
      <w:r>
        <w:rPr>
          <w:rFonts w:ascii="仿宋" w:hAnsi="仿宋" w:eastAsia="仿宋" w:cs="仿宋"/>
          <w:spacing w:val="0"/>
          <w:kern w:val="0"/>
          <w:sz w:val="32"/>
          <w:szCs w:val="32"/>
        </w:rPr>
        <w:br w:type="textWrapping"/>
      </w:r>
      <w:r>
        <w:rPr>
          <w:rFonts w:hint="eastAsia" w:ascii="仿宋" w:hAnsi="仿宋" w:eastAsia="仿宋" w:cs="仿宋"/>
          <w:spacing w:val="0"/>
          <w:kern w:val="0"/>
          <w:sz w:val="32"/>
          <w:szCs w:val="32"/>
          <w:lang w:val="en-US" w:eastAsia="zh-CN"/>
        </w:rPr>
        <w:t xml:space="preserve">    </w:t>
      </w:r>
      <w:r>
        <w:rPr>
          <w:rFonts w:ascii="仿宋" w:hAnsi="仿宋" w:eastAsia="仿宋" w:cs="仿宋"/>
          <w:spacing w:val="0"/>
          <w:kern w:val="0"/>
          <w:sz w:val="32"/>
          <w:szCs w:val="32"/>
        </w:rPr>
        <w:t>（四）2080506 机关事业单位职业年金缴费支出13.51万元，较上年决算数减少0.64万元，下降4.54%。主要原因是</w:t>
      </w:r>
      <w:r>
        <w:rPr>
          <w:rFonts w:hint="eastAsia" w:ascii="仿宋" w:hAnsi="仿宋" w:eastAsia="仿宋" w:cs="仿宋"/>
          <w:spacing w:val="0"/>
          <w:kern w:val="0"/>
          <w:sz w:val="32"/>
          <w:szCs w:val="32"/>
          <w:lang w:eastAsia="zh-CN"/>
        </w:rPr>
        <w:t>下半年在编人员调任</w:t>
      </w:r>
      <w:r>
        <w:rPr>
          <w:rFonts w:hint="eastAsia" w:ascii="仿宋" w:hAnsi="仿宋" w:eastAsia="仿宋" w:cs="仿宋"/>
          <w:spacing w:val="0"/>
          <w:kern w:val="0"/>
          <w:sz w:val="32"/>
          <w:szCs w:val="32"/>
          <w:lang w:val="en-US" w:eastAsia="zh-CN"/>
        </w:rPr>
        <w:t>1人，费用支出减少。</w:t>
      </w:r>
      <w:r>
        <w:rPr>
          <w:rFonts w:ascii="仿宋" w:hAnsi="仿宋" w:eastAsia="仿宋" w:cs="仿宋"/>
          <w:spacing w:val="0"/>
          <w:kern w:val="0"/>
          <w:sz w:val="32"/>
          <w:szCs w:val="32"/>
        </w:rPr>
        <w:br w:type="textWrapping"/>
      </w:r>
      <w:r>
        <w:rPr>
          <w:rFonts w:hint="eastAsia" w:ascii="仿宋" w:hAnsi="仿宋" w:eastAsia="仿宋" w:cs="仿宋"/>
          <w:spacing w:val="0"/>
          <w:kern w:val="0"/>
          <w:sz w:val="32"/>
          <w:szCs w:val="32"/>
          <w:lang w:val="en-US" w:eastAsia="zh-CN"/>
        </w:rPr>
        <w:t xml:space="preserve">    </w:t>
      </w:r>
      <w:r>
        <w:rPr>
          <w:rFonts w:ascii="仿宋" w:hAnsi="仿宋" w:eastAsia="仿宋" w:cs="仿宋"/>
          <w:spacing w:val="0"/>
          <w:kern w:val="0"/>
          <w:sz w:val="32"/>
          <w:szCs w:val="32"/>
        </w:rPr>
        <w:t>（五）2101102 事业单位医疗11.56万元，较上年决算数减少0.55万元，下降4.54%。主要原因是</w:t>
      </w:r>
      <w:r>
        <w:rPr>
          <w:rFonts w:hint="eastAsia" w:ascii="仿宋" w:hAnsi="仿宋" w:eastAsia="仿宋" w:cs="仿宋"/>
          <w:spacing w:val="0"/>
          <w:kern w:val="0"/>
          <w:sz w:val="32"/>
          <w:szCs w:val="32"/>
          <w:lang w:eastAsia="zh-CN"/>
        </w:rPr>
        <w:t>下半年在编人员调任</w:t>
      </w:r>
      <w:r>
        <w:rPr>
          <w:rFonts w:hint="eastAsia" w:ascii="仿宋" w:hAnsi="仿宋" w:eastAsia="仿宋" w:cs="仿宋"/>
          <w:spacing w:val="0"/>
          <w:kern w:val="0"/>
          <w:sz w:val="32"/>
          <w:szCs w:val="32"/>
          <w:lang w:val="en-US" w:eastAsia="zh-CN"/>
        </w:rPr>
        <w:t>1人，费用支出减少。</w:t>
      </w:r>
      <w:r>
        <w:rPr>
          <w:rFonts w:ascii="仿宋" w:hAnsi="仿宋" w:eastAsia="仿宋" w:cs="仿宋"/>
          <w:spacing w:val="0"/>
          <w:kern w:val="0"/>
          <w:sz w:val="32"/>
          <w:szCs w:val="32"/>
        </w:rPr>
        <w:br w:type="textWrapping"/>
      </w:r>
      <w:r>
        <w:rPr>
          <w:rFonts w:hint="eastAsia" w:ascii="仿宋" w:hAnsi="仿宋" w:eastAsia="仿宋" w:cs="仿宋"/>
          <w:spacing w:val="0"/>
          <w:kern w:val="0"/>
          <w:sz w:val="32"/>
          <w:szCs w:val="32"/>
          <w:lang w:val="en-US" w:eastAsia="zh-CN"/>
        </w:rPr>
        <w:t xml:space="preserve">    </w:t>
      </w:r>
      <w:r>
        <w:rPr>
          <w:rFonts w:ascii="仿宋" w:hAnsi="仿宋" w:eastAsia="仿宋" w:cs="仿宋"/>
          <w:spacing w:val="0"/>
          <w:kern w:val="0"/>
          <w:sz w:val="32"/>
          <w:szCs w:val="32"/>
        </w:rPr>
        <w:t>（六）2101199 其他行政事业单位医疗支出5.91万元，较上年决算数减少0.28万元，下降4.54%。主要原因是</w:t>
      </w:r>
      <w:r>
        <w:rPr>
          <w:rFonts w:hint="eastAsia" w:ascii="仿宋" w:hAnsi="仿宋" w:eastAsia="仿宋" w:cs="仿宋"/>
          <w:spacing w:val="0"/>
          <w:kern w:val="0"/>
          <w:sz w:val="32"/>
          <w:szCs w:val="32"/>
          <w:lang w:eastAsia="zh-CN"/>
        </w:rPr>
        <w:t>下半年在编人员调任</w:t>
      </w:r>
      <w:r>
        <w:rPr>
          <w:rFonts w:hint="eastAsia" w:ascii="仿宋" w:hAnsi="仿宋" w:eastAsia="仿宋" w:cs="仿宋"/>
          <w:spacing w:val="0"/>
          <w:kern w:val="0"/>
          <w:sz w:val="32"/>
          <w:szCs w:val="32"/>
          <w:lang w:val="en-US" w:eastAsia="zh-CN"/>
        </w:rPr>
        <w:t>1人，费用支出减少。</w:t>
      </w:r>
    </w:p>
    <w:p w14:paraId="7D2DD3F6">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楷体" w:hAnsi="楷体" w:eastAsia="楷体" w:cs="楷体"/>
          <w:spacing w:val="0"/>
          <w:kern w:val="0"/>
          <w:sz w:val="32"/>
          <w:szCs w:val="32"/>
        </w:rPr>
        <w:t>注：没有一般公共预算拨款支出的单位请说明“本单位2024年度没有使用一般公共预算拨款安排的支出”。</w:t>
      </w:r>
    </w:p>
    <w:p w14:paraId="79F388FD">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5" w:name="_Toc256000083"/>
      <w:bookmarkStart w:id="86" w:name="_Toc256000052"/>
      <w:bookmarkStart w:id="87" w:name="_Toc256000021"/>
      <w:bookmarkStart w:id="88" w:name="_Toc256000114"/>
      <w:r>
        <w:rPr>
          <w:rFonts w:ascii="黑体" w:hAnsi="黑体" w:eastAsia="黑体" w:cs="黑体"/>
          <w:b/>
          <w:spacing w:val="0"/>
        </w:rPr>
        <w:t>四、政府性基金预算财政拨款支出决算情况说明</w:t>
      </w:r>
      <w:bookmarkEnd w:id="85"/>
      <w:bookmarkEnd w:id="86"/>
      <w:bookmarkEnd w:id="87"/>
      <w:bookmarkEnd w:id="88"/>
    </w:p>
    <w:p w14:paraId="2F73DCAB">
      <w:pPr>
        <w:pStyle w:val="28"/>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2024年度政府性基金支出0万元，比上年决算数增加0万元，增长0%，具体情况如下(按项级科目统计)：</w:t>
      </w:r>
    </w:p>
    <w:p w14:paraId="69D803A9">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 w:hAnsi="楷体" w:eastAsia="楷体" w:cs="楷体"/>
          <w:spacing w:val="0"/>
          <w:kern w:val="0"/>
          <w:sz w:val="32"/>
          <w:szCs w:val="32"/>
        </w:rPr>
        <w:t>注：没有政府性基金拨款支出的单位请说明“本单位2024年度没有使用政府性基金预算拨款安排的支出”。</w:t>
      </w:r>
    </w:p>
    <w:p w14:paraId="71F0E4EF">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9" w:name="_Toc256000115"/>
      <w:bookmarkStart w:id="90" w:name="_Toc256000084"/>
      <w:bookmarkStart w:id="91" w:name="_Toc256000053"/>
      <w:bookmarkStart w:id="92" w:name="_Toc256000022"/>
      <w:r>
        <w:rPr>
          <w:rFonts w:ascii="黑体" w:hAnsi="黑体" w:eastAsia="黑体" w:cs="黑体"/>
          <w:b/>
          <w:spacing w:val="0"/>
        </w:rPr>
        <w:t>五、国有资本经营预算财政拨款支出决算情况说明</w:t>
      </w:r>
      <w:bookmarkEnd w:id="89"/>
      <w:bookmarkEnd w:id="90"/>
      <w:bookmarkEnd w:id="91"/>
      <w:bookmarkEnd w:id="92"/>
    </w:p>
    <w:p w14:paraId="0CF7BE62">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2024年度国有资本经营预算支出0万元，比上年决算数增加0万元，增长0%，具体情况如下(按项级科目统计)：</w:t>
      </w:r>
    </w:p>
    <w:p w14:paraId="65E087A7">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 w:hAnsi="楷体" w:eastAsia="楷体" w:cs="楷体"/>
          <w:spacing w:val="0"/>
          <w:kern w:val="0"/>
          <w:sz w:val="32"/>
          <w:szCs w:val="32"/>
        </w:rPr>
        <w:t>注：没有国有资本经营预算财政拨款支出的单位请说明“本单位2024年度没有使用国有资本经营预算财政拨款安排的支出”。</w:t>
      </w:r>
    </w:p>
    <w:p w14:paraId="57C1BC54">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3" w:name="_Toc256000085"/>
      <w:bookmarkStart w:id="94" w:name="_Toc256000116"/>
      <w:bookmarkStart w:id="95" w:name="_Toc256000054"/>
      <w:bookmarkStart w:id="96" w:name="_Toc256000023"/>
      <w:r>
        <w:rPr>
          <w:rFonts w:ascii="黑体" w:hAnsi="黑体" w:eastAsia="黑体" w:cs="黑体"/>
          <w:b/>
          <w:spacing w:val="0"/>
        </w:rPr>
        <w:t>六、一般公共预算财政拨款基本支出决算情况说明</w:t>
      </w:r>
      <w:bookmarkEnd w:id="93"/>
      <w:bookmarkEnd w:id="94"/>
      <w:bookmarkEnd w:id="95"/>
      <w:bookmarkEnd w:id="96"/>
    </w:p>
    <w:p w14:paraId="23F580FD">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2024年度一般公共预算财政拨款基本支出358.77万元，其中：</w:t>
      </w:r>
    </w:p>
    <w:p w14:paraId="4FC3E61A">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一）人员经费339.28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13C408A5">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二）公用经费19.49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3C39FCB">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7" w:name="_Toc256000117"/>
      <w:bookmarkStart w:id="98" w:name="_Toc256000086"/>
      <w:bookmarkStart w:id="99" w:name="_Toc256000024"/>
      <w:bookmarkStart w:id="100" w:name="_Toc256000055"/>
      <w:r>
        <w:rPr>
          <w:rFonts w:ascii="黑体" w:hAnsi="黑体" w:eastAsia="黑体" w:cs="黑体"/>
          <w:b/>
          <w:spacing w:val="0"/>
        </w:rPr>
        <w:t>七、一般公共预算拨款“三公”经费支出决算情况说明</w:t>
      </w:r>
      <w:bookmarkEnd w:id="97"/>
      <w:bookmarkEnd w:id="98"/>
      <w:bookmarkEnd w:id="99"/>
      <w:bookmarkEnd w:id="100"/>
    </w:p>
    <w:p w14:paraId="399B8D4C">
      <w:pPr>
        <w:pStyle w:val="28"/>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2024年度一般公共预算拨款“三公”经费支出1.04万元，完成全年预算的 100.00%；较上年增加0.50万元，增长94.30%。主要原因是公务车辆的保养维修和人社部调研等公务接待支出。具体情况如下：</w:t>
      </w:r>
    </w:p>
    <w:p w14:paraId="40CC1318">
      <w:pPr>
        <w:pStyle w:val="28"/>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 w:hAnsi="仿宋" w:eastAsia="仿宋" w:cs="仿宋"/>
          <w:spacing w:val="0"/>
          <w:kern w:val="0"/>
          <w:sz w:val="32"/>
          <w:szCs w:val="32"/>
        </w:rPr>
        <w:t>（一）因公出国（境）费支出0万元，完成全年预算的 0%；较上年增加0万元，增长0%。全年安排本单位组织的出国团组0 个，参加其他单位出国团组0个；全年因公出国（境）累计0人次。主要是本年无因公出国（境）费用支出</w:t>
      </w:r>
    </w:p>
    <w:p w14:paraId="2399B9CD">
      <w:pPr>
        <w:pStyle w:val="28"/>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（二）公务用车购置及运行费支出0.60万元，完成全年预算的100.00%；较上年增加0.06万元，增长11.75%。其中：</w:t>
      </w:r>
    </w:p>
    <w:p w14:paraId="676F5ABF">
      <w:pPr>
        <w:pStyle w:val="28"/>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公务用车购置费支出0万元，完成全年预算的0%；较上年增加0万元，增长0%。2024年公务用车购置0辆，主要是:本年无公务用车购置费费用支出</w:t>
      </w:r>
    </w:p>
    <w:p w14:paraId="10CE0735">
      <w:pPr>
        <w:pStyle w:val="28"/>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公务用车运行费支出0.60万元，完成全年预算的100.00%；较上年增加0.06万元，增长11.75%。主要是车辆的维修保养。截至2024年12月31日，本单位公务用车保有量为1 辆。</w:t>
      </w:r>
    </w:p>
    <w:p w14:paraId="27F76FB5">
      <w:pPr>
        <w:pStyle w:val="28"/>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（三）公务接待费支出0.44万元，完成全年预算的 100.00%；较上年增加0.44万元，增长0%。主要是接待人社部调研、海南省仲裁院、广安市人社局等3批来访人员。累计接待3批次、21人次。主要是人社部调研、海南省仲裁院、广安市人社局来访人员的接待。</w:t>
      </w:r>
    </w:p>
    <w:p w14:paraId="517ACB85">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 w:hAnsi="楷体" w:eastAsia="楷体" w:cs="楷体"/>
          <w:spacing w:val="0"/>
          <w:kern w:val="0"/>
          <w:sz w:val="32"/>
          <w:szCs w:val="32"/>
        </w:rPr>
        <w:t>注：增减变动金额为0的，请标注“与全年预算（或上年决算）持平”，其中：如预决算（或上年决算）金额均为0，可说明“本年无XX费用支出”；如决算金额不为0，预算金额（或上年决算）为0，可说明增加的金额及主要原因。</w:t>
      </w:r>
    </w:p>
    <w:p w14:paraId="3C5AAF53">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01" w:name="_Toc256000087"/>
      <w:bookmarkStart w:id="102" w:name="_Toc256000118"/>
      <w:bookmarkStart w:id="103" w:name="_Toc256000056"/>
      <w:bookmarkStart w:id="104" w:name="_Toc256000025"/>
      <w:r>
        <w:rPr>
          <w:rFonts w:ascii="黑体" w:hAnsi="黑体" w:eastAsia="黑体" w:cs="黑体"/>
          <w:b/>
          <w:spacing w:val="0"/>
        </w:rPr>
        <w:t>八、预算绩效情况说明</w:t>
      </w:r>
      <w:bookmarkEnd w:id="101"/>
      <w:bookmarkEnd w:id="102"/>
      <w:bookmarkEnd w:id="103"/>
      <w:bookmarkEnd w:id="104"/>
    </w:p>
    <w:p w14:paraId="520B6198">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根据预算绩效管理要求，本单位组织对2024年度6个项目实施单位自评，分别是劳动争议预防和调解工作、非事业编仲裁人员办案补助、劳动关系调节数字云建设、仲裁办案经费、综改项目基层劳动关系公共服务站建设费用、调解员办案奖励等项目，涉及财政拨款资金共计257.5万元。（《项目支出绩效自评表》详见附件2）</w:t>
      </w:r>
    </w:p>
    <w:p w14:paraId="03F13A56">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 w:hAnsi="楷体" w:eastAsia="楷体" w:cs="楷体"/>
          <w:spacing w:val="0"/>
          <w:kern w:val="0"/>
          <w:sz w:val="32"/>
          <w:szCs w:val="32"/>
        </w:rPr>
        <w:t>注：如该年度本单位无单位自评项目，无需公开空表，仅需简要说明情况。（24年决算公开中的绩效自评表格，以一体化绩效管理模块导出的表格为准）</w:t>
      </w:r>
    </w:p>
    <w:p w14:paraId="3E159646">
      <w:pPr>
        <w:pStyle w:val="5"/>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05" w:name="_Toc256000026"/>
      <w:bookmarkStart w:id="106" w:name="_Toc256000088"/>
      <w:bookmarkStart w:id="107" w:name="_Toc256000057"/>
      <w:bookmarkStart w:id="108" w:name="_Toc256000119"/>
      <w:r>
        <w:rPr>
          <w:rFonts w:ascii="黑体" w:hAnsi="黑体" w:eastAsia="黑体" w:cs="黑体"/>
          <w:b/>
          <w:spacing w:val="0"/>
        </w:rPr>
        <w:t>九、其他重要事项说明</w:t>
      </w:r>
      <w:bookmarkEnd w:id="105"/>
      <w:bookmarkEnd w:id="106"/>
      <w:bookmarkEnd w:id="107"/>
      <w:bookmarkEnd w:id="108"/>
    </w:p>
    <w:p w14:paraId="269C91AC">
      <w:pPr>
        <w:pStyle w:val="28"/>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（一）机关运行经费</w:t>
      </w:r>
      <w:r>
        <w:rPr>
          <w:rFonts w:ascii="宋体" w:hAnsi="宋体" w:cs="宋体"/>
          <w:spacing w:val="0"/>
          <w:kern w:val="0"/>
          <w:sz w:val="32"/>
          <w:szCs w:val="32"/>
        </w:rPr>
        <w:t> </w:t>
      </w:r>
    </w:p>
    <w:p w14:paraId="62D99D2A">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2024年度机关运行经费支出0万元，比上年决算数增加0万元，增长0%，主要原因是:本单位为事业单位没有机关运行经费（具体增减原因由部门根据实际情况填列）。</w:t>
      </w:r>
    </w:p>
    <w:p w14:paraId="1E96531B">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 w:hAnsi="楷体" w:eastAsia="楷体" w:cs="楷体"/>
          <w:spacing w:val="0"/>
          <w:kern w:val="0"/>
          <w:sz w:val="32"/>
          <w:szCs w:val="32"/>
        </w:rPr>
        <w:t>注：</w:t>
      </w:r>
      <w:r>
        <w:rPr>
          <w:rFonts w:ascii="Calibri" w:hAnsi="Calibri" w:eastAsia="Calibri" w:cs="Calibri"/>
          <w:spacing w:val="0"/>
          <w:kern w:val="0"/>
          <w:sz w:val="32"/>
          <w:szCs w:val="32"/>
        </w:rPr>
        <w:t> </w:t>
      </w:r>
      <w:r>
        <w:rPr>
          <w:rFonts w:ascii="楷体" w:hAnsi="楷体" w:eastAsia="楷体" w:cs="楷体"/>
          <w:spacing w:val="0"/>
          <w:kern w:val="0"/>
          <w:sz w:val="32"/>
          <w:szCs w:val="32"/>
        </w:rPr>
        <w:t>没有机关运行经费的单位请说明“本单位为事业单位没有机关运行经费”。</w:t>
      </w:r>
    </w:p>
    <w:p w14:paraId="45759CC4">
      <w:pPr>
        <w:pStyle w:val="28"/>
        <w:widowControl/>
        <w:spacing w:before="100" w:after="100" w:line="600" w:lineRule="atLeast"/>
        <w:ind w:left="0" w:right="0" w:firstLine="643"/>
        <w:jc w:val="left"/>
        <w:rPr>
          <w:rFonts w:ascii="Times New Roman" w:hAnsi="Times New Roman" w:eastAsia="Times New Roman" w:cs="Times New Roman"/>
          <w:kern w:val="0"/>
          <w:sz w:val="24"/>
        </w:rPr>
      </w:pPr>
      <w:r>
        <w:rPr>
          <w:rStyle w:val="30"/>
          <w:rFonts w:ascii="楷体" w:hAnsi="楷体" w:eastAsia="楷体" w:cs="楷体"/>
          <w:b/>
          <w:bCs/>
          <w:spacing w:val="0"/>
          <w:kern w:val="0"/>
          <w:sz w:val="32"/>
          <w:szCs w:val="32"/>
        </w:rPr>
        <w:t>（二）政府采购情况</w:t>
      </w:r>
    </w:p>
    <w:p w14:paraId="09889169">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本单位2024年度政府采购支出总额52.19万元，其中：政府采购货物支出52.19万元、政府采购工程支出0万元、政府采购服务支出0万元。授予中小企业合同金额52.19万元，占政府采购支出总额的100.00%，其中：授予小微企业合同金额52.19万元，占授予中小企业合同金额的100.00%；货物采购授予中小企业合同金额占货物支出金额的0%，工程采购授予中小企业合同金额占工程支出金额的0%，服务采购授予中小企业合同金额占服务支出金额的0</w:t>
      </w:r>
    </w:p>
    <w:p w14:paraId="3ABEA627">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 w:hAnsi="楷体" w:eastAsia="楷体" w:cs="楷体"/>
          <w:spacing w:val="0"/>
          <w:kern w:val="0"/>
          <w:sz w:val="32"/>
          <w:szCs w:val="32"/>
        </w:rPr>
        <w:t>注：1.没有政府采购支出的单位请说明“本单位2024年度没有政府采购支出”。</w:t>
      </w:r>
    </w:p>
    <w:p w14:paraId="68471FC4">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r>
        <w:rPr>
          <w:rFonts w:ascii="楷体" w:hAnsi="楷体" w:eastAsia="楷体" w:cs="楷体"/>
          <w:spacing w:val="0"/>
          <w:kern w:val="0"/>
          <w:sz w:val="32"/>
          <w:szCs w:val="32"/>
        </w:rPr>
        <w:t>2.采购数据可从政府采购信息统计报表中提取，请各单位按照政府采购监管部门要求，在财政部地方采购信息统计管理系统中开通、设置账户信息，并按季度填报相关数据。公开的数据原则上应与政府采购信息报表上报的数据一致。（公开时此段需删除）</w:t>
      </w:r>
    </w:p>
    <w:p w14:paraId="0AA5ADF9">
      <w:pPr>
        <w:pStyle w:val="28"/>
        <w:widowControl/>
        <w:spacing w:before="100" w:after="100" w:line="600" w:lineRule="atLeast"/>
        <w:ind w:left="0" w:right="0" w:firstLine="707"/>
        <w:jc w:val="left"/>
        <w:rPr>
          <w:rFonts w:ascii="Times New Roman" w:hAnsi="Times New Roman" w:eastAsia="Times New Roman" w:cs="Times New Roman"/>
          <w:kern w:val="0"/>
          <w:sz w:val="24"/>
        </w:rPr>
      </w:pPr>
      <w:r>
        <w:rPr>
          <w:rStyle w:val="30"/>
          <w:rFonts w:ascii="楷体" w:hAnsi="楷体" w:eastAsia="楷体" w:cs="楷体"/>
          <w:b/>
          <w:bCs/>
          <w:spacing w:val="0"/>
          <w:kern w:val="0"/>
          <w:sz w:val="32"/>
          <w:szCs w:val="32"/>
        </w:rPr>
        <w:t>（三）国有资产占用使用情况</w:t>
      </w:r>
      <w:r>
        <w:rPr>
          <w:rFonts w:ascii="宋体" w:hAnsi="宋体" w:cs="宋体"/>
          <w:spacing w:val="0"/>
          <w:kern w:val="0"/>
          <w:sz w:val="32"/>
          <w:szCs w:val="32"/>
        </w:rPr>
        <w:t> </w:t>
      </w:r>
    </w:p>
    <w:p w14:paraId="633E7502">
      <w:pPr>
        <w:pStyle w:val="28"/>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 w:hAnsi="仿宋" w:eastAsia="仿宋" w:cs="仿宋"/>
          <w:spacing w:val="0"/>
          <w:kern w:val="0"/>
          <w:sz w:val="32"/>
          <w:szCs w:val="32"/>
        </w:rPr>
        <w:t>截至2024年12月31日，本单位共有车辆1 辆，其中：副部（省）级以上领导用车0 辆、主要领导干部用车0 辆、机要通信用车0辆、应急保障用车0辆、执法执勤用车1辆、特种专业技术用车0辆、离退休干部用车0辆、其他用车0辆，其他用车主要是；单位价值100万元以上设备（不含车辆）0台（套）。</w:t>
      </w:r>
      <w:r>
        <w:rPr>
          <w:rFonts w:ascii="Calibri" w:hAnsi="Calibri" w:eastAsia="Calibri" w:cs="Calibri"/>
          <w:spacing w:val="0"/>
          <w:kern w:val="0"/>
          <w:sz w:val="32"/>
          <w:szCs w:val="32"/>
        </w:rPr>
        <w:t>  </w:t>
      </w:r>
      <w:r>
        <w:rPr>
          <w:rFonts w:ascii="宋体" w:hAnsi="宋体" w:cs="宋体"/>
          <w:spacing w:val="0"/>
          <w:kern w:val="0"/>
          <w:sz w:val="56"/>
          <w:szCs w:val="56"/>
        </w:rPr>
        <w:t xml:space="preserve"> </w:t>
      </w:r>
    </w:p>
    <w:p w14:paraId="22CF8A26">
      <w:pPr>
        <w:sectPr>
          <w:footerReference r:id="rId20" w:type="default"/>
          <w:pgSz w:w="11906" w:h="16838"/>
          <w:pgMar w:top="1440" w:right="720" w:bottom="1440" w:left="720" w:header="720" w:footer="720" w:gutter="0"/>
          <w:cols w:space="720" w:num="1"/>
        </w:sectPr>
      </w:pPr>
    </w:p>
    <w:p w14:paraId="4863359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B5656D7">
      <w:pPr>
        <w:widowControl/>
        <w:spacing w:before="240" w:after="240"/>
        <w:jc w:val="left"/>
        <w:rPr>
          <w:rFonts w:ascii="Times New Roman" w:hAnsi="Times New Roman" w:eastAsia="Times New Roman" w:cs="Times New Roman"/>
          <w:kern w:val="0"/>
          <w:sz w:val="24"/>
        </w:rPr>
      </w:pPr>
    </w:p>
    <w:p w14:paraId="3BB6268F">
      <w:pPr>
        <w:pStyle w:val="28"/>
        <w:widowControl/>
        <w:spacing w:before="100" w:after="100"/>
        <w:ind w:left="0" w:right="0" w:firstLine="0"/>
        <w:jc w:val="left"/>
        <w:rPr>
          <w:rFonts w:ascii="Times New Roman" w:hAnsi="Times New Roman" w:eastAsia="Times New Roman" w:cs="Times New Roman"/>
          <w:kern w:val="0"/>
          <w:sz w:val="24"/>
        </w:rPr>
      </w:pPr>
    </w:p>
    <w:p w14:paraId="4E1DC9AD">
      <w:pPr>
        <w:pStyle w:val="28"/>
        <w:widowControl/>
        <w:spacing w:before="100" w:after="100"/>
        <w:ind w:left="0" w:right="0" w:firstLine="0"/>
        <w:jc w:val="left"/>
        <w:rPr>
          <w:rFonts w:ascii="Times New Roman" w:hAnsi="Times New Roman" w:eastAsia="Times New Roman" w:cs="Times New Roman"/>
          <w:kern w:val="0"/>
          <w:sz w:val="24"/>
        </w:rPr>
      </w:pPr>
    </w:p>
    <w:p w14:paraId="4CC67F4B">
      <w:pPr>
        <w:pStyle w:val="28"/>
        <w:widowControl/>
        <w:spacing w:before="100" w:after="100"/>
        <w:ind w:left="0" w:right="0" w:firstLine="0"/>
        <w:jc w:val="left"/>
        <w:rPr>
          <w:rFonts w:ascii="Times New Roman" w:hAnsi="Times New Roman" w:eastAsia="Times New Roman" w:cs="Times New Roman"/>
          <w:kern w:val="0"/>
          <w:sz w:val="24"/>
        </w:rPr>
      </w:pPr>
    </w:p>
    <w:p w14:paraId="2CE202BF">
      <w:pPr>
        <w:pStyle w:val="28"/>
        <w:widowControl/>
        <w:spacing w:before="100" w:after="100"/>
        <w:ind w:left="0" w:right="0" w:firstLine="0"/>
        <w:jc w:val="left"/>
        <w:rPr>
          <w:rFonts w:ascii="Times New Roman" w:hAnsi="Times New Roman" w:eastAsia="Times New Roman" w:cs="Times New Roman"/>
          <w:kern w:val="0"/>
          <w:sz w:val="24"/>
        </w:rPr>
      </w:pPr>
    </w:p>
    <w:p w14:paraId="622D2795">
      <w:pPr>
        <w:pStyle w:val="28"/>
        <w:widowControl/>
        <w:spacing w:before="100" w:after="100"/>
        <w:ind w:left="0" w:right="0" w:firstLine="0"/>
        <w:jc w:val="left"/>
        <w:rPr>
          <w:rFonts w:ascii="Times New Roman" w:hAnsi="Times New Roman" w:eastAsia="Times New Roman" w:cs="Times New Roman"/>
          <w:kern w:val="0"/>
          <w:sz w:val="24"/>
        </w:rPr>
      </w:pPr>
    </w:p>
    <w:p w14:paraId="3B377AA5">
      <w:pPr>
        <w:pStyle w:val="28"/>
        <w:widowControl/>
        <w:spacing w:before="100" w:after="100"/>
        <w:ind w:left="0" w:right="0" w:firstLine="0"/>
        <w:jc w:val="left"/>
        <w:rPr>
          <w:rFonts w:ascii="Times New Roman" w:hAnsi="Times New Roman" w:eastAsia="Times New Roman" w:cs="Times New Roman"/>
          <w:kern w:val="0"/>
          <w:sz w:val="24"/>
        </w:rPr>
      </w:pPr>
    </w:p>
    <w:p w14:paraId="230A8CB6">
      <w:pPr>
        <w:pStyle w:val="28"/>
        <w:widowControl/>
        <w:spacing w:before="100" w:after="100"/>
        <w:ind w:left="0" w:right="0" w:firstLine="0"/>
        <w:jc w:val="left"/>
        <w:rPr>
          <w:rFonts w:ascii="Times New Roman" w:hAnsi="Times New Roman" w:eastAsia="Times New Roman" w:cs="Times New Roman"/>
          <w:kern w:val="0"/>
          <w:sz w:val="24"/>
        </w:rPr>
      </w:pPr>
    </w:p>
    <w:p w14:paraId="5C54F8AF">
      <w:pPr>
        <w:pStyle w:val="3"/>
        <w:keepNext w:val="0"/>
        <w:keepLines w:val="0"/>
        <w:spacing w:before="100" w:after="100" w:line="240" w:lineRule="auto"/>
        <w:ind w:left="0" w:right="0" w:firstLine="0" w:firstLineChars="0"/>
        <w:rPr>
          <w:rFonts w:ascii="Times New Roman" w:hAnsi="Times New Roman" w:eastAsia="Times New Roman" w:cs="Times New Roman"/>
          <w:b/>
          <w:bCs/>
          <w:kern w:val="0"/>
          <w:sz w:val="36"/>
          <w:szCs w:val="36"/>
        </w:rPr>
      </w:pPr>
      <w:bookmarkStart w:id="109" w:name="_Toc256000089"/>
      <w:bookmarkStart w:id="110" w:name="_Toc256000058"/>
      <w:bookmarkStart w:id="111" w:name="_Toc256000120"/>
      <w:bookmarkStart w:id="112" w:name="_Toc256000027"/>
      <w:r>
        <w:rPr>
          <w:rFonts w:ascii="黑体" w:hAnsi="黑体" w:eastAsia="黑体" w:cs="黑体"/>
          <w:b/>
          <w:spacing w:val="0"/>
          <w:sz w:val="56"/>
          <w:szCs w:val="56"/>
        </w:rPr>
        <w:t>第四部分</w:t>
      </w:r>
      <w:bookmarkEnd w:id="109"/>
      <w:bookmarkEnd w:id="110"/>
      <w:bookmarkEnd w:id="111"/>
      <w:bookmarkEnd w:id="112"/>
      <w:r>
        <w:rPr>
          <w:rFonts w:ascii="宋体" w:hAnsi="宋体" w:eastAsia="宋体" w:cs="宋体"/>
          <w:b/>
          <w:spacing w:val="0"/>
          <w:sz w:val="56"/>
          <w:szCs w:val="56"/>
        </w:rPr>
        <w:t> </w:t>
      </w:r>
    </w:p>
    <w:p w14:paraId="25F939E5">
      <w:pPr>
        <w:pStyle w:val="3"/>
        <w:keepNext w:val="0"/>
        <w:keepLines w:val="0"/>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113" w:name="_Toc256000090"/>
      <w:bookmarkStart w:id="114" w:name="_Toc256000121"/>
      <w:bookmarkStart w:id="115" w:name="_Toc256000059"/>
      <w:bookmarkStart w:id="116" w:name="_Toc256000028"/>
      <w:r>
        <w:rPr>
          <w:rFonts w:ascii="黑体" w:hAnsi="黑体" w:eastAsia="黑体" w:cs="黑体"/>
          <w:b/>
          <w:spacing w:val="0"/>
          <w:sz w:val="56"/>
          <w:szCs w:val="56"/>
        </w:rPr>
        <w:t>名词解释</w:t>
      </w:r>
      <w:bookmarkEnd w:id="113"/>
      <w:bookmarkEnd w:id="114"/>
      <w:bookmarkEnd w:id="115"/>
      <w:bookmarkEnd w:id="116"/>
    </w:p>
    <w:p w14:paraId="296A1701">
      <w:pPr>
        <w:pStyle w:val="28"/>
        <w:widowControl/>
        <w:spacing w:before="100" w:after="100"/>
        <w:ind w:left="0" w:right="0" w:firstLine="0"/>
        <w:jc w:val="center"/>
        <w:rPr>
          <w:rFonts w:ascii="Times New Roman" w:hAnsi="Times New Roman" w:eastAsia="Times New Roman" w:cs="Times New Roman"/>
          <w:kern w:val="0"/>
          <w:sz w:val="24"/>
        </w:rPr>
      </w:pPr>
    </w:p>
    <w:p w14:paraId="69E75FEC">
      <w:pPr>
        <w:sectPr>
          <w:footerReference r:id="rId21" w:type="default"/>
          <w:pgSz w:w="11906" w:h="16838"/>
          <w:pgMar w:top="1440" w:right="720" w:bottom="1440" w:left="720" w:header="720" w:footer="720" w:gutter="0"/>
          <w:cols w:space="720" w:num="1"/>
        </w:sectPr>
      </w:pPr>
    </w:p>
    <w:p w14:paraId="0820D35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CB83831">
      <w:pPr>
        <w:widowControl/>
        <w:spacing w:before="240" w:after="240"/>
        <w:jc w:val="left"/>
        <w:rPr>
          <w:rFonts w:ascii="Times New Roman" w:hAnsi="Times New Roman" w:eastAsia="Times New Roman" w:cs="Times New Roman"/>
          <w:kern w:val="0"/>
          <w:sz w:val="24"/>
        </w:rPr>
      </w:pPr>
    </w:p>
    <w:p w14:paraId="33087C6C">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一、财政拨款收入：</w:t>
      </w:r>
      <w:r>
        <w:rPr>
          <w:rFonts w:ascii="仿宋" w:hAnsi="仿宋" w:eastAsia="仿宋" w:cs="仿宋"/>
          <w:spacing w:val="0"/>
          <w:kern w:val="0"/>
          <w:sz w:val="32"/>
          <w:szCs w:val="32"/>
        </w:rPr>
        <w:t>指单位从本级财政单位取得的财政预算资金，包括一般公共预算财政拨款、政府性基金预算财政拨款和国有资本经营预算财政拨款。</w:t>
      </w:r>
    </w:p>
    <w:p w14:paraId="15A4A2BD">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二、事业收入：</w:t>
      </w:r>
      <w:r>
        <w:rPr>
          <w:rFonts w:ascii="仿宋" w:hAnsi="仿宋" w:eastAsia="仿宋" w:cs="仿宋"/>
          <w:spacing w:val="0"/>
          <w:kern w:val="0"/>
          <w:sz w:val="32"/>
          <w:szCs w:val="32"/>
        </w:rPr>
        <w:t>指事业单位开展专业业务活动及辅助活动所取得的收入。</w:t>
      </w:r>
    </w:p>
    <w:p w14:paraId="530CF282">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三、经营收入：</w:t>
      </w:r>
      <w:r>
        <w:rPr>
          <w:rFonts w:ascii="仿宋" w:hAnsi="仿宋" w:eastAsia="仿宋" w:cs="仿宋"/>
          <w:spacing w:val="0"/>
          <w:kern w:val="0"/>
          <w:sz w:val="32"/>
          <w:szCs w:val="32"/>
        </w:rPr>
        <w:t>指事业单位在专业业务活动及其辅助活动之外开展非独立核算经营活动取得的收入。</w:t>
      </w:r>
    </w:p>
    <w:p w14:paraId="6449CE38">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四、其他收入：</w:t>
      </w:r>
      <w:r>
        <w:rPr>
          <w:rFonts w:ascii="仿宋" w:hAnsi="仿宋" w:eastAsia="仿宋" w:cs="仿宋"/>
          <w:spacing w:val="0"/>
          <w:kern w:val="0"/>
          <w:sz w:val="32"/>
          <w:szCs w:val="32"/>
        </w:rPr>
        <w:t>指除上述“财政拨款收入”“事业收入”</w:t>
      </w:r>
      <w:r>
        <w:rPr>
          <w:rFonts w:ascii="宋体" w:hAnsi="宋体" w:cs="宋体"/>
          <w:spacing w:val="0"/>
          <w:kern w:val="0"/>
          <w:szCs w:val="21"/>
        </w:rPr>
        <w:t> </w:t>
      </w:r>
      <w:r>
        <w:rPr>
          <w:rFonts w:ascii="仿宋" w:hAnsi="仿宋" w:eastAsia="仿宋" w:cs="仿宋"/>
          <w:spacing w:val="0"/>
          <w:kern w:val="0"/>
          <w:sz w:val="32"/>
          <w:szCs w:val="32"/>
        </w:rPr>
        <w:t>“上级补助收入”“附属单位上缴收入”“经营收入”等以外取得的各项收入。主要是事业单位固定资产出租收入等。</w:t>
      </w:r>
    </w:p>
    <w:p w14:paraId="77382952">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五、使用非财政拨款结余：</w:t>
      </w:r>
      <w:r>
        <w:rPr>
          <w:rFonts w:ascii="仿宋" w:hAnsi="仿宋" w:eastAsia="仿宋" w:cs="仿宋"/>
          <w:spacing w:val="0"/>
          <w:kern w:val="0"/>
          <w:sz w:val="32"/>
          <w:szCs w:val="32"/>
        </w:rPr>
        <w:t>指事业单位使用以前年度积累的非财政拨款结余弥补当年收支差额的金额。</w:t>
      </w:r>
    </w:p>
    <w:p w14:paraId="1AFB150A">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六、年初结转和结余：</w:t>
      </w:r>
      <w:r>
        <w:rPr>
          <w:rFonts w:ascii="仿宋" w:hAnsi="仿宋" w:eastAsia="仿宋" w:cs="仿宋"/>
          <w:spacing w:val="0"/>
          <w:kern w:val="0"/>
          <w:sz w:val="32"/>
          <w:szCs w:val="32"/>
        </w:rPr>
        <w:t>指单位以前年度尚未完成、结转到本年仍按原规定用途继续使用的资金，或项目已完成等产生的结余资金。</w:t>
      </w:r>
    </w:p>
    <w:p w14:paraId="7CA70F26">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七、结余分配：</w:t>
      </w:r>
      <w:r>
        <w:rPr>
          <w:rFonts w:ascii="仿宋" w:hAnsi="仿宋" w:eastAsia="仿宋" w:cs="仿宋"/>
          <w:spacing w:val="0"/>
          <w:kern w:val="0"/>
          <w:sz w:val="32"/>
          <w:szCs w:val="32"/>
        </w:rPr>
        <w:t>指事业单位按照会计制度规定缴纳的所得税、提取的专用结余以及转入非财政拨款结余的金额等。</w:t>
      </w:r>
    </w:p>
    <w:p w14:paraId="0E1133EF">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八、年末结转和结余：</w:t>
      </w:r>
      <w:r>
        <w:rPr>
          <w:rFonts w:ascii="仿宋" w:hAnsi="仿宋" w:eastAsia="仿宋" w:cs="仿宋"/>
          <w:spacing w:val="0"/>
          <w:kern w:val="0"/>
          <w:sz w:val="32"/>
          <w:szCs w:val="32"/>
        </w:rPr>
        <w:t>指单位按有关规定结转到下年或以后年度继续使用的资金，或项目已完成等产生的结余资金。</w:t>
      </w:r>
    </w:p>
    <w:p w14:paraId="1C436D2F">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九、基本支出：</w:t>
      </w:r>
      <w:r>
        <w:rPr>
          <w:rFonts w:ascii="仿宋" w:hAnsi="仿宋" w:eastAsia="仿宋" w:cs="仿宋"/>
          <w:spacing w:val="0"/>
          <w:kern w:val="0"/>
          <w:sz w:val="32"/>
          <w:szCs w:val="32"/>
        </w:rPr>
        <w:t>指为保障机构正常运转、完成日常工作任务而发生的人员支出和公用支出。</w:t>
      </w:r>
    </w:p>
    <w:p w14:paraId="6BB0D433">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十、项目支出：</w:t>
      </w:r>
      <w:r>
        <w:rPr>
          <w:rFonts w:ascii="仿宋" w:hAnsi="仿宋" w:eastAsia="仿宋" w:cs="仿宋"/>
          <w:spacing w:val="0"/>
          <w:kern w:val="0"/>
          <w:sz w:val="32"/>
          <w:szCs w:val="32"/>
        </w:rPr>
        <w:t>指在基本支出之外为完成特定行政任务和事业发展目标所发生的支出。</w:t>
      </w:r>
    </w:p>
    <w:p w14:paraId="4FDE4D40">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十一、经营支出：</w:t>
      </w:r>
      <w:r>
        <w:rPr>
          <w:rFonts w:ascii="仿宋" w:hAnsi="仿宋" w:eastAsia="仿宋" w:cs="仿宋"/>
          <w:spacing w:val="0"/>
          <w:kern w:val="0"/>
          <w:sz w:val="32"/>
          <w:szCs w:val="32"/>
        </w:rPr>
        <w:t>指事业单位在专业业务活动及其辅助活动之外开展非独立核算经营活动发生的支出。</w:t>
      </w:r>
    </w:p>
    <w:p w14:paraId="78D2E11C">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十二、“三公”经费：</w:t>
      </w:r>
      <w:r>
        <w:rPr>
          <w:rFonts w:ascii="仿宋" w:hAnsi="仿宋" w:eastAsia="仿宋" w:cs="仿宋"/>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47BB4F2E">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十三、机关运行经费：</w:t>
      </w:r>
      <w:r>
        <w:rPr>
          <w:rFonts w:ascii="仿宋" w:hAnsi="仿宋" w:eastAsia="仿宋" w:cs="仿宋"/>
          <w:spacing w:val="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D2C572">
      <w:pPr>
        <w:pStyle w:val="28"/>
        <w:widowControl/>
        <w:spacing w:before="240" w:after="240"/>
        <w:jc w:val="left"/>
        <w:rPr>
          <w:rFonts w:ascii="Times New Roman" w:hAnsi="Times New Roman" w:eastAsia="Times New Roman" w:cs="Times New Roman"/>
          <w:kern w:val="0"/>
          <w:sz w:val="24"/>
        </w:rPr>
      </w:pPr>
    </w:p>
    <w:p w14:paraId="6022DEFB">
      <w:pPr>
        <w:sectPr>
          <w:footerReference r:id="rId22" w:type="default"/>
          <w:pgSz w:w="11906" w:h="16838"/>
          <w:pgMar w:top="1440" w:right="720" w:bottom="1440" w:left="720" w:header="720" w:footer="720" w:gutter="0"/>
          <w:cols w:space="720" w:num="1"/>
        </w:sectPr>
      </w:pPr>
    </w:p>
    <w:p w14:paraId="7B93588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7B66E46">
      <w:pPr>
        <w:pStyle w:val="3"/>
        <w:keepNext w:val="0"/>
        <w:keepLines w:val="0"/>
        <w:spacing w:before="299" w:after="299" w:line="240" w:lineRule="auto"/>
        <w:ind w:firstLine="0" w:firstLineChars="0"/>
        <w:rPr>
          <w:rFonts w:ascii="Times New Roman" w:hAnsi="Times New Roman" w:eastAsia="Times New Roman" w:cs="Times New Roman"/>
          <w:b/>
          <w:bCs/>
          <w:kern w:val="0"/>
          <w:sz w:val="36"/>
          <w:szCs w:val="36"/>
        </w:rPr>
      </w:pPr>
      <w:bookmarkStart w:id="117" w:name="_Toc256000122"/>
      <w:bookmarkStart w:id="118" w:name="_Toc256000091"/>
      <w:bookmarkStart w:id="119" w:name="_Toc256000029"/>
      <w:bookmarkStart w:id="120" w:name="_Toc256000060"/>
      <w:r>
        <w:rPr>
          <w:rFonts w:ascii="黑体" w:hAnsi="黑体" w:eastAsia="黑体" w:cs="黑体"/>
          <w:b/>
          <w:sz w:val="56"/>
          <w:szCs w:val="56"/>
        </w:rPr>
        <w:t>第五部分</w:t>
      </w:r>
      <w:bookmarkEnd w:id="117"/>
      <w:bookmarkEnd w:id="118"/>
      <w:bookmarkEnd w:id="119"/>
      <w:bookmarkEnd w:id="120"/>
      <w:r>
        <w:rPr>
          <w:rFonts w:ascii="Calibri" w:hAnsi="Calibri" w:eastAsia="Calibri" w:cs="Calibri"/>
          <w:b/>
          <w:sz w:val="56"/>
          <w:szCs w:val="56"/>
        </w:rPr>
        <w:t> </w:t>
      </w:r>
    </w:p>
    <w:p w14:paraId="64837974">
      <w:pPr>
        <w:pStyle w:val="3"/>
        <w:keepNext w:val="0"/>
        <w:keepLines w:val="0"/>
        <w:spacing w:before="299" w:after="299" w:line="240" w:lineRule="auto"/>
        <w:ind w:firstLine="0" w:firstLineChars="0"/>
        <w:jc w:val="center"/>
        <w:rPr>
          <w:rFonts w:ascii="黑体" w:hAnsi="黑体" w:eastAsia="黑体" w:cs="黑体"/>
          <w:b/>
          <w:sz w:val="56"/>
          <w:szCs w:val="56"/>
        </w:rPr>
        <w:sectPr>
          <w:footerReference r:id="rId23" w:type="default"/>
          <w:pgSz w:w="11906" w:h="16838"/>
          <w:pgMar w:top="1984" w:right="1083" w:bottom="1984" w:left="1083" w:header="0" w:footer="720" w:gutter="0"/>
          <w:cols w:space="0" w:num="1"/>
          <w:rtlGutter w:val="0"/>
          <w:docGrid w:type="lines" w:linePitch="317" w:charSpace="0"/>
        </w:sectPr>
      </w:pPr>
      <w:bookmarkStart w:id="121" w:name="_Toc256000061"/>
      <w:bookmarkStart w:id="122" w:name="_Toc256000030"/>
      <w:bookmarkStart w:id="123" w:name="_Toc256000092"/>
      <w:bookmarkStart w:id="124" w:name="_Toc256000123"/>
      <w:r>
        <w:rPr>
          <w:rFonts w:ascii="黑体" w:hAnsi="黑体" w:eastAsia="黑体" w:cs="黑体"/>
          <w:b/>
          <w:sz w:val="56"/>
          <w:szCs w:val="56"/>
        </w:rPr>
        <w:t>附件</w:t>
      </w:r>
      <w:bookmarkEnd w:id="121"/>
      <w:bookmarkEnd w:id="122"/>
      <w:bookmarkEnd w:id="123"/>
      <w:bookmarkEnd w:id="124"/>
    </w:p>
    <w:bookmarkEnd w:id="0"/>
    <w:p w14:paraId="258048BD">
      <w:pPr>
        <w:keepNext w:val="0"/>
        <w:keepLines w:val="0"/>
        <w:pageBreakBefore w:val="0"/>
        <w:widowControl w:val="0"/>
        <w:tabs>
          <w:tab w:val="left" w:pos="8415"/>
        </w:tabs>
        <w:kinsoku/>
        <w:wordWrap/>
        <w:overflowPunct/>
        <w:topLinePunct w:val="0"/>
        <w:autoSpaceDE/>
        <w:autoSpaceDN/>
        <w:bidi w:val="0"/>
        <w:adjustRightInd/>
        <w:snapToGrid/>
        <w:jc w:val="center"/>
        <w:textAlignment w:val="auto"/>
        <w:rPr>
          <w:rFonts w:hint="eastAsia" w:eastAsia="宋体"/>
          <w:lang w:eastAsia="zh-CN"/>
        </w:rPr>
      </w:pPr>
      <w:r>
        <w:rPr>
          <w:rFonts w:hint="eastAsia" w:eastAsia="宋体"/>
          <w:lang w:eastAsia="zh-CN"/>
        </w:rPr>
        <w:object>
          <v:shape id="_x0000_i1032" o:spt="75" type="#_x0000_t75" style="height:537.5pt;width:828.3pt;" o:ole="t" filled="f" o:preferrelative="t" stroked="f" coordsize="21600,21600">
            <v:path/>
            <v:fill on="f" focussize="0,0"/>
            <v:stroke on="f"/>
            <v:imagedata r:id="rId26" o:title=""/>
            <o:lock v:ext="edit" aspectratio="f"/>
            <w10:wrap type="none"/>
            <w10:anchorlock/>
          </v:shape>
          <o:OLEObject Type="Embed" ProgID="Excel.Sheet.12" ShapeID="_x0000_i1032" DrawAspect="Content" ObjectID="_1468075725" r:id="rId25">
            <o:LockedField>false</o:LockedField>
          </o:OLEObject>
        </w:object>
      </w:r>
      <w:bookmarkStart w:id="125" w:name="_GoBack"/>
      <w:bookmarkEnd w:id="125"/>
    </w:p>
    <w:p w14:paraId="5F879B7E">
      <w:pPr>
        <w:keepNext w:val="0"/>
        <w:keepLines w:val="0"/>
        <w:pageBreakBefore w:val="0"/>
        <w:widowControl w:val="0"/>
        <w:tabs>
          <w:tab w:val="left" w:pos="8415"/>
        </w:tabs>
        <w:kinsoku/>
        <w:wordWrap/>
        <w:overflowPunct/>
        <w:topLinePunct w:val="0"/>
        <w:autoSpaceDE/>
        <w:autoSpaceDN/>
        <w:bidi w:val="0"/>
        <w:adjustRightInd/>
        <w:snapToGrid/>
        <w:jc w:val="center"/>
        <w:textAlignment w:val="auto"/>
        <w:rPr>
          <w:rFonts w:hint="eastAsia" w:eastAsia="宋体"/>
          <w:lang w:eastAsia="zh-CN"/>
        </w:rPr>
      </w:pPr>
      <w:r>
        <w:rPr>
          <w:rFonts w:hint="eastAsia" w:eastAsia="宋体"/>
          <w:lang w:eastAsia="zh-CN"/>
        </w:rPr>
        <w:object>
          <v:shape id="_x0000_i1026" o:spt="75" type="#_x0000_t75" style="height:478.3pt;width:781.1pt;" o:ole="t" filled="f" o:preferrelative="t" stroked="f" coordsize="21600,21600">
            <v:path/>
            <v:fill on="f" focussize="0,0"/>
            <v:stroke on="f"/>
            <v:imagedata r:id="rId28" o:title=""/>
            <o:lock v:ext="edit" aspectratio="f"/>
            <w10:wrap type="none"/>
            <w10:anchorlock/>
          </v:shape>
          <o:OLEObject Type="Embed" ProgID="Excel.Sheet.12" ShapeID="_x0000_i1026" DrawAspect="Content" ObjectID="_1468075726" r:id="rId27">
            <o:LockedField>false</o:LockedField>
          </o:OLEObject>
        </w:object>
      </w:r>
    </w:p>
    <w:p w14:paraId="26031960">
      <w:pPr>
        <w:keepNext w:val="0"/>
        <w:keepLines w:val="0"/>
        <w:pageBreakBefore w:val="0"/>
        <w:widowControl w:val="0"/>
        <w:tabs>
          <w:tab w:val="left" w:pos="8415"/>
        </w:tabs>
        <w:kinsoku/>
        <w:wordWrap/>
        <w:overflowPunct/>
        <w:topLinePunct w:val="0"/>
        <w:autoSpaceDE/>
        <w:autoSpaceDN/>
        <w:bidi w:val="0"/>
        <w:adjustRightInd/>
        <w:snapToGrid/>
        <w:jc w:val="center"/>
        <w:textAlignment w:val="auto"/>
        <w:rPr>
          <w:rFonts w:hint="eastAsia" w:eastAsia="宋体"/>
          <w:lang w:eastAsia="zh-CN"/>
        </w:rPr>
      </w:pPr>
    </w:p>
    <w:p w14:paraId="7B75246C">
      <w:pPr>
        <w:keepNext w:val="0"/>
        <w:keepLines w:val="0"/>
        <w:pageBreakBefore w:val="0"/>
        <w:widowControl w:val="0"/>
        <w:tabs>
          <w:tab w:val="left" w:pos="8415"/>
        </w:tabs>
        <w:kinsoku/>
        <w:wordWrap/>
        <w:overflowPunct/>
        <w:topLinePunct w:val="0"/>
        <w:autoSpaceDE/>
        <w:autoSpaceDN/>
        <w:bidi w:val="0"/>
        <w:adjustRightInd/>
        <w:snapToGrid/>
        <w:jc w:val="center"/>
        <w:textAlignment w:val="auto"/>
        <w:rPr>
          <w:rFonts w:hint="eastAsia" w:eastAsia="宋体"/>
          <w:lang w:eastAsia="zh-CN"/>
        </w:rPr>
      </w:pPr>
    </w:p>
    <w:p w14:paraId="264ECDF6">
      <w:pPr>
        <w:keepNext w:val="0"/>
        <w:keepLines w:val="0"/>
        <w:pageBreakBefore w:val="0"/>
        <w:widowControl w:val="0"/>
        <w:tabs>
          <w:tab w:val="left" w:pos="8415"/>
        </w:tabs>
        <w:kinsoku/>
        <w:wordWrap/>
        <w:overflowPunct/>
        <w:topLinePunct w:val="0"/>
        <w:autoSpaceDE/>
        <w:autoSpaceDN/>
        <w:bidi w:val="0"/>
        <w:adjustRightInd/>
        <w:snapToGrid/>
        <w:jc w:val="center"/>
        <w:textAlignment w:val="auto"/>
        <w:rPr>
          <w:rFonts w:hint="eastAsia" w:eastAsia="宋体"/>
          <w:lang w:eastAsia="zh-CN"/>
        </w:rPr>
      </w:pPr>
      <w:r>
        <w:rPr>
          <w:rFonts w:hint="eastAsia" w:eastAsia="宋体"/>
          <w:lang w:eastAsia="zh-CN"/>
        </w:rPr>
        <w:object>
          <v:shape id="_x0000_i1027" o:spt="75" type="#_x0000_t75" style="height:563.75pt;width:826.1pt;" o:ole="t" filled="f" o:preferrelative="t" stroked="f" coordsize="21600,21600">
            <v:path/>
            <v:fill on="f" focussize="0,0"/>
            <v:stroke on="f"/>
            <v:imagedata r:id="rId30" o:title=""/>
            <o:lock v:ext="edit" aspectratio="f"/>
            <w10:wrap type="none"/>
            <w10:anchorlock/>
          </v:shape>
          <o:OLEObject Type="Embed" ProgID="Excel.Sheet.12" ShapeID="_x0000_i1027" DrawAspect="Content" ObjectID="_1468075727" r:id="rId29">
            <o:LockedField>false</o:LockedField>
          </o:OLEObject>
        </w:object>
      </w:r>
    </w:p>
    <w:p w14:paraId="0218A414">
      <w:pPr>
        <w:keepNext w:val="0"/>
        <w:keepLines w:val="0"/>
        <w:pageBreakBefore w:val="0"/>
        <w:widowControl w:val="0"/>
        <w:tabs>
          <w:tab w:val="left" w:pos="8415"/>
        </w:tabs>
        <w:kinsoku/>
        <w:wordWrap/>
        <w:overflowPunct/>
        <w:topLinePunct w:val="0"/>
        <w:autoSpaceDE/>
        <w:autoSpaceDN/>
        <w:bidi w:val="0"/>
        <w:adjustRightInd/>
        <w:snapToGrid/>
        <w:jc w:val="center"/>
        <w:textAlignment w:val="auto"/>
        <w:rPr>
          <w:rFonts w:hint="eastAsia" w:eastAsia="宋体"/>
          <w:lang w:eastAsia="zh-CN"/>
        </w:rPr>
      </w:pPr>
      <w:r>
        <w:rPr>
          <w:rFonts w:hint="eastAsia" w:eastAsia="宋体"/>
          <w:lang w:eastAsia="zh-CN"/>
        </w:rPr>
        <w:object>
          <v:shape id="_x0000_i1028" o:spt="75" type="#_x0000_t75" style="height:521.2pt;width:826.1pt;" o:ole="t" filled="f" o:preferrelative="t" stroked="f" coordsize="21600,21600">
            <v:path/>
            <v:fill on="f" focussize="0,0"/>
            <v:stroke on="f"/>
            <v:imagedata r:id="rId32" o:title=""/>
            <o:lock v:ext="edit" aspectratio="f"/>
            <w10:wrap type="none"/>
            <w10:anchorlock/>
          </v:shape>
          <o:OLEObject Type="Embed" ProgID="Excel.Sheet.12" ShapeID="_x0000_i1028" DrawAspect="Content" ObjectID="_1468075728" r:id="rId31">
            <o:LockedField>false</o:LockedField>
          </o:OLEObject>
        </w:object>
      </w:r>
    </w:p>
    <w:p w14:paraId="7E50EB64">
      <w:pPr>
        <w:keepNext w:val="0"/>
        <w:keepLines w:val="0"/>
        <w:pageBreakBefore w:val="0"/>
        <w:widowControl w:val="0"/>
        <w:tabs>
          <w:tab w:val="left" w:pos="8415"/>
        </w:tabs>
        <w:kinsoku/>
        <w:wordWrap/>
        <w:overflowPunct/>
        <w:topLinePunct w:val="0"/>
        <w:autoSpaceDE/>
        <w:autoSpaceDN/>
        <w:bidi w:val="0"/>
        <w:adjustRightInd/>
        <w:snapToGrid/>
        <w:jc w:val="center"/>
        <w:textAlignment w:val="auto"/>
        <w:rPr>
          <w:rFonts w:hint="eastAsia" w:eastAsia="宋体"/>
          <w:lang w:eastAsia="zh-CN"/>
        </w:rPr>
      </w:pPr>
      <w:r>
        <w:rPr>
          <w:rFonts w:hint="eastAsia" w:eastAsia="宋体"/>
          <w:lang w:eastAsia="zh-CN"/>
        </w:rPr>
        <w:object>
          <v:shape id="_x0000_i1030" o:spt="75" type="#_x0000_t75" style="height:520.55pt;width:833.6pt;" o:ole="t" filled="f" o:preferrelative="t" stroked="f" coordsize="21600,21600">
            <v:path/>
            <v:fill on="f" focussize="0,0"/>
            <v:stroke on="f"/>
            <v:imagedata r:id="rId34" o:title=""/>
            <o:lock v:ext="edit" aspectratio="f"/>
            <w10:wrap type="none"/>
            <w10:anchorlock/>
          </v:shape>
          <o:OLEObject Type="Embed" ProgID="Excel.Sheet.12" ShapeID="_x0000_i1030" DrawAspect="Content" ObjectID="_1468075729" r:id="rId33">
            <o:LockedField>false</o:LockedField>
          </o:OLEObject>
        </w:object>
      </w:r>
    </w:p>
    <w:p w14:paraId="7F034E55">
      <w:pPr>
        <w:keepNext w:val="0"/>
        <w:keepLines w:val="0"/>
        <w:pageBreakBefore w:val="0"/>
        <w:widowControl w:val="0"/>
        <w:tabs>
          <w:tab w:val="left" w:pos="8415"/>
        </w:tabs>
        <w:kinsoku/>
        <w:wordWrap/>
        <w:overflowPunct/>
        <w:topLinePunct w:val="0"/>
        <w:autoSpaceDE/>
        <w:autoSpaceDN/>
        <w:bidi w:val="0"/>
        <w:adjustRightInd/>
        <w:snapToGrid/>
        <w:jc w:val="center"/>
        <w:textAlignment w:val="auto"/>
        <w:rPr>
          <w:rFonts w:hint="eastAsia" w:eastAsia="宋体"/>
          <w:lang w:eastAsia="zh-CN"/>
        </w:rPr>
      </w:pPr>
      <w:r>
        <w:rPr>
          <w:rFonts w:hint="eastAsia" w:eastAsia="宋体"/>
          <w:lang w:eastAsia="zh-CN"/>
        </w:rPr>
        <w:object>
          <v:shape id="_x0000_i1031" o:spt="75" type="#_x0000_t75" style="height:524.15pt;width:829.05pt;" o:ole="t" filled="f" o:preferrelative="t" stroked="f" coordsize="21600,21600">
            <v:path/>
            <v:fill on="f" focussize="0,0"/>
            <v:stroke on="f"/>
            <v:imagedata r:id="rId36" o:title=""/>
            <o:lock v:ext="edit" aspectratio="f"/>
            <w10:wrap type="none"/>
            <w10:anchorlock/>
          </v:shape>
          <o:OLEObject Type="Embed" ProgID="Excel.Sheet.12" ShapeID="_x0000_i1031" DrawAspect="Content" ObjectID="_1468075730" r:id="rId35">
            <o:LockedField>false</o:LockedField>
          </o:OLEObject>
        </w:object>
      </w:r>
    </w:p>
    <w:sectPr>
      <w:pgSz w:w="16838" w:h="11906" w:orient="landscape"/>
      <w:pgMar w:top="0" w:right="0" w:bottom="0" w:left="0"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902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D77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D9D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692B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6BC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CE6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32</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369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33</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E79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34</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4A3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41</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7D6D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42</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CE7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44</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B4A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66A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46</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E845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C33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DFB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504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DD2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467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234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D74A">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BFAD5"/>
    <w:multiLevelType w:val="singleLevel"/>
    <w:tmpl w:val="9BBBFAD5"/>
    <w:lvl w:ilvl="0" w:tentative="0">
      <w:start w:val="1"/>
      <w:numFmt w:val="decimal"/>
      <w:lvlText w:val="%1."/>
      <w:lvlJc w:val="left"/>
      <w:pPr>
        <w:tabs>
          <w:tab w:val="left" w:pos="312"/>
        </w:tabs>
      </w:pPr>
    </w:lvl>
  </w:abstractNum>
  <w:abstractNum w:abstractNumId="1">
    <w:nsid w:val="A9324CDB"/>
    <w:multiLevelType w:val="singleLevel"/>
    <w:tmpl w:val="A9324CDB"/>
    <w:lvl w:ilvl="0" w:tentative="0">
      <w:start w:val="1"/>
      <w:numFmt w:val="decimal"/>
      <w:lvlText w:val="%1."/>
      <w:lvlJc w:val="left"/>
      <w:pPr>
        <w:tabs>
          <w:tab w:val="left" w:pos="312"/>
        </w:tabs>
      </w:pPr>
    </w:lvl>
  </w:abstractNum>
  <w:abstractNum w:abstractNumId="2">
    <w:nsid w:val="D7D5B542"/>
    <w:multiLevelType w:val="singleLevel"/>
    <w:tmpl w:val="D7D5B542"/>
    <w:lvl w:ilvl="0" w:tentative="0">
      <w:start w:val="1"/>
      <w:numFmt w:val="decimal"/>
      <w:lvlText w:val="%1."/>
      <w:lvlJc w:val="left"/>
      <w:pPr>
        <w:tabs>
          <w:tab w:val="left" w:pos="312"/>
        </w:tabs>
      </w:pPr>
    </w:lvl>
  </w:abstractNum>
  <w:abstractNum w:abstractNumId="3">
    <w:nsid w:val="61BECEA4"/>
    <w:multiLevelType w:val="singleLevel"/>
    <w:tmpl w:val="61BECEA4"/>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A7B84"/>
    <w:rsid w:val="243F6E3C"/>
    <w:rsid w:val="4DFC291D"/>
    <w:rsid w:val="588B7254"/>
    <w:rsid w:val="72452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iCs/>
      <w:sz w:val="32"/>
      <w:szCs w:val="20"/>
      <w:lang w:val="en-US" w:eastAsia="en-US" w:bidi="ar-SA"/>
    </w:rPr>
  </w:style>
  <w:style w:type="paragraph" w:styleId="18">
    <w:name w:val="toc 9"/>
    <w:basedOn w:val="1"/>
    <w:next w:val="1"/>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qFormat/>
    <w:uiPriority w:val="0"/>
  </w:style>
  <w:style w:type="character" w:customStyle="1" w:styleId="30">
    <w:name w:val="15"/>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numbering" Target="numbering.xml"/><Relationship Id="rId36" Type="http://schemas.openxmlformats.org/officeDocument/2006/relationships/image" Target="media/image6.emf"/><Relationship Id="rId35" Type="http://schemas.openxmlformats.org/officeDocument/2006/relationships/oleObject" Target="embeddings/oleObject6.bin"/><Relationship Id="rId34" Type="http://schemas.openxmlformats.org/officeDocument/2006/relationships/image" Target="media/image5.emf"/><Relationship Id="rId33" Type="http://schemas.openxmlformats.org/officeDocument/2006/relationships/oleObject" Target="embeddings/oleObject5.bin"/><Relationship Id="rId32" Type="http://schemas.openxmlformats.org/officeDocument/2006/relationships/image" Target="media/image4.emf"/><Relationship Id="rId31" Type="http://schemas.openxmlformats.org/officeDocument/2006/relationships/oleObject" Target="embeddings/oleObject4.bin"/><Relationship Id="rId30" Type="http://schemas.openxmlformats.org/officeDocument/2006/relationships/image" Target="media/image3.e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2.emf"/><Relationship Id="rId27" Type="http://schemas.openxmlformats.org/officeDocument/2006/relationships/oleObject" Target="embeddings/oleObject2.bin"/><Relationship Id="rId26" Type="http://schemas.openxmlformats.org/officeDocument/2006/relationships/image" Target="media/image1.emf"/><Relationship Id="rId25" Type="http://schemas.openxmlformats.org/officeDocument/2006/relationships/oleObject" Target="embeddings/oleObject1.bin"/><Relationship Id="rId24" Type="http://schemas.openxmlformats.org/officeDocument/2006/relationships/theme" Target="theme/theme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421</Words>
  <Characters>456</Characters>
  <Lines>1</Lines>
  <Paragraphs>1</Paragraphs>
  <TotalTime>31</TotalTime>
  <ScaleCrop>false</ScaleCrop>
  <LinksUpToDate>false</LinksUpToDate>
  <CharactersWithSpaces>549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菜头</cp:lastModifiedBy>
  <cp:lastPrinted>2021-04-16T00:45:00Z</cp:lastPrinted>
  <dcterms:modified xsi:type="dcterms:W3CDTF">2025-07-21T09:50:49Z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F8487F26F56546C3B505E3F23186EBD1_13</vt:lpwstr>
  </property>
  <property fmtid="{D5CDD505-2E9C-101B-9397-08002B2CF9AE}" pid="3" name="KSOProductBuildVer">
    <vt:lpwstr>2052-12.1.0.21915</vt:lpwstr>
  </property>
  <property fmtid="{D5CDD505-2E9C-101B-9397-08002B2CF9AE}" pid="4" name="KSOTemplateDocerSaveRecord">
    <vt:lpwstr>eyJoZGlkIjoiZTk3ZDllYzMyNDVlNTg4MzdlNmU2ZGU4ZDBlNjkwMzQiLCJ1c2VySWQiOiIzMzI0NTA3ODYifQ==</vt:lpwstr>
  </property>
</Properties>
</file>