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default" w:cs="Times New Roman"/>
          <w:sz w:val="2"/>
        </w:rPr>
      </w:pPr>
    </w:p>
    <w:tbl>
      <w:tblPr>
        <w:tblStyle w:val="5"/>
        <w:tblW w:w="86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93"/>
        <w:gridCol w:w="3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4"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25" w:lineRule="exact"/>
              <w:jc w:val="center"/>
              <w:rPr>
                <w:rFonts w:hint="eastAsia" w:ascii="黑体" w:hAnsi="黑体" w:eastAsia="黑体" w:cs="Times New Roman"/>
                <w:sz w:val="44"/>
              </w:rPr>
            </w:pPr>
            <w:r>
              <w:rPr>
                <w:rFonts w:hint="eastAsia" w:ascii="方正小标宋简体" w:hAnsi="方正小标宋简体" w:eastAsia="方正小标宋简体" w:cs="Times New Roman"/>
                <w:sz w:val="44"/>
              </w:rPr>
              <w:t>2026年度厦门市湖里区审计局部门预算</w:t>
            </w:r>
          </w:p>
          <w:p>
            <w:pPr>
              <w:spacing w:beforeLines="0" w:afterLines="0" w:line="525" w:lineRule="exact"/>
              <w:jc w:val="center"/>
              <w:rPr>
                <w:rFonts w:hint="eastAsia" w:ascii="黑体" w:hAnsi="黑体" w:eastAsia="黑体" w:cs="Times New Roman"/>
                <w:sz w:val="30"/>
              </w:rPr>
            </w:pPr>
          </w:p>
          <w:p>
            <w:pPr>
              <w:spacing w:beforeLines="0" w:afterLines="0" w:line="525" w:lineRule="exact"/>
              <w:jc w:val="center"/>
              <w:rPr>
                <w:rFonts w:hint="eastAsia" w:ascii="黑体" w:hAnsi="黑体" w:eastAsia="黑体" w:cs="Times New Roman"/>
                <w:sz w:val="32"/>
              </w:rPr>
            </w:pPr>
            <w:r>
              <w:rPr>
                <w:rFonts w:hint="eastAsia" w:ascii="黑体" w:hAnsi="黑体" w:eastAsia="黑体" w:cs="Times New Roman"/>
                <w:sz w:val="32"/>
              </w:rPr>
              <w:t>目　　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59"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 w:hAnsi="仿宋" w:eastAsia="仿宋" w:cs="Times New Roman"/>
                <w:sz w:val="32"/>
              </w:rPr>
            </w:pPr>
            <w:r>
              <w:rPr>
                <w:rFonts w:hint="eastAsia" w:ascii="黑体" w:hAnsi="黑体" w:eastAsia="黑体" w:cs="Times New Roman"/>
                <w:sz w:val="32"/>
              </w:rPr>
              <w:t>    第一部分   部门概况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一、部门主要职责</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二、部门预算单位基本情况</w:t>
            </w:r>
          </w:p>
          <w:p>
            <w:pPr>
              <w:spacing w:beforeLines="0" w:afterLines="0" w:line="555" w:lineRule="exact"/>
              <w:rPr>
                <w:rFonts w:hint="eastAsia" w:ascii="黑体" w:hAnsi="黑体" w:eastAsia="黑体" w:cs="Times New Roman"/>
                <w:sz w:val="32"/>
              </w:rPr>
            </w:pPr>
            <w:r>
              <w:rPr>
                <w:rFonts w:hint="eastAsia" w:ascii="仿宋_GB2312" w:hAnsi="仿宋_GB2312" w:eastAsia="仿宋_GB2312" w:cs="Times New Roman"/>
                <w:sz w:val="32"/>
              </w:rPr>
              <w:t>　　三、部门主要工作任务</w:t>
            </w:r>
          </w:p>
          <w:p>
            <w:pPr>
              <w:spacing w:beforeLines="0" w:afterLines="0" w:line="555" w:lineRule="exact"/>
              <w:rPr>
                <w:rFonts w:hint="eastAsia" w:ascii="黑体" w:hAnsi="黑体" w:eastAsia="黑体" w:cs="Times New Roman"/>
                <w:sz w:val="32"/>
              </w:rPr>
            </w:pPr>
            <w:r>
              <w:rPr>
                <w:rFonts w:hint="eastAsia" w:ascii="黑体" w:hAnsi="黑体" w:eastAsia="黑体" w:cs="Times New Roman"/>
                <w:sz w:val="32"/>
              </w:rPr>
              <w:t>　　第二部分   2026年部门预算说明</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一、2026年部门预算收支总体情况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二、一般公共预算财政拨款支出预算情况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三、政府性基金预算财政拨款支出情况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四、“三公”经费财政拨款预算情况</w:t>
            </w:r>
          </w:p>
          <w:p>
            <w:pPr>
              <w:spacing w:beforeLines="0" w:afterLines="0" w:line="555" w:lineRule="exact"/>
              <w:rPr>
                <w:rFonts w:hint="eastAsia" w:ascii="黑体" w:hAnsi="黑体" w:eastAsia="黑体" w:cs="Times New Roman"/>
                <w:sz w:val="32"/>
              </w:rPr>
            </w:pPr>
            <w:r>
              <w:rPr>
                <w:rFonts w:hint="eastAsia" w:ascii="仿宋_GB2312" w:hAnsi="仿宋_GB2312" w:eastAsia="仿宋_GB2312" w:cs="Times New Roman"/>
                <w:sz w:val="32"/>
              </w:rPr>
              <w:t>　　五、其他重要事项的情况说明</w:t>
            </w:r>
          </w:p>
          <w:p>
            <w:pPr>
              <w:spacing w:beforeLines="0" w:afterLines="0" w:line="555" w:lineRule="exact"/>
              <w:rPr>
                <w:rFonts w:hint="eastAsia" w:ascii="黑体" w:hAnsi="黑体" w:eastAsia="黑体" w:cs="Times New Roman"/>
                <w:sz w:val="32"/>
              </w:rPr>
            </w:pPr>
            <w:r>
              <w:rPr>
                <w:rFonts w:hint="eastAsia" w:ascii="黑体" w:hAnsi="黑体" w:eastAsia="黑体" w:cs="Times New Roman"/>
                <w:sz w:val="32"/>
              </w:rPr>
              <w:t>　　第三部分   名词解释</w:t>
            </w:r>
          </w:p>
          <w:p>
            <w:pPr>
              <w:spacing w:beforeLines="0" w:afterLines="0" w:line="555" w:lineRule="exact"/>
              <w:rPr>
                <w:rFonts w:hint="eastAsia" w:ascii="黑体" w:hAnsi="黑体" w:eastAsia="黑体" w:cs="Times New Roman"/>
                <w:sz w:val="32"/>
              </w:rPr>
            </w:pPr>
            <w:r>
              <w:rPr>
                <w:rFonts w:hint="eastAsia" w:ascii="黑体" w:hAnsi="黑体" w:eastAsia="黑体" w:cs="Times New Roman"/>
                <w:sz w:val="32"/>
              </w:rPr>
              <w:t>　　第四部分   2026年部门预算附表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一、部门收支预算总体情况表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二、部门收入预算总体情况表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三、部门支出预算总体情况表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四、财政拨款收支预算总体情况表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五、 一般公共预算支出情况表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六、一般公共预算基本支出情况表（经济分类款级科目）</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七、一般公共预算“三公”经费支出情况表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八、政府性基金预算支出情况表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九、区对镇（街）转移支付项目支出预算表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十、部门整体支出绩效目标表</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十一、一级项目绩效目标表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jc w:val="center"/>
              <w:rPr>
                <w:rFonts w:hint="eastAsia" w:ascii="黑体" w:hAnsi="黑体" w:eastAsia="黑体" w:cs="Times New Roman"/>
                <w:sz w:val="32"/>
              </w:rPr>
            </w:pPr>
            <w:r>
              <w:rPr>
                <w:rFonts w:hint="eastAsia" w:ascii="黑体" w:hAnsi="黑体" w:eastAsia="黑体" w:cs="Times New Roman"/>
                <w:sz w:val="32"/>
              </w:rPr>
              <w:t>第一部分  部门概况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9"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黑体" w:hAnsi="黑体" w:eastAsia="黑体" w:cs="Times New Roman"/>
                <w:sz w:val="32"/>
              </w:rPr>
              <w:t>　　一、部门主要职责</w:t>
            </w:r>
          </w:p>
          <w:p>
            <w:pPr>
              <w:spacing w:beforeLines="0" w:afterLines="0" w:line="555" w:lineRule="exact"/>
              <w:rPr>
                <w:rFonts w:hint="eastAsia" w:ascii="FangSong_GB2312" w:hAnsi="FangSong_GB2312" w:eastAsia="FangSong_GB2312" w:cs="Times New Roman"/>
                <w:sz w:val="32"/>
              </w:rPr>
            </w:pPr>
            <w:r>
              <w:rPr>
                <w:rFonts w:hint="eastAsia" w:ascii="仿宋_GB2312" w:hAnsi="仿宋_GB2312" w:eastAsia="仿宋_GB2312" w:cs="Times New Roman"/>
                <w:sz w:val="32"/>
              </w:rPr>
              <w:t>　　</w:t>
            </w:r>
            <w:r>
              <w:rPr>
                <w:rFonts w:hint="eastAsia" w:ascii="仿宋_GB2312" w:hAnsi="仿宋_GB2312" w:eastAsia="仿宋_GB2312" w:cs="Times New Roman"/>
                <w:sz w:val="32"/>
                <w:lang w:eastAsia="zh-CN"/>
              </w:rPr>
              <w:t>厦门市</w:t>
            </w:r>
            <w:r>
              <w:rPr>
                <w:rFonts w:hint="eastAsia" w:ascii="FangSong_GB2312" w:hAnsi="FangSong_GB2312" w:eastAsia="FangSong_GB2312" w:cs="Times New Roman"/>
                <w:sz w:val="32"/>
              </w:rPr>
              <w:t>湖里区审计局的主要职责是：</w:t>
            </w:r>
          </w:p>
          <w:p>
            <w:pPr>
              <w:spacing w:beforeLines="0" w:afterLines="0" w:line="555" w:lineRule="exact"/>
              <w:ind w:firstLine="640" w:firstLineChars="200"/>
              <w:rPr>
                <w:rFonts w:hint="eastAsia" w:ascii="FangSong_GB2312" w:hAnsi="FangSong_GB2312" w:eastAsia="FangSong_GB2312" w:cs="Times New Roman"/>
                <w:sz w:val="32"/>
              </w:rPr>
            </w:pPr>
            <w:r>
              <w:rPr>
                <w:rFonts w:hint="eastAsia" w:ascii="FangSong_GB2312" w:hAnsi="FangSong_GB2312" w:eastAsia="FangSong_GB2312" w:cs="Times New Roman"/>
                <w:sz w:val="32"/>
              </w:rPr>
              <w:t>（一）贯彻执行国家、省、市有关审计法律法规和政策，负责对区财政收支和法律法规规定属于审计监督范围的财务收支的真实、合法和效益进行审计监督，维护财政经济秩序，提高财政资金使用效益，促进廉政建设，保障国民经济和社会健康发展；对审计、专项审计调查的结果承担责任，并承担督促被审计单位整改的责任。</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（二）制定并组织实施审计工作发展规划和专业领域审计工作规划，制定并组织实施年度审计计划。</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三）向区政府和上级审计机关提出年度区级预算执行和其他财政收支情况的审计结果报告；受区政府委托向区人大常委会提出区级预算执行和其他财政收支情况的审计工作报告、审计发现问题的纠正和处理结果报告；向区政府报告对其他事项的审计和专项审计调查情况及结果；依法向社会公布审计结果；向区政府有关部门和政府派出机构通报审计情况及结果。</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（四）直接审计下列事项，出具审计报告，在法定职权范围内做出审计决定或向有关主管机关提出处理处罚的建议：</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1．区级预算执行情况和其他财政收支，区直各部门（含直属事业单位）预算的执行情况、决算和其他财政收支。</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2．街道办事处、工业园区管委会的预算执行情况、决算和其他财政收支，区级财政转移支付资金。</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3．使用区级财政资金的事业单位和社会团体的财务收支。</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4．区级投资和以区级投资为主的建设项目的预算执行情况和决算。</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5．区政府有关部门管理的和受区政府委托由社会团体管理的社会保障基金、社会捐赠资金以及其他有关基金、资金的财务收支。</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6．国际组织和外国政府援助、贷款项目的财务收支。</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7．区属国有企业和区国有资本占控股或主体地位的企业资产、负债、损益情况。</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8．法律、行政法规规定应由区审计局审计的其他事项。</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（五）按规定对国家机关和依法属于区审计局审计监督对象的其他单位主要负责人实施经济责任审计。</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（六）组织实施对国家财经法律、法规、规章、政策和宏观调控措施执行情况、财政预算管理或国有资产管理使用等与国家财政收支有关的特定事项进行专项审计调查。</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（七）依法检查审计决定执行情况，督促纠正和处理审计发现的问题，依法办理被审计单位对审计决定提</w:t>
            </w:r>
            <w:r>
              <w:rPr>
                <w:rFonts w:hint="eastAsia" w:ascii="FangSong_GB2312" w:hAnsi="FangSong_GB2312" w:eastAsia="FangSong_GB2312" w:cs="Times New Roman"/>
                <w:sz w:val="32"/>
                <w:lang w:eastAsia="zh-CN"/>
              </w:rPr>
              <w:t>起</w:t>
            </w:r>
            <w:r>
              <w:rPr>
                <w:rFonts w:hint="eastAsia" w:ascii="FangSong_GB2312" w:hAnsi="FangSong_GB2312" w:eastAsia="FangSong_GB2312" w:cs="Times New Roman"/>
                <w:sz w:val="32"/>
              </w:rPr>
              <w:t>行政诉讼或区政府裁决中的有关事项；协助配合有关部门查处相关重大案件。</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（八）指导和监督内部审计工作。</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（九）接受上级审计部门委托进行审计或审计调查。</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（十）对直接审计、调查的事项依法进行审计评价，做出审计决定或提出审计建议。</w:t>
            </w:r>
          </w:p>
          <w:p>
            <w:pPr>
              <w:spacing w:beforeLines="0" w:afterLines="0" w:line="555" w:lineRule="exact"/>
              <w:rPr>
                <w:rFonts w:hint="eastAsia" w:ascii="FangSong_GB2312" w:hAnsi="FangSong_GB2312" w:eastAsia="FangSong_GB2312" w:cs="Times New Roman"/>
                <w:sz w:val="32"/>
              </w:rPr>
            </w:pPr>
            <w:r>
              <w:rPr>
                <w:rFonts w:hint="eastAsia" w:ascii="FangSong_GB2312" w:hAnsi="FangSong_GB2312" w:eastAsia="FangSong_GB2312" w:cs="Times New Roman"/>
                <w:sz w:val="32"/>
              </w:rPr>
              <w:t>　　（十一）负责审计干部教育和专业培训，受理审计举报工作。</w:t>
            </w:r>
          </w:p>
          <w:p>
            <w:pPr>
              <w:spacing w:beforeLines="0" w:afterLines="0" w:line="555" w:lineRule="exact"/>
              <w:rPr>
                <w:rFonts w:hint="eastAsia" w:ascii="黑体" w:hAnsi="黑体" w:eastAsia="黑体" w:cs="Times New Roman"/>
                <w:sz w:val="32"/>
              </w:rPr>
            </w:pPr>
            <w:r>
              <w:rPr>
                <w:rFonts w:hint="eastAsia" w:ascii="FangSong_GB2312" w:hAnsi="FangSong_GB2312" w:eastAsia="FangSong_GB2312" w:cs="Times New Roman"/>
                <w:sz w:val="32"/>
              </w:rPr>
              <w:t>　　（十二）承办区委、区政府交办的其他事项。</w:t>
            </w:r>
          </w:p>
          <w:p>
            <w:pPr>
              <w:spacing w:beforeLines="0" w:afterLines="0" w:line="555" w:lineRule="exact"/>
              <w:rPr>
                <w:rFonts w:hint="eastAsia" w:ascii="黑体" w:hAnsi="黑体" w:eastAsia="黑体" w:cs="Times New Roman"/>
                <w:sz w:val="32"/>
              </w:rPr>
            </w:pPr>
          </w:p>
          <w:p>
            <w:pPr>
              <w:spacing w:beforeLines="0" w:afterLines="0" w:line="555" w:lineRule="exact"/>
              <w:rPr>
                <w:rFonts w:hint="eastAsia" w:ascii="仿宋_GB2312" w:hAnsi="仿宋_GB2312" w:eastAsia="仿宋_GB2312" w:cs="Times New Roman"/>
                <w:sz w:val="32"/>
              </w:rPr>
            </w:pPr>
            <w:r>
              <w:rPr>
                <w:rFonts w:hint="eastAsia" w:ascii="黑体" w:hAnsi="黑体" w:eastAsia="黑体" w:cs="Times New Roman"/>
                <w:sz w:val="32"/>
              </w:rPr>
              <w:t>　　二、部门预算单位基本情况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纳入厦门市湖里区审计局部门2026年部门预算编制范围的单位包括:</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 w:hRule="atLeast"/>
        </w:trPr>
        <w:tc>
          <w:tcPr>
            <w:tcW w:w="529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555" w:lineRule="exact"/>
              <w:ind w:left="20"/>
              <w:jc w:val="center"/>
              <w:rPr>
                <w:rFonts w:hint="eastAsia" w:ascii="仿宋_GB2312" w:hAnsi="仿宋_GB2312" w:eastAsia="仿宋_GB2312" w:cs="Times New Roman"/>
                <w:sz w:val="32"/>
              </w:rPr>
            </w:pPr>
            <w:r>
              <w:rPr>
                <w:rFonts w:hint="eastAsia" w:ascii="仿宋_GB2312" w:hAnsi="仿宋_GB2312" w:eastAsia="仿宋_GB2312" w:cs="Times New Roman"/>
                <w:sz w:val="32"/>
              </w:rPr>
              <w:t>单位名称</w:t>
            </w:r>
          </w:p>
        </w:tc>
        <w:tc>
          <w:tcPr>
            <w:tcW w:w="3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555" w:lineRule="exact"/>
              <w:ind w:left="20"/>
              <w:jc w:val="center"/>
              <w:rPr>
                <w:rFonts w:hint="eastAsia" w:ascii="仿宋_GB2312" w:hAnsi="仿宋_GB2312" w:eastAsia="仿宋_GB2312" w:cs="Times New Roman"/>
                <w:sz w:val="32"/>
              </w:rPr>
            </w:pPr>
            <w:r>
              <w:rPr>
                <w:rFonts w:hint="eastAsia" w:ascii="仿宋_GB2312" w:hAnsi="仿宋_GB2312" w:eastAsia="仿宋_GB2312" w:cs="Times New Roman"/>
                <w:sz w:val="32"/>
              </w:rPr>
              <w:t>经费性质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 w:hRule="atLeast"/>
        </w:trPr>
        <w:tc>
          <w:tcPr>
            <w:tcW w:w="529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555" w:lineRule="exact"/>
              <w:ind w:left="20"/>
              <w:jc w:val="center"/>
              <w:rPr>
                <w:rFonts w:hint="eastAsia" w:ascii="仿宋_GB2312" w:hAnsi="仿宋_GB2312" w:eastAsia="仿宋_GB2312" w:cs="Times New Roman"/>
                <w:sz w:val="32"/>
              </w:rPr>
            </w:pPr>
            <w:r>
              <w:rPr>
                <w:rFonts w:hint="eastAsia" w:ascii="仿宋_GB2312" w:hAnsi="仿宋_GB2312" w:eastAsia="仿宋_GB2312" w:cs="Times New Roman"/>
                <w:sz w:val="32"/>
              </w:rPr>
              <w:t>厦门市湖里区审计局</w:t>
            </w:r>
          </w:p>
        </w:tc>
        <w:tc>
          <w:tcPr>
            <w:tcW w:w="3328"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555" w:lineRule="exact"/>
              <w:ind w:left="20"/>
              <w:jc w:val="center"/>
              <w:rPr>
                <w:rFonts w:hint="eastAsia" w:ascii="仿宋_GB2312" w:hAnsi="仿宋_GB2312" w:eastAsia="仿宋_GB2312" w:cs="Times New Roman"/>
                <w:sz w:val="32"/>
              </w:rPr>
            </w:pPr>
            <w:r>
              <w:rPr>
                <w:rFonts w:hint="eastAsia" w:ascii="仿宋_GB2312" w:hAnsi="仿宋_GB2312" w:eastAsia="仿宋_GB2312" w:cs="Times New Roman"/>
                <w:sz w:val="32"/>
              </w:rPr>
              <w:t>全额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黑体" w:hAnsi="黑体" w:eastAsia="黑体" w:cs="Times New Roman"/>
                <w:sz w:val="32"/>
              </w:rPr>
              <w:t>　　三、部门主要工作任务</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2026年，厦门市湖里区审计局主要任务是：</w:t>
            </w:r>
            <w:r>
              <w:rPr>
                <w:rFonts w:hint="eastAsia" w:ascii="仿宋_GB2312" w:hAnsi="仿宋_GB2312" w:eastAsia="仿宋_GB2312" w:cs="Times New Roman"/>
                <w:sz w:val="32"/>
                <w:lang w:val="en-US" w:eastAsia="zh-CN"/>
              </w:rPr>
              <w:t>将继续坚持以习近平新时代中国特色社会主义思想为指导，依法全面履行审计监督职责，深入实施“提高效率、提升效能、提增效益”行动，更好发挥审计“治已病，防未病”作用，</w:t>
            </w:r>
            <w:r>
              <w:rPr>
                <w:rFonts w:hint="eastAsia" w:ascii="仿宋_GB2312" w:hAnsi="仿宋_GB2312" w:eastAsia="仿宋_GB2312" w:cs="Times New Roman"/>
                <w:sz w:val="32"/>
              </w:rPr>
              <w:t>围绕上述任务，重点抓好以下工作：</w:t>
            </w:r>
          </w:p>
          <w:p>
            <w:pPr>
              <w:numPr>
                <w:ilvl w:val="0"/>
                <w:numId w:val="0"/>
              </w:numPr>
              <w:autoSpaceDE/>
              <w:autoSpaceDN/>
              <w:adjustRightInd/>
              <w:spacing w:beforeLines="0" w:afterLines="0" w:line="560" w:lineRule="exact"/>
              <w:ind w:firstLine="643" w:firstLineChars="200"/>
              <w:rPr>
                <w:rFonts w:hint="eastAsia" w:ascii="仿宋_GB2312" w:hAnsi="仿宋_GB2312" w:eastAsia="仿宋_GB2312" w:cs="Times New Roman"/>
                <w:sz w:val="32"/>
                <w:lang w:val="en-US" w:eastAsia="zh-CN"/>
              </w:rPr>
            </w:pPr>
            <w:r>
              <w:rPr>
                <w:rFonts w:hint="eastAsia" w:ascii="楷体" w:hAnsi="楷体" w:eastAsia="楷体" w:cs="Times New Roman"/>
                <w:b/>
                <w:sz w:val="32"/>
                <w:lang w:val="en-US" w:eastAsia="zh-CN"/>
              </w:rPr>
              <w:t>（一）聚焦政策落实，强化跟踪审计。</w:t>
            </w:r>
            <w:r>
              <w:rPr>
                <w:rFonts w:hint="eastAsia" w:ascii="仿宋_GB2312" w:hAnsi="仿宋_GB2312" w:eastAsia="仿宋_GB2312" w:cs="Times New Roman"/>
                <w:sz w:val="32"/>
                <w:lang w:val="en-US" w:eastAsia="zh-CN"/>
              </w:rPr>
              <w:t>持续关注国家和省市重大政策措施在湖里区的落地见效情况，特别是区委、区政府确定的年度重点任务、优化营商环境、科技创新、产业升级等领域，紧盯项目推进、资金使用、政策兑现全过程，及时揭示政策执行中的堵点、难点和风险点，推动整改落实，以审计监督促进政令畅通。</w:t>
            </w:r>
          </w:p>
          <w:p>
            <w:pPr>
              <w:numPr>
                <w:ilvl w:val="0"/>
                <w:numId w:val="0"/>
              </w:numPr>
              <w:autoSpaceDE/>
              <w:autoSpaceDN/>
              <w:adjustRightInd/>
              <w:spacing w:beforeLines="0" w:afterLines="0" w:line="560" w:lineRule="exact"/>
              <w:ind w:firstLine="643" w:firstLineChars="200"/>
              <w:rPr>
                <w:rFonts w:hint="eastAsia" w:ascii="仿宋_GB2312" w:hAnsi="仿宋_GB2312" w:eastAsia="仿宋_GB2312" w:cs="Times New Roman"/>
                <w:sz w:val="32"/>
                <w:lang w:val="en-US" w:eastAsia="zh-CN"/>
              </w:rPr>
            </w:pPr>
            <w:r>
              <w:rPr>
                <w:rFonts w:hint="eastAsia" w:ascii="楷体" w:hAnsi="楷体" w:eastAsia="楷体" w:cs="Times New Roman"/>
                <w:b/>
                <w:sz w:val="32"/>
                <w:lang w:val="en-US" w:eastAsia="zh-CN"/>
              </w:rPr>
              <w:t>（二）聚焦财政资金，提升使用效能。</w:t>
            </w:r>
            <w:r>
              <w:rPr>
                <w:rFonts w:hint="eastAsia" w:ascii="仿宋_GB2312" w:hAnsi="仿宋_GB2312" w:eastAsia="仿宋_GB2312" w:cs="Times New Roman"/>
                <w:sz w:val="32"/>
                <w:lang w:val="en-US" w:eastAsia="zh-CN"/>
              </w:rPr>
              <w:t>深化区本级财政预算执行和决算草案审计，加强对财政资源统筹、预算绩效管理、厉行节约“过紧日子”要求落实情况的审计，关注财政资金使用效益和地方政府债务风险，促进财政资金安全、规范、高效运行，筑牢财政管理“防火墙”。</w:t>
            </w:r>
          </w:p>
          <w:p>
            <w:pPr>
              <w:numPr>
                <w:ilvl w:val="0"/>
                <w:numId w:val="0"/>
              </w:numPr>
              <w:autoSpaceDE/>
              <w:autoSpaceDN/>
              <w:adjustRightInd/>
              <w:spacing w:beforeLines="0" w:afterLines="0" w:line="560" w:lineRule="exact"/>
              <w:ind w:firstLine="643" w:firstLineChars="200"/>
              <w:rPr>
                <w:rFonts w:hint="eastAsia" w:ascii="仿宋_GB2312" w:hAnsi="仿宋_GB2312" w:eastAsia="仿宋_GB2312" w:cs="Times New Roman"/>
                <w:sz w:val="32"/>
                <w:lang w:val="en-US" w:eastAsia="zh-CN"/>
              </w:rPr>
            </w:pPr>
            <w:r>
              <w:rPr>
                <w:rFonts w:hint="eastAsia" w:ascii="楷体" w:hAnsi="楷体" w:eastAsia="楷体" w:cs="Times New Roman"/>
                <w:b/>
                <w:sz w:val="32"/>
                <w:lang w:val="en-US" w:eastAsia="zh-CN"/>
              </w:rPr>
              <w:t>（三）聚焦民生福祉，守护群众利益。</w:t>
            </w:r>
            <w:r>
              <w:rPr>
                <w:rFonts w:hint="eastAsia" w:ascii="仿宋_GB2312" w:hAnsi="仿宋_GB2312" w:eastAsia="仿宋_GB2312" w:cs="Times New Roman"/>
                <w:sz w:val="32"/>
                <w:lang w:val="en-US" w:eastAsia="zh-CN"/>
              </w:rPr>
              <w:t>紧盯人民群众急难愁盼问题，加强对教育、医疗、养老、村改居集体资产等重点民生资金和项目的审计监督，严肃查处损害群众利益的突出问题，推动各项惠民政策落到实处。</w:t>
            </w:r>
          </w:p>
          <w:p>
            <w:pPr>
              <w:numPr>
                <w:ilvl w:val="0"/>
                <w:numId w:val="0"/>
              </w:numPr>
              <w:autoSpaceDE/>
              <w:autoSpaceDN/>
              <w:adjustRightInd/>
              <w:spacing w:beforeLines="0" w:afterLines="0" w:line="560" w:lineRule="exact"/>
              <w:ind w:firstLine="643" w:firstLineChars="200"/>
              <w:rPr>
                <w:rFonts w:hint="eastAsia" w:ascii="仿宋_GB2312" w:hAnsi="仿宋_GB2312" w:eastAsia="仿宋_GB2312" w:cs="Times New Roman"/>
                <w:sz w:val="32"/>
                <w:lang w:val="en-US" w:eastAsia="zh-CN"/>
              </w:rPr>
            </w:pPr>
            <w:r>
              <w:rPr>
                <w:rFonts w:hint="eastAsia" w:ascii="楷体" w:hAnsi="楷体" w:eastAsia="楷体" w:cs="Times New Roman"/>
                <w:b/>
                <w:sz w:val="32"/>
                <w:lang w:val="en-US" w:eastAsia="zh-CN"/>
              </w:rPr>
              <w:t>（四）聚焦经济责任，规范权力运行。</w:t>
            </w:r>
            <w:r>
              <w:rPr>
                <w:rFonts w:hint="eastAsia" w:ascii="仿宋_GB2312" w:hAnsi="仿宋_GB2312" w:eastAsia="仿宋_GB2312" w:cs="Times New Roman"/>
                <w:sz w:val="32"/>
                <w:lang w:val="en-US" w:eastAsia="zh-CN"/>
              </w:rPr>
              <w:t>稳步推进领导干部经济责任审计和自然资源资产离任（任中）审计，聚焦领导干部重大决策、资金使用、项目管理等关键环节，强化审计成果运用，促进领导干部守法、守纪、守规、尽责。</w:t>
            </w:r>
          </w:p>
          <w:p>
            <w:pPr>
              <w:numPr>
                <w:ilvl w:val="0"/>
                <w:numId w:val="0"/>
              </w:numPr>
              <w:autoSpaceDE/>
              <w:autoSpaceDN/>
              <w:adjustRightInd/>
              <w:spacing w:beforeLines="0" w:afterLines="0" w:line="560" w:lineRule="exact"/>
              <w:ind w:firstLine="643" w:firstLineChars="200"/>
              <w:rPr>
                <w:rFonts w:hint="eastAsia" w:ascii="仿宋_GB2312" w:hAnsi="仿宋_GB2312" w:eastAsia="仿宋_GB2312" w:cs="Times New Roman"/>
                <w:sz w:val="32"/>
                <w:lang w:val="en-US" w:eastAsia="zh-CN"/>
              </w:rPr>
            </w:pPr>
            <w:r>
              <w:rPr>
                <w:rFonts w:hint="eastAsia" w:ascii="楷体" w:hAnsi="楷体" w:eastAsia="楷体" w:cs="Times New Roman"/>
                <w:b/>
                <w:sz w:val="32"/>
                <w:lang w:val="en-US" w:eastAsia="zh-CN"/>
              </w:rPr>
              <w:t>（五）聚焦审计整改，健全闭环机制。</w:t>
            </w:r>
            <w:r>
              <w:rPr>
                <w:rFonts w:hint="eastAsia" w:ascii="仿宋_GB2312" w:hAnsi="仿宋_GB2312" w:eastAsia="仿宋_GB2312" w:cs="Times New Roman"/>
                <w:sz w:val="32"/>
                <w:lang w:val="en-US" w:eastAsia="zh-CN"/>
              </w:rPr>
              <w:t>健全完善审计查出问题整改长效机制，压实被审计单位的整改主体责任和主管部门的监督管理责任。强化对审计整改情况的跟踪检查和督促指导，切实做好审计“后半篇文章”。深化审计成果转化，从体制机制层面分析问题根源，提出针对性审计建议，推动相关部门完善制度、堵塞漏洞，实现“审计一片、规范一片”的效果。</w:t>
            </w:r>
          </w:p>
          <w:p>
            <w:pPr>
              <w:numPr>
                <w:ilvl w:val="0"/>
                <w:numId w:val="0"/>
              </w:numPr>
              <w:autoSpaceDE/>
              <w:autoSpaceDN/>
              <w:adjustRightInd/>
              <w:spacing w:beforeLines="0" w:afterLines="0" w:line="560" w:lineRule="exact"/>
              <w:ind w:firstLine="643" w:firstLineChars="200"/>
              <w:rPr>
                <w:rFonts w:hint="eastAsia" w:ascii="仿宋_GB2312" w:hAnsi="仿宋_GB2312" w:eastAsia="仿宋_GB2312" w:cs="Times New Roman"/>
                <w:sz w:val="32"/>
                <w:lang w:val="en-US" w:eastAsia="zh-CN"/>
              </w:rPr>
            </w:pPr>
            <w:r>
              <w:rPr>
                <w:rFonts w:hint="eastAsia" w:ascii="楷体" w:hAnsi="楷体" w:eastAsia="楷体" w:cs="Times New Roman"/>
                <w:b/>
                <w:sz w:val="32"/>
                <w:lang w:val="en-US" w:eastAsia="zh-CN"/>
              </w:rPr>
              <w:t>（六）聚焦能力建设，锻造审计铁军。</w:t>
            </w:r>
            <w:r>
              <w:rPr>
                <w:rFonts w:hint="eastAsia" w:ascii="仿宋_GB2312" w:hAnsi="仿宋_GB2312" w:eastAsia="仿宋_GB2312" w:cs="Times New Roman"/>
                <w:sz w:val="32"/>
                <w:lang w:val="en-US" w:eastAsia="zh-CN"/>
              </w:rPr>
              <w:t>深化大数据审计应用，提升审计精准性和实效性。加强政治建设，筑牢思想根基，通过业务培训、实战练兵、交流学习等方式，提升审计干部专业素养和实战能力。严格执行审计“八不准”工作纪律，打造忠诚干净担当的高素质专业化审计队伍。</w:t>
            </w:r>
          </w:p>
          <w:p>
            <w:pPr>
              <w:spacing w:beforeLines="0" w:afterLines="0" w:line="555" w:lineRule="exact"/>
              <w:rPr>
                <w:rFonts w:hint="eastAsia" w:ascii="仿宋_GB2312" w:hAnsi="仿宋_GB2312" w:eastAsia="仿宋_GB2312" w:cs="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jc w:val="center"/>
              <w:rPr>
                <w:rFonts w:hint="eastAsia" w:ascii="黑体" w:hAnsi="黑体" w:eastAsia="黑体" w:cs="Times New Roman"/>
                <w:sz w:val="32"/>
              </w:rPr>
            </w:pPr>
            <w:r>
              <w:rPr>
                <w:rFonts w:hint="eastAsia" w:ascii="黑体" w:hAnsi="黑体" w:eastAsia="黑体" w:cs="Times New Roman"/>
                <w:sz w:val="32"/>
              </w:rPr>
              <w:t>第二部分  2026年部门预算说明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86"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华文仿宋" w:hAnsi="华文仿宋" w:eastAsia="华文仿宋" w:cs="Times New Roman"/>
                <w:sz w:val="32"/>
              </w:rPr>
            </w:pPr>
            <w:r>
              <w:rPr>
                <w:rFonts w:hint="eastAsia" w:ascii="黑体" w:hAnsi="黑体" w:eastAsia="黑体" w:cs="Times New Roman"/>
                <w:sz w:val="32"/>
              </w:rPr>
              <w:t>　　一、2026年部门预算收支总体情况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根据预算管理的有关规定，部门的全部收入和支出均纳入部门预算管理。</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（一）厦门市湖里区审计局2026年收入预算为666.07万元，比2025年预算数</w:t>
            </w:r>
            <w:r>
              <w:rPr>
                <w:rFonts w:hint="eastAsia" w:ascii="仿宋_GB2312" w:hAnsi="仿宋_GB2312" w:eastAsia="仿宋_GB2312" w:cs="Times New Roman"/>
                <w:sz w:val="32"/>
                <w:lang w:val="en-US" w:eastAsia="zh-CN"/>
              </w:rPr>
              <w:t>629.68</w:t>
            </w:r>
            <w:r>
              <w:rPr>
                <w:rFonts w:hint="eastAsia" w:ascii="仿宋_GB2312" w:hAnsi="仿宋_GB2312" w:eastAsia="仿宋_GB2312" w:cs="Times New Roman"/>
                <w:sz w:val="32"/>
              </w:rPr>
              <w:t>万元，</w:t>
            </w:r>
            <w:r>
              <w:rPr>
                <w:rFonts w:hint="eastAsia" w:ascii="仿宋_GB2312" w:hAnsi="仿宋_GB2312" w:eastAsia="仿宋_GB2312" w:cs="Times New Roman"/>
                <w:sz w:val="32"/>
                <w:lang w:eastAsia="zh-CN"/>
              </w:rPr>
              <w:t>增长</w:t>
            </w:r>
            <w:r>
              <w:rPr>
                <w:rFonts w:hint="eastAsia" w:ascii="仿宋_GB2312" w:hAnsi="仿宋_GB2312" w:eastAsia="仿宋_GB2312" w:cs="Times New Roman"/>
                <w:sz w:val="32"/>
                <w:lang w:val="en-US" w:eastAsia="zh-CN"/>
              </w:rPr>
              <w:t>5.78</w:t>
            </w:r>
            <w:r>
              <w:rPr>
                <w:rFonts w:hint="eastAsia" w:ascii="仿宋_GB2312" w:hAnsi="仿宋_GB2312" w:eastAsia="仿宋_GB2312" w:cs="Times New Roman"/>
                <w:sz w:val="32"/>
              </w:rPr>
              <w:t>％，具体情况如下：</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1.财政拨款收入666.07万元，其中一般公共预算拨款收入666.07万元，政府性基金拨款收入0.00万元，国有资本经营预算拨款收入0.00万元；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2.财政专户管理资金收入0.00万元；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3.事业收入0.00万元；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4.事业单位经营收入0.00万元；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5.上级补助收入0.00万元；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6.附属单位上缴收入0.00万元；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7.其他收入0.00万元；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8.上年结转结余0.00万元。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3"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（二）厦门市湖里区审计局2026年支出预算为666.07万元（不含市对区转移支付项目），比2025年预算数增加36.39万元，增长5.78％，具体情况如下：</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1.财政拨款基本支出566.07万元，其中，人员支出530.57万元，公用支出35.50万元；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2.财政拨款项目支出100.00万元；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3.非财政拨款支出0.00万元。</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（三）厦门市湖里区审计局2026年区对镇（街）转移支付项目预算为</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7"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黑体" w:hAnsi="黑体" w:eastAsia="黑体" w:cs="Times New Roman"/>
                <w:sz w:val="32"/>
              </w:rPr>
              <w:t>　　二、一般公共预算财政拨款支出预算情况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2026年度一般公共预算支出666.07万元（不含市对区转移支付项目），比2025年预算数增加36.39万元，增长5.78%，主要是由于</w:t>
            </w:r>
            <w:r>
              <w:rPr>
                <w:rFonts w:hint="eastAsia" w:ascii="仿宋_GB2312" w:hAnsi="仿宋_GB2312" w:eastAsia="仿宋_GB2312" w:cs="Times New Roman"/>
                <w:color w:val="FF0000"/>
                <w:sz w:val="32"/>
                <w:lang w:eastAsia="zh-CN"/>
              </w:rPr>
              <w:t>人员职级变动</w:t>
            </w:r>
            <w:r>
              <w:rPr>
                <w:rFonts w:hint="eastAsia" w:ascii="仿宋_GB2312" w:hAnsi="仿宋_GB2312" w:eastAsia="仿宋_GB2312" w:cs="Times New Roman"/>
                <w:sz w:val="32"/>
              </w:rPr>
              <w:t>。支出项目(按项级科目分类统计)包括：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1.一般公共服务支出（类）审计事务（款）行政运行（项）461.75万元。主要用于</w:t>
            </w:r>
            <w:r>
              <w:rPr>
                <w:rFonts w:hint="eastAsia" w:ascii="仿宋_GB2312" w:hAnsi="仿宋" w:eastAsia="仿宋_GB2312" w:cs="Times New Roman"/>
                <w:sz w:val="32"/>
              </w:rPr>
              <w:t>人员工资、津补贴、奖金</w:t>
            </w:r>
            <w:r>
              <w:rPr>
                <w:rFonts w:hint="eastAsia" w:ascii="仿宋_GB2312" w:hAnsi="仿宋" w:eastAsia="仿宋_GB2312" w:cs="Times New Roman"/>
                <w:sz w:val="32"/>
                <w:lang w:eastAsia="zh-CN"/>
              </w:rPr>
              <w:t>及公用经费支出</w:t>
            </w:r>
            <w:r>
              <w:rPr>
                <w:rFonts w:hint="eastAsia" w:ascii="仿宋_GB2312" w:hAnsi="仿宋_GB2312" w:eastAsia="仿宋_GB2312" w:cs="Times New Roman"/>
                <w:sz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2.一般公共服务支出（类）审计事务（款）审计业务（项）100.00万元。主要用于</w:t>
            </w:r>
            <w:r>
              <w:rPr>
                <w:rFonts w:hint="eastAsia" w:ascii="仿宋_GB2312" w:hAnsi="仿宋_GB2312" w:eastAsia="仿宋_GB2312" w:cs="Times New Roman"/>
                <w:sz w:val="32"/>
                <w:lang w:val="en-US" w:eastAsia="zh-CN"/>
              </w:rPr>
              <w:t>聘请中介用于审计工作、审计信息宣传报道、购买审计相关工作设备、配合对接审计工作、审计档案工作和其他审计相关工作</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3.社会保障和就业支出（类）行政事业单位养老支出（款）行政单位离退休（项）18.33万元。主要用于</w:t>
            </w:r>
            <w:r>
              <w:rPr>
                <w:rFonts w:hint="eastAsia" w:ascii="仿宋_GB2312" w:hAnsi="仿宋_GB2312" w:eastAsia="仿宋_GB2312" w:cs="Times New Roman"/>
                <w:sz w:val="32"/>
                <w:lang w:eastAsia="zh-CN"/>
              </w:rPr>
              <w:t>退休人员社保费用</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9"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4.社会保障和就业支出（类）行政事业单位养老支出（款）机关事业单位基本养老保险缴费支出（项）40.05万元。主要用于</w:t>
            </w:r>
            <w:r>
              <w:rPr>
                <w:rFonts w:hint="eastAsia" w:ascii="仿宋_GB2312" w:hAnsi="仿宋_GB2312" w:eastAsia="仿宋_GB2312" w:cs="Times New Roman"/>
                <w:sz w:val="32"/>
                <w:lang w:eastAsia="zh-CN"/>
              </w:rPr>
              <w:t>行政事业人员养老费用</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9"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5.社会保障和就业支出（类）行政事业单位养老支出（款）机关事业单位职业年金缴费支出（项）20.02万元。主要用于</w:t>
            </w:r>
            <w:r>
              <w:rPr>
                <w:rFonts w:hint="eastAsia" w:ascii="仿宋_GB2312" w:hAnsi="仿宋_GB2312" w:eastAsia="仿宋_GB2312" w:cs="Times New Roman"/>
                <w:sz w:val="32"/>
                <w:lang w:eastAsia="zh-CN"/>
              </w:rPr>
              <w:t>职业年金缴费</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6.卫生健康支出（类）行政事业单位医疗（款）行政单位医疗（项）17.15万元。主要用于</w:t>
            </w:r>
            <w:r>
              <w:rPr>
                <w:rFonts w:hint="eastAsia" w:ascii="仿宋_GB2312" w:hAnsi="仿宋_GB2312" w:eastAsia="仿宋_GB2312" w:cs="Times New Roman"/>
                <w:sz w:val="32"/>
                <w:lang w:eastAsia="zh-CN"/>
              </w:rPr>
              <w:t>医疗保险</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7.卫生健康支出（类）行政事业单位医疗（款）公务员医疗补助（项）4.08万元。主要用于</w:t>
            </w:r>
            <w:r>
              <w:rPr>
                <w:rFonts w:hint="eastAsia" w:ascii="仿宋_GB2312" w:hAnsi="仿宋_GB2312" w:eastAsia="仿宋_GB2312" w:cs="Times New Roman"/>
                <w:sz w:val="32"/>
                <w:lang w:eastAsia="zh-CN"/>
              </w:rPr>
              <w:t>医疗保险</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rPr>
                <w:rFonts w:hint="eastAsia" w:ascii="仿宋_GB2312" w:hAnsi="仿宋_GB2312" w:eastAsia="仿宋_GB2312" w:cs="Times New Roman"/>
                <w:sz w:val="32"/>
              </w:rPr>
            </w:pPr>
            <w:r>
              <w:rPr>
                <w:rFonts w:hint="eastAsia" w:ascii="仿宋_GB2312" w:hAnsi="仿宋_GB2312" w:eastAsia="仿宋_GB2312" w:cs="Times New Roman"/>
                <w:sz w:val="32"/>
              </w:rPr>
              <w:t>　　8.卫生健康支出（类）行政事业单位医疗（款）其他行政事业单位医疗支出（项）4.68万元。主要用于</w:t>
            </w:r>
            <w:r>
              <w:rPr>
                <w:rFonts w:hint="eastAsia" w:ascii="仿宋_GB2312" w:hAnsi="仿宋_GB2312" w:eastAsia="仿宋_GB2312" w:cs="Times New Roman"/>
                <w:sz w:val="32"/>
                <w:lang w:eastAsia="zh-CN"/>
              </w:rPr>
              <w:t>医疗保险</w:t>
            </w:r>
            <w:r>
              <w:rPr>
                <w:rFonts w:hint="eastAsia" w:ascii="仿宋_GB2312" w:hAnsi="仿宋_GB2312" w:eastAsia="仿宋_GB2312" w:cs="Times New Roman"/>
                <w:sz w:val="3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7"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黑体" w:hAnsi="黑体" w:eastAsia="黑体" w:cs="Times New Roman"/>
                <w:sz w:val="32"/>
              </w:rPr>
              <w:t>　　三、政府性基金预算财政拨款支出情况</w:t>
            </w:r>
          </w:p>
          <w:p>
            <w:pPr>
              <w:spacing w:beforeLines="0" w:afterLines="0" w:line="555" w:lineRule="exact"/>
              <w:rPr>
                <w:rFonts w:hint="eastAsia" w:ascii="仿宋_GB2312" w:hAnsi="仿宋_GB2312" w:eastAsia="仿宋_GB2312" w:cs="Times New Roman"/>
                <w:sz w:val="32"/>
                <w:lang w:eastAsia="zh-CN"/>
              </w:rPr>
            </w:pPr>
            <w:r>
              <w:rPr>
                <w:rFonts w:hint="eastAsia" w:ascii="仿宋_GB2312" w:hAnsi="仿宋_GB2312" w:eastAsia="仿宋_GB2312" w:cs="Times New Roman"/>
                <w:sz w:val="32"/>
              </w:rPr>
              <w:t>　　2026年度政府性基金支出0.00万元（不含市对区转移支付项目），比2025年预算数增加0.00万元，增长0%，主要是由于2026年</w:t>
            </w:r>
            <w:r>
              <w:rPr>
                <w:rFonts w:hint="eastAsia" w:ascii="仿宋_GB2312" w:hAnsi="仿宋_GB2312" w:eastAsia="仿宋_GB2312" w:cs="Times New Roman"/>
                <w:sz w:val="32"/>
                <w:lang w:eastAsia="zh-CN"/>
              </w:rPr>
              <w:t>我局未</w:t>
            </w:r>
            <w:r>
              <w:rPr>
                <w:rFonts w:hint="eastAsia" w:ascii="仿宋_GB2312" w:hAnsi="仿宋_GB2312" w:eastAsia="仿宋_GB2312" w:cs="Times New Roman"/>
                <w:sz w:val="32"/>
              </w:rPr>
              <w:t>使用政府性基金预算拨款安排支出</w:t>
            </w:r>
            <w:r>
              <w:rPr>
                <w:rFonts w:hint="eastAsia" w:ascii="仿宋_GB2312" w:hAnsi="仿宋_GB2312" w:eastAsia="仿宋_GB2312" w:cs="Times New Roman"/>
                <w:sz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1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黑体" w:hAnsi="黑体" w:eastAsia="黑体" w:cs="Times New Roman"/>
                <w:sz w:val="32"/>
              </w:rPr>
              <w:t>　　四、“三公”经费财政拨款预算情况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2026年“三公”经费财政拨款预算数为</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万元，其中：因公出国（境）经费</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万元，公务接待费</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万元，公务用车购置及运行费</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万元。具体情况如下：</w:t>
            </w:r>
          </w:p>
          <w:p>
            <w:pPr>
              <w:spacing w:beforeLines="0" w:afterLines="0" w:line="555" w:lineRule="exact"/>
              <w:rPr>
                <w:rFonts w:hint="eastAsia" w:ascii="仿宋_GB2312" w:hAnsi="仿宋_GB2312" w:eastAsia="仿宋_GB2312" w:cs="Times New Roman"/>
                <w:sz w:val="32"/>
              </w:rPr>
            </w:pPr>
            <w:r>
              <w:rPr>
                <w:rFonts w:hint="eastAsia" w:ascii="楷体" w:hAnsi="楷体" w:eastAsia="楷体" w:cs="Times New Roman"/>
                <w:sz w:val="32"/>
              </w:rPr>
              <w:t>（一）因公出国（境）经费</w:t>
            </w:r>
          </w:p>
          <w:p>
            <w:pPr>
              <w:spacing w:beforeLines="0" w:afterLines="0" w:line="555" w:lineRule="exact"/>
              <w:rPr>
                <w:rFonts w:hint="eastAsia" w:ascii="仿宋_GB2312" w:hAnsi="仿宋_GB2312" w:eastAsia="仿宋_GB2312" w:cs="Times New Roman"/>
                <w:sz w:val="24"/>
              </w:rPr>
            </w:pPr>
            <w:r>
              <w:rPr>
                <w:rFonts w:hint="eastAsia" w:ascii="仿宋_GB2312" w:hAnsi="仿宋_GB2312" w:eastAsia="仿宋_GB2312" w:cs="Times New Roman"/>
                <w:sz w:val="32"/>
              </w:rPr>
              <w:t>　　2026年预算安排</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万元。主要用于</w:t>
            </w:r>
            <w:r>
              <w:rPr>
                <w:rFonts w:hint="eastAsia" w:ascii="仿宋_GB2312" w:hAnsi="仿宋_GB2312" w:eastAsia="仿宋_GB2312" w:cs="Times New Roman"/>
                <w:color w:val="FF0000"/>
                <w:sz w:val="32"/>
                <w:lang w:eastAsia="zh-CN"/>
              </w:rPr>
              <w:t>因公出国（境）</w:t>
            </w:r>
            <w:r>
              <w:rPr>
                <w:rFonts w:hint="eastAsia" w:ascii="仿宋_GB2312" w:hAnsi="仿宋_GB2312" w:eastAsia="仿宋_GB2312" w:cs="Times New Roman"/>
                <w:sz w:val="32"/>
              </w:rPr>
              <w:t>。与上年预算相比</w:t>
            </w:r>
            <w:r>
              <w:rPr>
                <w:rFonts w:hint="eastAsia" w:ascii="仿宋_GB2312" w:hAnsi="仿宋_GB2312" w:eastAsia="仿宋_GB2312" w:cs="Times New Roman"/>
                <w:color w:val="auto"/>
                <w:sz w:val="32"/>
              </w:rPr>
              <w:t>下降</w:t>
            </w:r>
            <w:r>
              <w:rPr>
                <w:rFonts w:hint="eastAsia" w:ascii="仿宋_GB2312" w:hAnsi="仿宋_GB2312" w:eastAsia="仿宋_GB2312" w:cs="Times New Roman"/>
                <w:color w:val="auto"/>
                <w:sz w:val="32"/>
                <w:lang w:val="en-US" w:eastAsia="zh-CN"/>
              </w:rPr>
              <w:t>0</w:t>
            </w:r>
            <w:r>
              <w:rPr>
                <w:rFonts w:hint="eastAsia" w:ascii="仿宋_GB2312" w:hAnsi="仿宋_GB2312" w:eastAsia="仿宋_GB2312" w:cs="Times New Roman"/>
                <w:color w:val="auto"/>
                <w:sz w:val="32"/>
              </w:rPr>
              <w:t>%</w:t>
            </w:r>
            <w:r>
              <w:rPr>
                <w:rFonts w:hint="eastAsia" w:ascii="仿宋_GB2312" w:hAnsi="仿宋_GB2312" w:eastAsia="仿宋_GB2312" w:cs="Times New Roman"/>
                <w:sz w:val="32"/>
              </w:rPr>
              <w:t>，主要原因是:</w:t>
            </w:r>
            <w:r>
              <w:rPr>
                <w:rFonts w:hint="eastAsia" w:ascii="仿宋_GB2312" w:hAnsi="仿宋_GB2312" w:eastAsia="仿宋_GB2312" w:cs="Times New Roman"/>
                <w:color w:val="FF0000"/>
                <w:sz w:val="32"/>
                <w:lang w:eastAsia="zh-CN"/>
              </w:rPr>
              <w:t>我局未预算因公出国经费</w:t>
            </w:r>
            <w:r>
              <w:rPr>
                <w:rFonts w:hint="eastAsia" w:ascii="仿宋_GB2312" w:hAnsi="仿宋_GB2312" w:eastAsia="仿宋_GB2312" w:cs="Times New Roman"/>
                <w:sz w:val="32"/>
              </w:rPr>
              <w:t>。</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w:t>
            </w:r>
          </w:p>
          <w:p>
            <w:pPr>
              <w:spacing w:beforeLines="0" w:afterLines="0" w:line="555" w:lineRule="exact"/>
              <w:rPr>
                <w:rFonts w:hint="eastAsia" w:ascii="仿宋_GB2312" w:hAnsi="仿宋_GB2312" w:eastAsia="仿宋_GB2312" w:cs="Times New Roman"/>
                <w:sz w:val="32"/>
              </w:rPr>
            </w:pPr>
            <w:r>
              <w:rPr>
                <w:rFonts w:hint="eastAsia" w:ascii="楷体" w:hAnsi="楷体" w:eastAsia="楷体" w:cs="Times New Roman"/>
                <w:sz w:val="32"/>
              </w:rPr>
              <w:t>（二）公务接待费</w:t>
            </w:r>
          </w:p>
          <w:p>
            <w:pPr>
              <w:spacing w:beforeLines="0" w:afterLines="0" w:line="555" w:lineRule="exact"/>
              <w:rPr>
                <w:rFonts w:hint="eastAsia" w:ascii="仿宋_GB2312" w:hAnsi="仿宋_GB2312" w:eastAsia="仿宋_GB2312" w:cs="Times New Roman"/>
                <w:sz w:val="32"/>
                <w:lang w:eastAsia="zh-CN"/>
              </w:rPr>
            </w:pPr>
            <w:r>
              <w:rPr>
                <w:rFonts w:hint="eastAsia" w:ascii="仿宋_GB2312" w:hAnsi="仿宋_GB2312" w:eastAsia="仿宋_GB2312" w:cs="Times New Roman"/>
                <w:sz w:val="32"/>
              </w:rPr>
              <w:t>　　2026年预算安排</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万元。主要用于</w:t>
            </w:r>
            <w:r>
              <w:rPr>
                <w:rFonts w:hint="eastAsia" w:ascii="仿宋_GB2312" w:hAnsi="仿宋_GB2312" w:eastAsia="仿宋_GB2312" w:cs="Times New Roman"/>
                <w:color w:val="FF0000"/>
                <w:sz w:val="32"/>
                <w:lang w:eastAsia="zh-CN"/>
              </w:rPr>
              <w:t>公务接待</w:t>
            </w:r>
            <w:r>
              <w:rPr>
                <w:rFonts w:hint="eastAsia" w:ascii="仿宋_GB2312" w:hAnsi="仿宋_GB2312" w:eastAsia="仿宋_GB2312" w:cs="Times New Roman"/>
                <w:sz w:val="32"/>
              </w:rPr>
              <w:t>等方面的接待活动。与上年预算相比</w:t>
            </w:r>
            <w:r>
              <w:rPr>
                <w:rFonts w:hint="eastAsia" w:ascii="仿宋_GB2312" w:hAnsi="仿宋_GB2312" w:eastAsia="仿宋_GB2312" w:cs="Times New Roman"/>
                <w:sz w:val="32"/>
                <w:lang w:eastAsia="zh-CN"/>
              </w:rPr>
              <w:t>下降</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，主要原因是:</w:t>
            </w:r>
            <w:r>
              <w:rPr>
                <w:rFonts w:hint="eastAsia" w:ascii="仿宋_GB2312" w:hAnsi="仿宋_GB2312" w:eastAsia="仿宋_GB2312" w:cs="Times New Roman"/>
                <w:color w:val="FF0000"/>
                <w:sz w:val="32"/>
                <w:lang w:eastAsia="zh-CN"/>
              </w:rPr>
              <w:t>我局未预算公务接待费。</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楷体" w:hAnsi="楷体" w:eastAsia="楷体" w:cs="Times New Roman"/>
                <w:sz w:val="32"/>
              </w:rPr>
              <w:t>　（三）公务用车购置及运行费</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2026年预算安排</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万元，其中：公务用车运行费</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万元，主要用于公务用车燃油、维修、保险等方面支出；公务用车购置费</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万元。与上年预算相比</w:t>
            </w:r>
            <w:r>
              <w:rPr>
                <w:rFonts w:hint="eastAsia" w:ascii="仿宋_GB2312" w:hAnsi="仿宋_GB2312" w:eastAsia="仿宋_GB2312" w:cs="Times New Roman"/>
                <w:sz w:val="32"/>
                <w:lang w:eastAsia="zh-CN"/>
              </w:rPr>
              <w:t>下降</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，主要原因是:</w:t>
            </w:r>
            <w:r>
              <w:rPr>
                <w:rFonts w:hint="eastAsia" w:ascii="仿宋_GB2312" w:hAnsi="仿宋_GB2312" w:eastAsia="仿宋_GB2312" w:cs="Times New Roman"/>
                <w:color w:val="FF0000"/>
                <w:sz w:val="32"/>
                <w:lang w:eastAsia="zh-CN"/>
              </w:rPr>
              <w:t>我局未预算公务用车购置及运行费。</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2"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华文仿宋" w:hAnsi="华文仿宋" w:eastAsia="华文仿宋" w:cs="Times New Roman"/>
                <w:sz w:val="32"/>
              </w:rPr>
            </w:pPr>
            <w:r>
              <w:rPr>
                <w:rFonts w:hint="eastAsia" w:ascii="黑体" w:hAnsi="黑体" w:eastAsia="黑体" w:cs="Times New Roman"/>
                <w:sz w:val="32"/>
              </w:rPr>
              <w:t>　　五、其他重要事项的情况说明</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（一）机关运行经费</w:t>
            </w:r>
          </w:p>
          <w:p>
            <w:pPr>
              <w:spacing w:beforeLines="0" w:afterLines="0" w:line="555" w:lineRule="exact"/>
              <w:ind w:firstLine="640"/>
              <w:rPr>
                <w:rFonts w:hint="eastAsia" w:ascii="仿宋_GB2312" w:hAnsi="仿宋_GB2312" w:eastAsia="仿宋_GB2312" w:cs="Times New Roman"/>
                <w:sz w:val="32"/>
              </w:rPr>
            </w:pPr>
            <w:r>
              <w:rPr>
                <w:rFonts w:hint="eastAsia" w:ascii="仿宋_GB2312" w:hAnsi="仿宋_GB2312" w:eastAsia="仿宋_GB2312" w:cs="Times New Roman"/>
                <w:sz w:val="32"/>
              </w:rPr>
              <w:t>2026年厦门市湖里区审计局的机关运行经费财政拨款预算</w:t>
            </w:r>
            <w:r>
              <w:rPr>
                <w:rFonts w:hint="eastAsia" w:ascii="仿宋_GB2312" w:hAnsi="仿宋_GB2312" w:eastAsia="仿宋_GB2312" w:cs="Times New Roman"/>
                <w:color w:val="FF0000"/>
                <w:sz w:val="32"/>
                <w:lang w:val="en-US" w:eastAsia="zh-CN"/>
              </w:rPr>
              <w:t>35.5</w:t>
            </w:r>
            <w:r>
              <w:rPr>
                <w:rFonts w:hint="eastAsia" w:ascii="仿宋_GB2312" w:hAnsi="仿宋_GB2312" w:eastAsia="仿宋_GB2312" w:cs="Times New Roman"/>
                <w:sz w:val="32"/>
              </w:rPr>
              <w:t>万元，比2025年预算增加</w:t>
            </w:r>
            <w:r>
              <w:rPr>
                <w:rFonts w:hint="eastAsia" w:ascii="仿宋_GB2312" w:hAnsi="仿宋_GB2312" w:eastAsia="仿宋_GB2312" w:cs="Times New Roman"/>
                <w:color w:val="FF0000"/>
                <w:sz w:val="32"/>
                <w:lang w:val="en-US" w:eastAsia="zh-CN"/>
              </w:rPr>
              <w:t>0.62</w:t>
            </w:r>
            <w:r>
              <w:rPr>
                <w:rFonts w:hint="eastAsia" w:ascii="仿宋_GB2312" w:hAnsi="仿宋_GB2312" w:eastAsia="仿宋_GB2312" w:cs="Times New Roman"/>
                <w:sz w:val="32"/>
              </w:rPr>
              <w:t>万元，增长</w:t>
            </w:r>
            <w:r>
              <w:rPr>
                <w:rFonts w:hint="eastAsia" w:ascii="仿宋_GB2312" w:hAnsi="仿宋_GB2312" w:eastAsia="仿宋_GB2312" w:cs="Times New Roman"/>
                <w:sz w:val="32"/>
                <w:lang w:val="en-US" w:eastAsia="zh-CN"/>
              </w:rPr>
              <w:t>1.78</w:t>
            </w:r>
            <w:r>
              <w:rPr>
                <w:rFonts w:hint="eastAsia" w:ascii="仿宋_GB2312" w:hAnsi="仿宋_GB2312" w:eastAsia="仿宋_GB2312" w:cs="Times New Roman"/>
                <w:sz w:val="32"/>
              </w:rPr>
              <w:t>%。　　</w:t>
            </w:r>
          </w:p>
          <w:p>
            <w:pPr>
              <w:spacing w:beforeLines="0" w:afterLines="0" w:line="555" w:lineRule="exact"/>
              <w:ind w:firstLine="640"/>
              <w:rPr>
                <w:rFonts w:hint="eastAsia" w:ascii="仿宋_GB2312" w:hAnsi="仿宋_GB2312" w:eastAsia="仿宋_GB2312" w:cs="Times New Roman"/>
                <w:sz w:val="32"/>
              </w:rPr>
            </w:pPr>
            <w:r>
              <w:rPr>
                <w:rFonts w:hint="eastAsia" w:ascii="仿宋_GB2312" w:hAnsi="仿宋_GB2312" w:eastAsia="仿宋_GB2312" w:cs="Times New Roman"/>
                <w:sz w:val="32"/>
              </w:rPr>
              <w:t>（二）政府采购情况</w:t>
            </w:r>
          </w:p>
          <w:p>
            <w:pPr>
              <w:spacing w:beforeLines="0" w:afterLines="0" w:line="555" w:lineRule="exact"/>
              <w:rPr>
                <w:rFonts w:hint="eastAsia" w:ascii="仿宋_GB2312" w:hAnsi="仿宋_GB2312" w:eastAsia="仿宋_GB2312" w:cs="Times New Roman"/>
                <w:sz w:val="32"/>
                <w:lang w:eastAsia="zh-CN"/>
              </w:rPr>
            </w:pPr>
            <w:r>
              <w:rPr>
                <w:rFonts w:hint="eastAsia" w:ascii="仿宋_GB2312" w:hAnsi="仿宋_GB2312" w:eastAsia="仿宋_GB2312" w:cs="Times New Roman"/>
                <w:sz w:val="32"/>
              </w:rPr>
              <w:t>　　2026年政府采购预算总额</w:t>
            </w:r>
            <w:r>
              <w:rPr>
                <w:rFonts w:hint="eastAsia" w:ascii="仿宋_GB2312" w:hAnsi="仿宋_GB2312" w:eastAsia="仿宋_GB2312" w:cs="Times New Roman"/>
                <w:sz w:val="32"/>
                <w:lang w:val="en-US" w:eastAsia="zh-CN"/>
              </w:rPr>
              <w:t>100</w:t>
            </w:r>
            <w:r>
              <w:rPr>
                <w:rFonts w:hint="eastAsia" w:ascii="仿宋_GB2312" w:hAnsi="仿宋_GB2312" w:eastAsia="仿宋_GB2312" w:cs="Times New Roman"/>
                <w:sz w:val="32"/>
              </w:rPr>
              <w:t>万元，其中：政府采购货物预算</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万元，政府采购工程预算</w:t>
            </w:r>
            <w:r>
              <w:rPr>
                <w:rFonts w:hint="eastAsia" w:ascii="仿宋_GB2312" w:hAnsi="仿宋_GB2312" w:eastAsia="仿宋_GB2312" w:cs="Times New Roman"/>
                <w:sz w:val="32"/>
                <w:lang w:val="en-US" w:eastAsia="zh-CN"/>
              </w:rPr>
              <w:t>0</w:t>
            </w:r>
            <w:r>
              <w:rPr>
                <w:rFonts w:hint="eastAsia" w:ascii="仿宋_GB2312" w:hAnsi="仿宋_GB2312" w:eastAsia="仿宋_GB2312" w:cs="Times New Roman"/>
                <w:sz w:val="32"/>
              </w:rPr>
              <w:t>万元，政府采购服务预算</w:t>
            </w:r>
            <w:r>
              <w:rPr>
                <w:rFonts w:hint="eastAsia" w:ascii="仿宋_GB2312" w:hAnsi="仿宋_GB2312" w:eastAsia="仿宋_GB2312" w:cs="Times New Roman"/>
                <w:sz w:val="32"/>
                <w:lang w:val="en-US" w:eastAsia="zh-CN"/>
              </w:rPr>
              <w:t>100</w:t>
            </w:r>
            <w:r>
              <w:rPr>
                <w:rFonts w:hint="eastAsia" w:ascii="仿宋_GB2312" w:hAnsi="仿宋_GB2312" w:eastAsia="仿宋_GB2312" w:cs="Times New Roman"/>
                <w:sz w:val="32"/>
              </w:rPr>
              <w:t>万元。</w:t>
            </w:r>
            <w:r>
              <w:rPr>
                <w:rFonts w:hint="eastAsia" w:ascii="仿宋_GB2312" w:hAnsi="仿宋_GB2312" w:eastAsia="仿宋_GB2312" w:cs="Times New Roman"/>
                <w:sz w:val="32"/>
                <w:lang w:eastAsia="zh-CN"/>
              </w:rPr>
              <w:t>主要用于聘请注册会计师经费及聘请律师经费，零星用于宣传经费等。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9"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（三）国有资产占有使用情况</w:t>
            </w:r>
          </w:p>
          <w:p>
            <w:pPr>
              <w:spacing w:beforeLines="0" w:afterLines="0" w:line="555" w:lineRule="exact"/>
              <w:ind w:firstLine="640"/>
              <w:rPr>
                <w:rFonts w:hint="eastAsia" w:ascii="仿宋_GB2312" w:hAnsi="仿宋_GB2312" w:eastAsia="仿宋_GB2312" w:cs="Times New Roman"/>
                <w:sz w:val="32"/>
              </w:rPr>
            </w:pPr>
            <w:r>
              <w:rPr>
                <w:rFonts w:hint="eastAsia" w:ascii="仿宋_GB2312" w:hAnsi="仿宋_GB2312" w:eastAsia="仿宋_GB2312" w:cs="Times New Roman"/>
                <w:sz w:val="32"/>
              </w:rPr>
              <w:t>截至2025年12月31日，厦门市湖里区审计局所属各预算单位共有车辆</w:t>
            </w:r>
            <w:r>
              <w:rPr>
                <w:rFonts w:hint="eastAsia" w:ascii="仿宋_GB2312" w:hAnsi="仿宋_GB2312" w:eastAsia="仿宋_GB2312" w:cs="Times New Roman"/>
                <w:color w:val="FF0000"/>
                <w:sz w:val="32"/>
                <w:lang w:val="en-US" w:eastAsia="zh-CN"/>
              </w:rPr>
              <w:t>0</w:t>
            </w:r>
            <w:r>
              <w:rPr>
                <w:rFonts w:hint="eastAsia" w:ascii="仿宋_GB2312" w:hAnsi="仿宋_GB2312" w:eastAsia="仿宋_GB2312" w:cs="Times New Roman"/>
                <w:sz w:val="32"/>
              </w:rPr>
              <w:t>辆，单位价值100万元以上设备</w:t>
            </w:r>
            <w:r>
              <w:rPr>
                <w:rFonts w:hint="eastAsia" w:ascii="仿宋_GB2312" w:hAnsi="仿宋_GB2312" w:eastAsia="仿宋_GB2312" w:cs="Times New Roman"/>
                <w:color w:val="FF0000"/>
                <w:sz w:val="32"/>
                <w:lang w:val="en-US" w:eastAsia="zh-CN"/>
              </w:rPr>
              <w:t>0</w:t>
            </w:r>
            <w:r>
              <w:rPr>
                <w:rFonts w:hint="eastAsia" w:ascii="仿宋_GB2312" w:hAnsi="仿宋_GB2312" w:eastAsia="仿宋_GB2312" w:cs="Times New Roman"/>
                <w:sz w:val="32"/>
              </w:rPr>
              <w:t>台（套）。　　</w:t>
            </w:r>
          </w:p>
          <w:p>
            <w:pPr>
              <w:spacing w:beforeLines="0" w:afterLines="0" w:line="555" w:lineRule="exact"/>
              <w:ind w:firstLine="640"/>
              <w:rPr>
                <w:rFonts w:hint="eastAsia" w:ascii="仿宋_GB2312" w:hAnsi="仿宋_GB2312" w:eastAsia="仿宋_GB2312" w:cs="Times New Roman"/>
                <w:sz w:val="32"/>
              </w:rPr>
            </w:pPr>
            <w:r>
              <w:rPr>
                <w:rFonts w:hint="eastAsia" w:ascii="仿宋_GB2312" w:hAnsi="仿宋_GB2312" w:eastAsia="仿宋_GB2312" w:cs="Times New Roman"/>
                <w:sz w:val="32"/>
              </w:rPr>
              <w:t>（四）绩效目标设置情况</w:t>
            </w:r>
          </w:p>
          <w:p>
            <w:pPr>
              <w:spacing w:beforeLines="0" w:afterLines="0" w:line="555" w:lineRule="exact"/>
              <w:rPr>
                <w:rFonts w:hint="eastAsia" w:ascii="仿宋_GB2312" w:hAnsi="仿宋_GB2312" w:eastAsia="仿宋_GB2312" w:cs="Times New Roman"/>
                <w:sz w:val="32"/>
              </w:rPr>
            </w:pPr>
            <w:r>
              <w:rPr>
                <w:rFonts w:hint="eastAsia" w:ascii="仿宋_GB2312" w:hAnsi="仿宋_GB2312" w:eastAsia="仿宋_GB2312" w:cs="Times New Roman"/>
                <w:sz w:val="32"/>
              </w:rPr>
              <w:t>　　厦门市湖里区审计局2026年实行绩效目标管理的一级项目1个，涉及一般公共预算拨款100.00万元、政府性基金预算拨款0.00万元。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jc w:val="center"/>
              <w:rPr>
                <w:rFonts w:hint="eastAsia" w:ascii="黑体" w:hAnsi="黑体" w:eastAsia="黑体" w:cs="Times New Roman"/>
                <w:sz w:val="32"/>
              </w:rPr>
            </w:pPr>
            <w:r>
              <w:rPr>
                <w:rFonts w:hint="eastAsia" w:ascii="黑体" w:hAnsi="黑体" w:eastAsia="黑体" w:cs="Times New Roman"/>
                <w:sz w:val="32"/>
              </w:rPr>
              <w:t>第三部分  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3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rPr>
                <w:rFonts w:hint="eastAsia" w:ascii="楷体_GB2312" w:hAnsi="楷体_GB2312" w:eastAsia="楷体_GB2312" w:cs="Times New Roman"/>
                <w:sz w:val="24"/>
              </w:rPr>
            </w:pPr>
            <w:r>
              <w:rPr>
                <w:rFonts w:hint="eastAsia" w:ascii="楷体_GB2312" w:hAnsi="楷体_GB2312" w:eastAsia="楷体_GB2312" w:cs="Times New Roman"/>
                <w:sz w:val="32"/>
              </w:rPr>
              <w:t>　　一、基本支出：</w:t>
            </w:r>
            <w:r>
              <w:rPr>
                <w:rFonts w:hint="eastAsia" w:ascii="仿宋_GB2312" w:hAnsi="仿宋_GB2312" w:eastAsia="仿宋_GB2312" w:cs="Times New Roman"/>
                <w:sz w:val="32"/>
              </w:rPr>
              <w:t>指为保障机构正常运转、完成日常工作任务而发生的人员支出、对个人和家庭的补助支出和公用支出。</w:t>
            </w:r>
          </w:p>
          <w:p>
            <w:pPr>
              <w:spacing w:beforeLines="0" w:afterLines="0" w:line="555" w:lineRule="exact"/>
              <w:rPr>
                <w:rFonts w:hint="eastAsia" w:ascii="楷体_GB2312" w:hAnsi="楷体_GB2312" w:eastAsia="楷体_GB2312" w:cs="Times New Roman"/>
                <w:sz w:val="24"/>
              </w:rPr>
            </w:pPr>
            <w:r>
              <w:rPr>
                <w:rFonts w:hint="eastAsia" w:ascii="楷体_GB2312" w:hAnsi="楷体_GB2312" w:eastAsia="楷体_GB2312" w:cs="Times New Roman"/>
                <w:sz w:val="32"/>
              </w:rPr>
              <w:t>　　二、项目支出：</w:t>
            </w:r>
            <w:r>
              <w:rPr>
                <w:rFonts w:hint="eastAsia" w:ascii="仿宋_GB2312" w:hAnsi="仿宋_GB2312" w:eastAsia="仿宋_GB2312" w:cs="Times New Roman"/>
                <w:sz w:val="32"/>
              </w:rPr>
              <w:t>指在基本支出之外为完成特定行政任务和事业发展目标所发生的支出，包括部门专项、发展经费和基建项目。</w:t>
            </w:r>
          </w:p>
          <w:p>
            <w:pPr>
              <w:spacing w:beforeLines="0" w:afterLines="0" w:line="555" w:lineRule="exact"/>
              <w:rPr>
                <w:rFonts w:hint="eastAsia" w:ascii="楷体_GB2312" w:hAnsi="楷体_GB2312" w:eastAsia="楷体_GB2312" w:cs="Times New Roman"/>
                <w:sz w:val="24"/>
              </w:rPr>
            </w:pPr>
            <w:r>
              <w:rPr>
                <w:rFonts w:hint="eastAsia" w:ascii="楷体_GB2312" w:hAnsi="楷体_GB2312" w:eastAsia="楷体_GB2312" w:cs="Times New Roman"/>
                <w:sz w:val="32"/>
              </w:rPr>
              <w:t>　　三、“三公”经费：</w:t>
            </w:r>
            <w:r>
              <w:rPr>
                <w:rFonts w:hint="eastAsia" w:ascii="仿宋_GB2312" w:hAnsi="仿宋_GB2312" w:eastAsia="仿宋_GB2312" w:cs="Times New Roman"/>
                <w:sz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燃料费、维修费、过路过桥费、保险费、安全奖励费用等支出；公务接待费反映单位按规定开支的各类公务接待（含外宾接待）支出。</w:t>
            </w:r>
          </w:p>
          <w:p>
            <w:pPr>
              <w:spacing w:beforeLines="0" w:afterLines="0" w:line="555" w:lineRule="exact"/>
              <w:rPr>
                <w:rFonts w:hint="eastAsia" w:ascii="楷体_GB2312" w:hAnsi="楷体_GB2312" w:eastAsia="楷体_GB2312" w:cs="Times New Roman"/>
                <w:sz w:val="24"/>
              </w:rPr>
            </w:pPr>
            <w:r>
              <w:rPr>
                <w:rFonts w:hint="eastAsia" w:ascii="楷体_GB2312" w:hAnsi="楷体_GB2312" w:eastAsia="楷体_GB2312" w:cs="Times New Roman"/>
                <w:sz w:val="32"/>
              </w:rPr>
              <w:t>　　四、机关运行经费：</w:t>
            </w:r>
            <w:r>
              <w:rPr>
                <w:rFonts w:hint="eastAsia" w:ascii="仿宋_GB2312" w:hAnsi="仿宋_GB2312" w:eastAsia="仿宋_GB2312" w:cs="Times New Roman"/>
                <w:sz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beforeLines="0" w:afterLines="0" w:line="555" w:lineRule="exact"/>
              <w:rPr>
                <w:rFonts w:hint="eastAsia" w:ascii="仿宋_GB2312" w:hAnsi="仿宋_GB2312" w:eastAsia="仿宋_GB2312" w:cs="Times New Roman"/>
                <w:sz w:val="32"/>
              </w:rPr>
            </w:pPr>
            <w:r>
              <w:rPr>
                <w:rFonts w:hint="eastAsia" w:ascii="楷体_GB2312" w:hAnsi="楷体_GB2312" w:eastAsia="楷体_GB2312" w:cs="Times New Roman"/>
                <w:sz w:val="32"/>
              </w:rPr>
              <w:t>　　五、其他名词解释。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1"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55" w:lineRule="exact"/>
              <w:ind w:left="20"/>
              <w:jc w:val="center"/>
              <w:rPr>
                <w:rFonts w:hint="eastAsia" w:ascii="黑体" w:hAnsi="黑体" w:eastAsia="黑体" w:cs="Times New Roman"/>
                <w:sz w:val="32"/>
              </w:rPr>
            </w:pPr>
            <w:r>
              <w:rPr>
                <w:rFonts w:hint="eastAsia" w:ascii="黑体" w:hAnsi="黑体" w:eastAsia="黑体" w:cs="Times New Roman"/>
                <w:sz w:val="32"/>
              </w:rPr>
              <w:t>第四部分  2026年部门预算附表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5" w:hRule="atLeast"/>
        </w:trPr>
        <w:tc>
          <w:tcPr>
            <w:tcW w:w="8621"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一、部门收支预算总体情况表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二、部门收入预算总体情况表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三、部门支出预算总体情况表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四、财政拨款收支预算总体情况表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五、一般公共预算支出情况表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六、一般公共预算基本支出情况表（经济分类款级科目）</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七、一般公共预算“三公”经费支出情况表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八、政府性基金预算支出情况表</w:t>
            </w:r>
          </w:p>
          <w:p>
            <w:pPr>
              <w:spacing w:beforeLines="0" w:afterLines="0" w:line="540" w:lineRule="exact"/>
              <w:rPr>
                <w:rFonts w:hint="eastAsia" w:ascii="仿宋_GB2312" w:hAnsi="仿宋_GB2312" w:eastAsia="仿宋_GB2312" w:cs="Times New Roman"/>
                <w:sz w:val="24"/>
              </w:rPr>
            </w:pPr>
            <w:r>
              <w:rPr>
                <w:rFonts w:hint="eastAsia" w:ascii="仿宋_GB2312" w:hAnsi="仿宋_GB2312" w:eastAsia="仿宋_GB2312" w:cs="Times New Roman"/>
                <w:sz w:val="32"/>
              </w:rPr>
              <w:t>　　九、区对镇（街）转移支付项目支出预算表</w:t>
            </w:r>
          </w:p>
          <w:p>
            <w:pPr>
              <w:spacing w:beforeLines="0" w:afterLines="0" w:line="540" w:lineRule="exact"/>
              <w:rPr>
                <w:rFonts w:hint="eastAsia" w:ascii="仿宋_GB2312" w:hAnsi="仿宋_GB2312" w:eastAsia="仿宋_GB2312" w:cs="Times New Roman"/>
                <w:sz w:val="32"/>
              </w:rPr>
            </w:pPr>
            <w:r>
              <w:rPr>
                <w:rFonts w:hint="eastAsia" w:ascii="黑体" w:hAnsi="黑体" w:eastAsia="黑体" w:cs="Times New Roman"/>
                <w:sz w:val="32"/>
              </w:rPr>
              <w:t>　　</w:t>
            </w:r>
            <w:r>
              <w:rPr>
                <w:rFonts w:hint="eastAsia" w:ascii="仿宋_GB2312" w:hAnsi="仿宋_GB2312" w:eastAsia="仿宋_GB2312" w:cs="Times New Roman"/>
                <w:sz w:val="32"/>
              </w:rPr>
              <w:t>十、部门整体支出绩效目标表</w:t>
            </w:r>
          </w:p>
          <w:p>
            <w:pPr>
              <w:spacing w:beforeLines="0" w:afterLines="0" w:line="540" w:lineRule="exact"/>
              <w:rPr>
                <w:rFonts w:hint="eastAsia" w:ascii="仿宋_GB2312" w:hAnsi="仿宋_GB2312" w:eastAsia="仿宋_GB2312" w:cs="Times New Roman"/>
                <w:sz w:val="32"/>
              </w:rPr>
            </w:pPr>
            <w:r>
              <w:rPr>
                <w:rFonts w:hint="eastAsia" w:ascii="仿宋_GB2312" w:hAnsi="仿宋_GB2312" w:eastAsia="仿宋_GB2312" w:cs="Times New Roman"/>
                <w:sz w:val="32"/>
              </w:rPr>
              <w:t>　　十一、一级项目绩效目标表</w:t>
            </w:r>
          </w:p>
        </w:tc>
      </w:tr>
    </w:tbl>
    <w:p>
      <w:pPr>
        <w:spacing w:beforeLines="0" w:afterLines="0"/>
        <w:rPr>
          <w:rFonts w:hint="default" w:cs="Times New Roman"/>
          <w:sz w:val="24"/>
        </w:rPr>
      </w:pPr>
    </w:p>
    <w:p/>
    <w:sectPr>
      <w:footerReference r:id="rId3" w:type="default"/>
      <w:pgSz w:w="11905" w:h="16837"/>
      <w:pgMar w:top="1388" w:right="1559" w:bottom="1388" w:left="1559"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48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63"/>
      <w:gridCol w:w="3163"/>
      <w:gridCol w:w="31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3163" w:type="dxa"/>
          <w:tcBorders>
            <w:top w:val="nil"/>
            <w:left w:val="nil"/>
            <w:bottom w:val="nil"/>
            <w:right w:val="nil"/>
            <w:tl2br w:val="nil"/>
            <w:tr2bl w:val="nil"/>
          </w:tcBorders>
          <w:shd w:val="clear" w:color="auto" w:fill="FFFFFF"/>
          <w:noWrap w:val="0"/>
          <w:vAlign w:val="top"/>
        </w:tcPr>
        <w:p>
          <w:pPr>
            <w:spacing w:beforeLines="0" w:afterLines="0"/>
            <w:rPr>
              <w:rFonts w:hint="default" w:cs="Times New Roman"/>
              <w:sz w:val="24"/>
            </w:rPr>
          </w:pPr>
        </w:p>
      </w:tc>
      <w:tc>
        <w:tcPr>
          <w:tcW w:w="3163" w:type="dxa"/>
          <w:tcBorders>
            <w:top w:val="nil"/>
            <w:left w:val="nil"/>
            <w:bottom w:val="nil"/>
            <w:right w:val="nil"/>
            <w:tl2br w:val="nil"/>
            <w:tr2bl w:val="nil"/>
          </w:tcBorders>
          <w:shd w:val="clear" w:color="auto" w:fill="FFFFFF"/>
          <w:noWrap w:val="0"/>
          <w:vAlign w:val="top"/>
        </w:tcPr>
        <w:p>
          <w:pPr>
            <w:spacing w:beforeLines="0" w:afterLines="0" w:line="320" w:lineRule="atLeast"/>
            <w:jc w:val="center"/>
            <w:rPr>
              <w:rFonts w:hint="eastAsia" w:ascii="宋体" w:hAnsi="宋体" w:cs="Times New Roman"/>
              <w:sz w:val="18"/>
            </w:rPr>
          </w:pPr>
          <w:r>
            <w:rPr>
              <w:rFonts w:hint="eastAsia" w:ascii="宋体" w:hAnsi="宋体" w:cs="Times New Roman"/>
              <w:sz w:val="18"/>
            </w:rPr>
            <w:fldChar w:fldCharType="begin"/>
          </w:r>
          <w:r>
            <w:rPr>
              <w:rFonts w:hint="eastAsia" w:ascii="宋体" w:hAnsi="宋体" w:cs="Times New Roman"/>
              <w:sz w:val="18"/>
            </w:rPr>
            <w:instrText xml:space="preserve">PAGE</w:instrText>
          </w:r>
          <w:r>
            <w:rPr>
              <w:rFonts w:hint="eastAsia" w:ascii="宋体" w:hAnsi="宋体" w:cs="Times New Roman"/>
              <w:sz w:val="18"/>
            </w:rPr>
            <w:fldChar w:fldCharType="separate"/>
          </w:r>
          <w:r>
            <w:rPr>
              <w:rFonts w:hint="eastAsia" w:ascii="宋体" w:hAnsi="宋体" w:cs="Times New Roman"/>
              <w:sz w:val="18"/>
            </w:rPr>
            <w:t xml:space="preserve"> </w:t>
          </w:r>
          <w:r>
            <w:rPr>
              <w:rFonts w:hint="eastAsia" w:ascii="宋体" w:hAnsi="宋体" w:cs="Times New Roman"/>
              <w:sz w:val="18"/>
            </w:rPr>
            <w:fldChar w:fldCharType="end"/>
          </w:r>
          <w:r>
            <w:rPr>
              <w:rFonts w:hint="eastAsia" w:ascii="宋体" w:hAnsi="宋体" w:cs="Times New Roman"/>
              <w:sz w:val="18"/>
            </w:rPr>
            <w:t xml:space="preserve"> </w:t>
          </w:r>
        </w:p>
      </w:tc>
      <w:tc>
        <w:tcPr>
          <w:tcW w:w="3163" w:type="dxa"/>
          <w:tcBorders>
            <w:top w:val="nil"/>
            <w:left w:val="nil"/>
            <w:bottom w:val="nil"/>
            <w:right w:val="nil"/>
            <w:tl2br w:val="nil"/>
            <w:tr2bl w:val="nil"/>
          </w:tcBorders>
          <w:shd w:val="clear" w:color="auto" w:fill="FFFFFF"/>
          <w:noWrap w:val="0"/>
          <w:vAlign w:val="top"/>
        </w:tcPr>
        <w:p>
          <w:pPr>
            <w:spacing w:beforeLines="0" w:afterLines="0"/>
            <w:rPr>
              <w:rFonts w:hint="default" w:cs="Times New Roman"/>
              <w:sz w:val="24"/>
            </w:rPr>
          </w:pPr>
        </w:p>
      </w:tc>
    </w:tr>
  </w:tbl>
  <w:p>
    <w:pPr>
      <w:spacing w:beforeLines="0" w:afterLines="0"/>
      <w:rPr>
        <w:rFonts w:hint="default" w:cs="Times New Roman"/>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76D73"/>
    <w:rsid w:val="44D76D73"/>
    <w:rsid w:val="6FF73977"/>
    <w:rsid w:val="725D5DDD"/>
    <w:rsid w:val="7E4A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Arial" w:hAnsi="Arial" w:eastAsia="宋体" w:cs="Times New Roman"/>
      <w:color w:val="000000"/>
      <w:sz w:val="2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1.正文"/>
    <w:next w:val="3"/>
    <w:unhideWhenUsed/>
    <w:qFormat/>
    <w:uiPriority w:val="99"/>
    <w:pPr>
      <w:widowControl w:val="0"/>
      <w:autoSpaceDE w:val="0"/>
      <w:autoSpaceDN w:val="0"/>
      <w:adjustRightInd w:val="0"/>
      <w:spacing w:beforeLines="0" w:afterLines="0"/>
    </w:pPr>
    <w:rPr>
      <w:rFonts w:hint="default" w:ascii="Arial" w:hAnsi="Times New Roman" w:eastAsia="宋体" w:cs="Times New Roman"/>
      <w:color w:val="000000"/>
      <w:sz w:val="24"/>
    </w:rPr>
  </w:style>
  <w:style w:type="paragraph" w:styleId="3">
    <w:name w:val="index 5"/>
    <w:next w:val="1"/>
    <w:unhideWhenUsed/>
    <w:qFormat/>
    <w:uiPriority w:val="99"/>
    <w:pPr>
      <w:widowControl w:val="0"/>
      <w:autoSpaceDE w:val="0"/>
      <w:autoSpaceDN w:val="0"/>
      <w:adjustRightInd w:val="0"/>
      <w:spacing w:beforeLines="0" w:afterLines="0"/>
      <w:ind w:left="1680"/>
    </w:pPr>
    <w:rPr>
      <w:rFonts w:hint="default" w:ascii="Times New Roman" w:hAnsi="Times New Roman" w:eastAsia="宋体" w:cs="Times New Roman"/>
      <w:color w:val="auto"/>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文明办</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2026-01-26T07:29:00Z</dcterms:created>
  <dc:creator>Administrator</dc:creator>
  <cp:lastModifiedBy>Administrator</cp:lastModifiedBy>
  <dcterms:modified xsi:type="dcterms:W3CDTF">2026-01-26T07:46:51Z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