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仿宋_GB2312" w:hAnsi="仿宋_GB2312" w:eastAsia="仿宋_GB2312" w:cs="仿宋_GB2312"/>
          <w:color w:val="auto"/>
          <w:sz w:val="44"/>
          <w:szCs w:val="44"/>
          <w:shd w:val="clear" w:color="auto" w:fill="FFFFFF"/>
        </w:rPr>
      </w:pPr>
      <w:r>
        <w:rPr>
          <w:rFonts w:hint="eastAsia" w:ascii="黑体" w:hAnsi="黑体" w:eastAsia="黑体" w:cs="黑体"/>
          <w:color w:val="auto"/>
          <w:sz w:val="32"/>
          <w:szCs w:val="32"/>
          <w:shd w:val="clear" w:color="auto" w:fill="FFFFFF"/>
        </w:rPr>
        <w:t>附件</w:t>
      </w:r>
    </w:p>
    <w:p>
      <w:pPr>
        <w:spacing w:line="560" w:lineRule="exact"/>
        <w:outlineLvl w:val="0"/>
        <w:rPr>
          <w:rFonts w:hint="eastAsia" w:ascii="方正小标宋简体" w:hAnsi="方正小标宋简体" w:eastAsia="方正小标宋简体" w:cs="方正小标宋简体"/>
          <w:color w:val="auto"/>
          <w:sz w:val="44"/>
          <w:szCs w:val="44"/>
          <w:shd w:val="clear" w:color="auto" w:fill="FFFFFF"/>
        </w:rPr>
      </w:pPr>
    </w:p>
    <w:p>
      <w:pPr>
        <w:spacing w:line="560" w:lineRule="exact"/>
        <w:jc w:val="center"/>
        <w:outlineLvl w:val="0"/>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关于</w:t>
      </w:r>
      <w:r>
        <w:rPr>
          <w:rFonts w:hint="eastAsia" w:ascii="方正小标宋简体" w:hAnsi="方正小标宋简体" w:eastAsia="方正小标宋简体" w:cs="方正小标宋简体"/>
          <w:color w:val="auto"/>
          <w:sz w:val="44"/>
          <w:szCs w:val="44"/>
          <w:shd w:val="clear" w:color="auto" w:fill="FFFFFF"/>
          <w:lang w:eastAsia="zh-CN"/>
        </w:rPr>
        <w:t>湖里区</w:t>
      </w:r>
      <w:r>
        <w:rPr>
          <w:rFonts w:hint="eastAsia" w:ascii="方正小标宋简体" w:hAnsi="方正小标宋简体" w:eastAsia="方正小标宋简体" w:cs="方正小标宋简体"/>
          <w:color w:val="auto"/>
          <w:sz w:val="44"/>
          <w:szCs w:val="44"/>
          <w:shd w:val="clear" w:color="auto" w:fill="FFFFFF"/>
        </w:rPr>
        <w:t>社会办群众性体育赛事和高水平</w:t>
      </w:r>
    </w:p>
    <w:p>
      <w:pPr>
        <w:spacing w:line="560" w:lineRule="exact"/>
        <w:jc w:val="center"/>
        <w:outlineLvl w:val="0"/>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赛事活动补助办法（试行）</w:t>
      </w:r>
    </w:p>
    <w:p>
      <w:pPr>
        <w:spacing w:line="560" w:lineRule="exact"/>
        <w:ind w:firstLine="602"/>
        <w:jc w:val="center"/>
        <w:outlineLvl w:val="0"/>
        <w:rPr>
          <w:rFonts w:ascii="仿宋_GB2312" w:hAnsi="仿宋_GB2312" w:eastAsia="仿宋_GB2312" w:cs="仿宋_GB2312"/>
          <w:color w:val="auto"/>
          <w:sz w:val="32"/>
          <w:szCs w:val="32"/>
          <w:shd w:val="clear" w:color="auto" w:fill="FFFFFF"/>
        </w:rPr>
      </w:pPr>
      <w:bookmarkStart w:id="0" w:name="_Toc8371"/>
      <w:bookmarkStart w:id="1" w:name="_Toc21503"/>
      <w:r>
        <w:rPr>
          <w:rFonts w:hint="eastAsia" w:ascii="仿宋_GB2312" w:hAnsi="仿宋_GB2312" w:eastAsia="仿宋_GB2312" w:cs="仿宋_GB2312"/>
          <w:color w:val="auto"/>
          <w:sz w:val="32"/>
          <w:szCs w:val="32"/>
          <w:shd w:val="clear" w:color="auto" w:fill="FFFFFF"/>
        </w:rPr>
        <w:t>（征求意见稿）</w:t>
      </w:r>
      <w:bookmarkEnd w:id="0"/>
      <w:bookmarkEnd w:id="1"/>
    </w:p>
    <w:p>
      <w:pPr>
        <w:spacing w:line="560" w:lineRule="exact"/>
        <w:ind w:firstLine="602"/>
        <w:outlineLvl w:val="0"/>
        <w:rPr>
          <w:rFonts w:hint="eastAsia" w:ascii="仿宋_GB2312" w:hAnsi="仿宋_GB2312" w:eastAsia="仿宋_GB2312" w:cs="仿宋_GB2312"/>
          <w:color w:val="auto"/>
          <w:sz w:val="32"/>
          <w:szCs w:val="32"/>
          <w:shd w:val="clear" w:color="auto" w:fill="FFFFFF"/>
        </w:rPr>
      </w:pPr>
    </w:p>
    <w:p>
      <w:pPr>
        <w:pStyle w:val="7"/>
        <w:rPr>
          <w:color w:val="auto"/>
        </w:rPr>
      </w:pPr>
      <w:bookmarkStart w:id="2" w:name="_Toc29563"/>
      <w:bookmarkStart w:id="3" w:name="_Toc15198"/>
      <w:bookmarkStart w:id="4" w:name="_Toc167402236"/>
      <w:bookmarkStart w:id="5" w:name="_Toc11884"/>
      <w:r>
        <w:rPr>
          <w:rFonts w:hint="eastAsia"/>
          <w:color w:val="auto"/>
        </w:rPr>
        <w:t>第一章  总</w:t>
      </w:r>
      <w:r>
        <w:rPr>
          <w:rFonts w:hint="eastAsia"/>
          <w:color w:val="auto"/>
          <w:lang w:eastAsia="zh"/>
        </w:rPr>
        <w:t xml:space="preserve">  </w:t>
      </w:r>
      <w:r>
        <w:rPr>
          <w:rFonts w:hint="eastAsia"/>
          <w:color w:val="auto"/>
        </w:rPr>
        <w:t>则</w:t>
      </w:r>
      <w:bookmarkEnd w:id="2"/>
      <w:bookmarkEnd w:id="3"/>
      <w:bookmarkEnd w:id="4"/>
      <w:bookmarkEnd w:id="5"/>
    </w:p>
    <w:p>
      <w:pPr>
        <w:spacing w:line="560" w:lineRule="exact"/>
        <w:ind w:firstLine="604" w:firstLineChars="200"/>
        <w:rPr>
          <w:rFonts w:ascii="仿宋_GB2312" w:hAnsi="仿宋_GB2312" w:eastAsia="仿宋_GB2312" w:cs="仿宋_GB2312"/>
          <w:color w:val="auto"/>
          <w:sz w:val="32"/>
          <w:szCs w:val="32"/>
        </w:rPr>
      </w:pPr>
    </w:p>
    <w:p>
      <w:pPr>
        <w:spacing w:line="560" w:lineRule="exact"/>
        <w:ind w:firstLine="604" w:firstLineChars="200"/>
        <w:rPr>
          <w:rFonts w:ascii="仿宋_GB2312" w:hAnsi="仿宋_GB2312" w:eastAsia="仿宋_GB2312" w:cs="仿宋_GB2312"/>
          <w:color w:val="auto"/>
          <w:sz w:val="32"/>
          <w:szCs w:val="32"/>
        </w:rPr>
      </w:pPr>
      <w:bookmarkStart w:id="6" w:name="_Toc167402237"/>
      <w:bookmarkStart w:id="7" w:name="_Toc29152"/>
      <w:bookmarkStart w:id="8" w:name="_Toc2254"/>
      <w:r>
        <w:rPr>
          <w:rFonts w:ascii="黑体" w:hAnsi="黑体" w:eastAsia="黑体" w:cs="宋体"/>
          <w:color w:val="auto"/>
          <w:sz w:val="32"/>
          <w:szCs w:val="32"/>
        </w:rPr>
        <w:t>第一条</w:t>
      </w:r>
      <w:bookmarkEnd w:id="6"/>
      <w:bookmarkEnd w:id="7"/>
      <w:bookmarkEnd w:id="8"/>
      <w:r>
        <w:rPr>
          <w:rFonts w:hint="eastAsia" w:ascii="仿宋_GB2312" w:hAnsi="仿宋_GB2312" w:eastAsia="仿宋_GB2312" w:cs="仿宋_GB2312"/>
          <w:color w:val="auto"/>
          <w:sz w:val="32"/>
          <w:szCs w:val="32"/>
        </w:rPr>
        <w:t xml:space="preserve">  为促进我区体育竞赛表演业发展，打造体育品牌赛事，鼓励企业单位和其他社会组织在我区举办各类体育赛事活动，不断提升我区体育赛事活动的办赛水平，推动我区体育产业发展，根据《厦门市人民政府办公厅关于促进全民健身和体育消费推动体育产业高质量发展的实施意见》（厦府办〔2019〕97号）有关规定，结合我区体育工作实际，制定本办法。</w:t>
      </w:r>
    </w:p>
    <w:p>
      <w:pPr>
        <w:spacing w:line="560" w:lineRule="exact"/>
        <w:ind w:firstLine="604" w:firstLineChars="200"/>
        <w:rPr>
          <w:rFonts w:ascii="黑体" w:hAnsi="黑体" w:eastAsia="黑体"/>
          <w:color w:val="auto"/>
          <w:sz w:val="32"/>
          <w:szCs w:val="32"/>
        </w:rPr>
      </w:pPr>
      <w:bookmarkStart w:id="9" w:name="_Toc167402238"/>
      <w:bookmarkStart w:id="10" w:name="_Toc11028"/>
      <w:bookmarkStart w:id="11" w:name="_Toc28876"/>
      <w:r>
        <w:rPr>
          <w:rFonts w:ascii="黑体" w:hAnsi="黑体" w:eastAsia="黑体" w:cs="宋体"/>
          <w:color w:val="auto"/>
          <w:sz w:val="32"/>
          <w:szCs w:val="32"/>
        </w:rPr>
        <w:t>第二条</w:t>
      </w:r>
      <w:bookmarkEnd w:id="9"/>
      <w:bookmarkEnd w:id="10"/>
      <w:bookmarkEnd w:id="11"/>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补助对象为依法在本区举办体育赛事活动的企业和其他社会组织。</w:t>
      </w:r>
    </w:p>
    <w:p>
      <w:pPr>
        <w:spacing w:line="560" w:lineRule="exact"/>
        <w:ind w:firstLine="604" w:firstLineChars="200"/>
        <w:rPr>
          <w:rFonts w:ascii="仿宋_GB2312" w:eastAsia="仿宋"/>
          <w:color w:val="auto"/>
          <w:sz w:val="32"/>
          <w:szCs w:val="32"/>
        </w:rPr>
      </w:pPr>
      <w:bookmarkStart w:id="12" w:name="_Toc18721"/>
      <w:bookmarkStart w:id="13" w:name="_Toc167402239"/>
      <w:bookmarkStart w:id="14" w:name="_Toc7420"/>
      <w:r>
        <w:rPr>
          <w:rFonts w:ascii="黑体" w:hAnsi="黑体" w:eastAsia="黑体" w:cs="宋体"/>
          <w:color w:val="auto"/>
          <w:sz w:val="32"/>
          <w:szCs w:val="32"/>
        </w:rPr>
        <w:t>第三条</w:t>
      </w:r>
      <w:bookmarkEnd w:id="12"/>
      <w:bookmarkEnd w:id="13"/>
      <w:bookmarkEnd w:id="14"/>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本办法补助范围为在本区举办的群众性体育赛事活动和各类高水平体育赛事（各类高水平体育赛事主要包括国际性体育赛事、全国性体育赛事、“一带一路”及“金砖国家”体育赛事、海峡两岸体育赛事以及其他具有自主品牌，且社会关注度高、市场空间大、发展前景好的体育赛事。）</w:t>
      </w:r>
    </w:p>
    <w:p>
      <w:pPr>
        <w:spacing w:line="560" w:lineRule="exact"/>
        <w:ind w:firstLine="604" w:firstLineChars="200"/>
        <w:rPr>
          <w:rFonts w:ascii="仿宋_GB2312" w:hAnsi="仿宋_GB2312" w:eastAsia="仿宋_GB2312" w:cs="仿宋_GB2312"/>
          <w:color w:val="auto"/>
          <w:sz w:val="32"/>
          <w:szCs w:val="32"/>
        </w:rPr>
      </w:pPr>
      <w:bookmarkStart w:id="15" w:name="_Toc167402240"/>
      <w:bookmarkStart w:id="16" w:name="_Toc5031"/>
      <w:bookmarkStart w:id="17" w:name="_Toc225"/>
      <w:r>
        <w:rPr>
          <w:rFonts w:ascii="黑体" w:hAnsi="黑体" w:eastAsia="黑体" w:cs="宋体"/>
          <w:color w:val="auto"/>
          <w:sz w:val="32"/>
          <w:szCs w:val="32"/>
        </w:rPr>
        <w:t>第四条</w:t>
      </w:r>
      <w:bookmarkEnd w:id="15"/>
      <w:bookmarkEnd w:id="16"/>
      <w:bookmarkEnd w:id="17"/>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补助资金采取赛后补助的方式。补助标准根据赛事类别及评分结果确定，补助额度按照得分情况分段补助，且补助金额不超过经审核认定的办赛支出的40%。同一年度内举办的同一赛事已享受其他财政资金补助的，应在补助资金中予以扣除。</w:t>
      </w:r>
      <w:bookmarkStart w:id="18" w:name="_Toc600"/>
      <w:bookmarkStart w:id="19" w:name="_Toc7086"/>
      <w:bookmarkStart w:id="20" w:name="_Toc167402241"/>
    </w:p>
    <w:p>
      <w:pPr>
        <w:spacing w:line="560" w:lineRule="exact"/>
        <w:ind w:firstLine="604" w:firstLineChars="200"/>
        <w:rPr>
          <w:rFonts w:hint="eastAsia" w:ascii="仿宋_GB2312" w:hAnsi="仿宋_GB2312" w:eastAsia="仿宋_GB2312" w:cs="仿宋_GB2312"/>
          <w:color w:val="auto"/>
          <w:sz w:val="32"/>
          <w:szCs w:val="32"/>
        </w:rPr>
      </w:pPr>
      <w:r>
        <w:rPr>
          <w:rFonts w:ascii="黑体" w:hAnsi="黑体" w:eastAsia="黑体" w:cs="宋体"/>
          <w:color w:val="auto"/>
          <w:sz w:val="32"/>
          <w:szCs w:val="32"/>
        </w:rPr>
        <w:t>第五条</w:t>
      </w:r>
      <w:bookmarkEnd w:id="18"/>
      <w:bookmarkEnd w:id="19"/>
      <w:bookmarkEnd w:id="20"/>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补助资金优先向企业和其他社会组织投资，并进行商业开发的体育赛事倾斜。</w:t>
      </w:r>
    </w:p>
    <w:p>
      <w:pPr>
        <w:pStyle w:val="8"/>
        <w:ind w:left="0"/>
        <w:rPr>
          <w:rFonts w:hint="default" w:eastAsia="仿宋_GB2312" w:cs="仿宋_GB2312"/>
          <w:color w:val="auto"/>
          <w:kern w:val="2"/>
        </w:rPr>
      </w:pPr>
      <w:bookmarkStart w:id="21" w:name="_Toc25799"/>
      <w:bookmarkStart w:id="22" w:name="_Toc3057"/>
      <w:bookmarkStart w:id="23" w:name="_Toc167402242"/>
      <w:bookmarkStart w:id="24" w:name="_Toc769"/>
      <w:r>
        <w:rPr>
          <w:rFonts w:hint="default" w:ascii="黑体" w:hAnsi="黑体"/>
          <w:color w:val="auto"/>
          <w:kern w:val="2"/>
        </w:rPr>
        <w:t>第六条</w:t>
      </w:r>
      <w:bookmarkEnd w:id="21"/>
      <w:bookmarkEnd w:id="22"/>
      <w:r>
        <w:rPr>
          <w:rStyle w:val="9"/>
          <w:color w:val="auto"/>
        </w:rPr>
        <w:t xml:space="preserve">  </w:t>
      </w:r>
      <w:r>
        <w:rPr>
          <w:rFonts w:eastAsia="仿宋_GB2312" w:cs="仿宋_GB2312"/>
          <w:color w:val="auto"/>
          <w:kern w:val="2"/>
        </w:rPr>
        <w:t>定义</w:t>
      </w:r>
      <w:bookmarkEnd w:id="23"/>
      <w:bookmarkEnd w:id="24"/>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赛事收入指，通过办赛获取的资金，具体包括：现场观众门票、运动员报名费、赞助商的广告赞助、特许周边、转播权收入、品牌合作等。</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同一赛事指，由同一赛事承办主体举办的相同的运动。</w:t>
      </w:r>
    </w:p>
    <w:p>
      <w:pPr>
        <w:spacing w:line="560" w:lineRule="exact"/>
        <w:ind w:firstLine="60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赛事分类指，按照体育赛事性质的不同，将赛事区分为个人赛、团体赛、多人赛三大类。个人赛如围棋、象棋、球类单打等；团体赛如篮球、足球、球类双打等；多人赛如马拉松、铁人三项等。</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参赛队伍和参赛人员指，同一赛事中总的参赛队伍和参赛人员。</w:t>
      </w:r>
    </w:p>
    <w:p>
      <w:pPr>
        <w:spacing w:line="560" w:lineRule="exact"/>
        <w:ind w:left="164" w:firstLine="602"/>
        <w:rPr>
          <w:rFonts w:ascii="仿宋_GB2312" w:hAnsi="仿宋_GB2312" w:eastAsia="仿宋_GB2312" w:cs="仿宋_GB2312"/>
          <w:color w:val="auto"/>
          <w:sz w:val="32"/>
          <w:szCs w:val="32"/>
        </w:rPr>
      </w:pPr>
    </w:p>
    <w:p>
      <w:pPr>
        <w:pStyle w:val="7"/>
        <w:rPr>
          <w:rFonts w:hint="eastAsia"/>
          <w:color w:val="auto"/>
        </w:rPr>
      </w:pPr>
      <w:bookmarkStart w:id="25" w:name="_Toc17168"/>
      <w:bookmarkStart w:id="26" w:name="_Toc31954"/>
      <w:bookmarkStart w:id="27" w:name="_Toc13387"/>
      <w:bookmarkStart w:id="28" w:name="_Toc167402243"/>
      <w:r>
        <w:rPr>
          <w:rFonts w:hint="eastAsia"/>
          <w:color w:val="auto"/>
        </w:rPr>
        <w:t>第二章  补助条件与标准</w:t>
      </w:r>
      <w:bookmarkEnd w:id="25"/>
      <w:bookmarkEnd w:id="26"/>
      <w:bookmarkEnd w:id="27"/>
      <w:bookmarkEnd w:id="28"/>
    </w:p>
    <w:p>
      <w:pPr>
        <w:spacing w:line="560" w:lineRule="exact"/>
        <w:ind w:firstLine="6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8"/>
        <w:ind w:left="0"/>
        <w:rPr>
          <w:rFonts w:hint="default" w:eastAsia="仿宋_GB2312" w:cs="仿宋_GB2312"/>
          <w:color w:val="auto"/>
          <w:kern w:val="2"/>
        </w:rPr>
      </w:pPr>
      <w:bookmarkStart w:id="29" w:name="_Toc32585"/>
      <w:bookmarkStart w:id="30" w:name="_Toc1110"/>
      <w:bookmarkStart w:id="31" w:name="_Toc167402244"/>
      <w:bookmarkStart w:id="32" w:name="_Toc5407"/>
      <w:r>
        <w:rPr>
          <w:rFonts w:ascii="黑体" w:hAnsi="黑体"/>
          <w:color w:val="auto"/>
          <w:kern w:val="2"/>
        </w:rPr>
        <w:t>第七条</w:t>
      </w:r>
      <w:r>
        <w:rPr>
          <w:color w:val="auto"/>
        </w:rPr>
        <w:t xml:space="preserve">  </w:t>
      </w:r>
      <w:r>
        <w:rPr>
          <w:rFonts w:eastAsia="仿宋_GB2312" w:cs="仿宋_GB2312"/>
          <w:color w:val="auto"/>
          <w:kern w:val="2"/>
        </w:rPr>
        <w:t>国际性体育赛事</w:t>
      </w:r>
      <w:bookmarkEnd w:id="29"/>
      <w:bookmarkEnd w:id="30"/>
      <w:bookmarkEnd w:id="31"/>
      <w:bookmarkEnd w:id="32"/>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补助条件：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bookmarkStart w:id="33" w:name="_Hlk166167934"/>
      <w:r>
        <w:rPr>
          <w:rFonts w:hint="eastAsia" w:ascii="仿宋_GB2312" w:hAnsi="仿宋_GB2312" w:eastAsia="仿宋_GB2312" w:cs="仿宋_GB2312"/>
          <w:color w:val="auto"/>
          <w:sz w:val="32"/>
          <w:szCs w:val="32"/>
        </w:rPr>
        <w:t>参赛国家4个以上、参赛队伍8支以上、参赛人员60人以上</w:t>
      </w:r>
      <w:bookmarkEnd w:id="33"/>
      <w:r>
        <w:rPr>
          <w:rFonts w:hint="eastAsia" w:ascii="仿宋_GB2312" w:hAnsi="仿宋_GB2312" w:eastAsia="仿宋_GB2312" w:cs="仿宋_GB2312"/>
          <w:color w:val="auto"/>
          <w:sz w:val="32"/>
          <w:szCs w:val="32"/>
        </w:rPr>
        <w:t>；</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（2）在央视或省地方台直播、录播、新闻报道，在国际主流媒体、国际组织宣传网络或媒体上进行直播、录播、宣传，并在国内网络新媒体进行宣传报道；</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（3）总投入100万元以上。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补助标准：根据评分结果确定补助比例，每届最高不超过75万元。</w:t>
      </w:r>
    </w:p>
    <w:p>
      <w:pPr>
        <w:pStyle w:val="8"/>
        <w:ind w:left="0"/>
        <w:rPr>
          <w:rFonts w:hint="default" w:eastAsia="仿宋_GB2312" w:cs="仿宋_GB2312"/>
          <w:color w:val="auto"/>
          <w:kern w:val="2"/>
        </w:rPr>
      </w:pPr>
      <w:bookmarkStart w:id="34" w:name="_Toc15261"/>
      <w:bookmarkStart w:id="35" w:name="_Toc22441"/>
      <w:bookmarkStart w:id="36" w:name="_Toc19345"/>
      <w:bookmarkStart w:id="37" w:name="_Toc167402245"/>
      <w:r>
        <w:rPr>
          <w:rFonts w:ascii="黑体" w:hAnsi="黑体"/>
          <w:color w:val="auto"/>
          <w:kern w:val="2"/>
        </w:rPr>
        <w:t>第八条</w:t>
      </w:r>
      <w:r>
        <w:rPr>
          <w:rStyle w:val="9"/>
          <w:color w:val="auto"/>
        </w:rPr>
        <w:t xml:space="preserve">  </w:t>
      </w:r>
      <w:bookmarkEnd w:id="34"/>
      <w:bookmarkEnd w:id="35"/>
      <w:r>
        <w:rPr>
          <w:rFonts w:eastAsia="仿宋_GB2312" w:cs="仿宋_GB2312"/>
          <w:color w:val="auto"/>
          <w:kern w:val="2"/>
        </w:rPr>
        <w:t>全国性体育赛事</w:t>
      </w:r>
      <w:bookmarkEnd w:id="36"/>
      <w:bookmarkEnd w:id="37"/>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补助条件：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（1）参赛省份（含港澳台地区）5个以上、参赛队伍8支以上、参赛人员60人以上；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（2）在省或市地方台直播、录播或中央媒体报道，并在网络新媒体进行宣传报道；</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（3）总投入80万元以上。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补助标准：根据评分结果确定补助比例，每届最高不超过50万元。</w:t>
      </w:r>
    </w:p>
    <w:p>
      <w:pPr>
        <w:pStyle w:val="8"/>
        <w:ind w:left="0"/>
        <w:rPr>
          <w:rFonts w:hint="default" w:eastAsia="仿宋_GB2312" w:cs="仿宋_GB2312"/>
          <w:color w:val="auto"/>
          <w:kern w:val="2"/>
        </w:rPr>
      </w:pPr>
      <w:bookmarkStart w:id="38" w:name="_Toc13932"/>
      <w:bookmarkStart w:id="39" w:name="_Toc167402246"/>
      <w:bookmarkStart w:id="40" w:name="_Toc24749"/>
      <w:bookmarkStart w:id="41" w:name="_Toc10595"/>
      <w:r>
        <w:rPr>
          <w:rFonts w:ascii="黑体" w:hAnsi="黑体"/>
          <w:color w:val="auto"/>
          <w:kern w:val="2"/>
        </w:rPr>
        <w:t>第九条</w:t>
      </w:r>
      <w:r>
        <w:rPr>
          <w:color w:val="auto"/>
        </w:rPr>
        <w:t xml:space="preserve"> </w:t>
      </w:r>
      <w:r>
        <w:rPr>
          <w:rFonts w:hAnsi="宋体" w:eastAsia="仿宋_GB2312"/>
          <w:color w:val="auto"/>
        </w:rPr>
        <w:t xml:space="preserve"> </w:t>
      </w:r>
      <w:r>
        <w:rPr>
          <w:rFonts w:eastAsia="仿宋_GB2312" w:cs="仿宋_GB2312"/>
          <w:color w:val="auto"/>
          <w:kern w:val="2"/>
        </w:rPr>
        <w:t>“一带一路”及“金砖国家”体育赛事</w:t>
      </w:r>
      <w:bookmarkEnd w:id="38"/>
      <w:bookmarkEnd w:id="39"/>
      <w:bookmarkEnd w:id="40"/>
      <w:bookmarkEnd w:id="41"/>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补助条件：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（1）“一带一路”或“金砖国家”参赛国家3个以上、参赛队伍4支以上、参赛人员30人以上；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（2）在地方台直播、录播或中央媒体报道，并在网络新媒体进行宣传报道；</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（3）总投入80万元以上。</w:t>
      </w:r>
    </w:p>
    <w:p>
      <w:pPr>
        <w:spacing w:line="560" w:lineRule="exact"/>
        <w:ind w:firstLine="60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补助标准：根据评分结果确定补助比例，每届最高不超50万元。</w:t>
      </w:r>
    </w:p>
    <w:p>
      <w:pPr>
        <w:pStyle w:val="8"/>
        <w:ind w:left="0"/>
        <w:rPr>
          <w:rFonts w:hint="default" w:eastAsia="仿宋_GB2312" w:cs="仿宋_GB2312"/>
          <w:color w:val="auto"/>
          <w:kern w:val="2"/>
        </w:rPr>
      </w:pPr>
      <w:bookmarkStart w:id="42" w:name="_Toc20268"/>
      <w:bookmarkStart w:id="43" w:name="_Toc5289"/>
      <w:bookmarkStart w:id="44" w:name="_Toc28158"/>
      <w:bookmarkStart w:id="45" w:name="_Toc167402247"/>
      <w:r>
        <w:rPr>
          <w:rFonts w:ascii="黑体" w:hAnsi="黑体"/>
          <w:color w:val="auto"/>
          <w:kern w:val="2"/>
        </w:rPr>
        <w:t>第十条</w:t>
      </w:r>
      <w:r>
        <w:rPr>
          <w:color w:val="auto"/>
        </w:rPr>
        <w:t xml:space="preserve">  </w:t>
      </w:r>
      <w:r>
        <w:rPr>
          <w:rFonts w:eastAsia="仿宋_GB2312" w:cs="仿宋_GB2312"/>
          <w:color w:val="auto"/>
          <w:kern w:val="2"/>
        </w:rPr>
        <w:t>海峡两岸体育赛事</w:t>
      </w:r>
      <w:bookmarkEnd w:id="42"/>
      <w:bookmarkEnd w:id="43"/>
      <w:bookmarkEnd w:id="44"/>
      <w:bookmarkEnd w:id="45"/>
    </w:p>
    <w:p>
      <w:pPr>
        <w:pStyle w:val="8"/>
        <w:ind w:left="0"/>
        <w:rPr>
          <w:rFonts w:hint="default" w:eastAsia="仿宋_GB2312" w:cs="仿宋_GB2312"/>
          <w:color w:val="auto"/>
          <w:kern w:val="2"/>
        </w:rPr>
      </w:pPr>
      <w:bookmarkStart w:id="46" w:name="_Toc167220308"/>
      <w:bookmarkStart w:id="47" w:name="_Toc167402248"/>
      <w:r>
        <w:rPr>
          <w:rFonts w:eastAsia="仿宋_GB2312" w:cs="仿宋_GB2312"/>
          <w:color w:val="auto"/>
          <w:kern w:val="2"/>
        </w:rPr>
        <w:t>补助条件：</w:t>
      </w:r>
      <w:bookmarkEnd w:id="46"/>
      <w:bookmarkEnd w:id="47"/>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（1）参赛队伍4支以上（台湾地区队伍不少于2支）、参赛人员30人以上（台湾地区参赛人员不少于15人）；</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（2）在地方台直播、录播或中央媒体报道，并在网络新媒体进行宣传报道；</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（3）总投入80万元以上。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补助标准：根据评分结果确定补助比例，每届最高不超过50万元。</w:t>
      </w:r>
    </w:p>
    <w:p>
      <w:pPr>
        <w:spacing w:line="560" w:lineRule="exact"/>
        <w:ind w:firstLine="604" w:firstLineChars="200"/>
        <w:rPr>
          <w:rFonts w:hint="eastAsia" w:ascii="仿宋_GB2312" w:hAnsi="仿宋_GB2312" w:eastAsia="仿宋_GB2312" w:cs="仿宋_GB2312"/>
          <w:color w:val="auto"/>
          <w:sz w:val="32"/>
          <w:szCs w:val="32"/>
        </w:rPr>
      </w:pPr>
      <w:bookmarkStart w:id="48" w:name="_Toc167402249"/>
      <w:bookmarkStart w:id="49" w:name="_Toc8531"/>
      <w:bookmarkStart w:id="50" w:name="_Toc15180"/>
      <w:bookmarkStart w:id="51" w:name="_Toc26661"/>
      <w:r>
        <w:rPr>
          <w:rStyle w:val="9"/>
          <w:rFonts w:hint="default"/>
          <w:color w:val="auto"/>
        </w:rPr>
        <w:t>第十一条</w:t>
      </w:r>
      <w:bookmarkEnd w:id="48"/>
      <w:bookmarkEnd w:id="49"/>
      <w:bookmarkEnd w:id="50"/>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在我区举办的其他具有自主品牌特色，且社会关注度高、市场空间大、发展前景好的高水平体育赛事。</w:t>
      </w:r>
      <w:bookmarkEnd w:id="51"/>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自主品牌特色赛事指，结合独特主题、赛制，吸引各方关注，融合湖里区地域特色、文化元素，发挥区位优势，推动体育与文化传承的赛事。</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补助条件：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（1）参赛队伍4支以上、参赛人员30人以上，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（2）在地方台直播、录播或中央媒体报道，并在网络新媒体进行宣传报道，</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（3）总投入50万元以上。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补助标准：根据评分结果确定补助比例，同一赛事最多补助不超过3届，首届补助最高不超过30万元，第二届补助最高不超过25万元，第三届补助最高不超过20万元。</w:t>
      </w:r>
    </w:p>
    <w:p>
      <w:pPr>
        <w:pStyle w:val="8"/>
        <w:ind w:left="0"/>
        <w:rPr>
          <w:rFonts w:hint="default" w:eastAsia="仿宋_GB2312" w:cs="仿宋_GB2312"/>
          <w:color w:val="auto"/>
          <w:kern w:val="2"/>
        </w:rPr>
      </w:pPr>
      <w:bookmarkStart w:id="52" w:name="_Toc26109"/>
      <w:bookmarkStart w:id="53" w:name="_Toc12430"/>
      <w:bookmarkStart w:id="54" w:name="_Toc17171"/>
      <w:bookmarkStart w:id="55" w:name="_Toc167402250"/>
      <w:r>
        <w:rPr>
          <w:rStyle w:val="9"/>
          <w:rFonts w:hint="default"/>
          <w:color w:val="auto"/>
        </w:rPr>
        <w:t>第十二条</w:t>
      </w:r>
      <w:r>
        <w:rPr>
          <w:color w:val="auto"/>
        </w:rPr>
        <w:t xml:space="preserve">  </w:t>
      </w:r>
      <w:r>
        <w:rPr>
          <w:rFonts w:eastAsia="仿宋_GB2312" w:cs="仿宋_GB2312"/>
          <w:color w:val="auto"/>
          <w:kern w:val="2"/>
        </w:rPr>
        <w:t>在我区举办的群众性体育赛事</w:t>
      </w:r>
      <w:bookmarkEnd w:id="52"/>
      <w:bookmarkEnd w:id="53"/>
      <w:bookmarkEnd w:id="54"/>
      <w:bookmarkEnd w:id="55"/>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根据评审情况对综合评审得分排名靠前的未达到高水平赛事活动给予补助，且补助金额不超过经审核认定的办赛支出的40%。</w:t>
      </w:r>
    </w:p>
    <w:p>
      <w:pPr>
        <w:pStyle w:val="8"/>
        <w:ind w:left="0"/>
        <w:rPr>
          <w:rFonts w:hint="default" w:eastAsia="仿宋_GB2312" w:cs="仿宋_GB2312"/>
          <w:color w:val="auto"/>
          <w:kern w:val="2"/>
        </w:rPr>
      </w:pPr>
      <w:bookmarkStart w:id="56" w:name="_Toc31452"/>
      <w:bookmarkStart w:id="57" w:name="_Toc17017"/>
      <w:bookmarkStart w:id="58" w:name="_Toc11530"/>
      <w:bookmarkStart w:id="59" w:name="_Toc167402251"/>
      <w:r>
        <w:rPr>
          <w:rStyle w:val="9"/>
          <w:rFonts w:hint="default"/>
          <w:color w:val="auto"/>
        </w:rPr>
        <w:t>第十三条</w:t>
      </w:r>
      <w:r>
        <w:rPr>
          <w:color w:val="auto"/>
        </w:rPr>
        <w:t xml:space="preserve">  </w:t>
      </w:r>
      <w:r>
        <w:rPr>
          <w:rFonts w:eastAsia="仿宋_GB2312" w:cs="仿宋_GB2312"/>
          <w:color w:val="auto"/>
          <w:kern w:val="2"/>
        </w:rPr>
        <w:t>评分与补助比例关系</w:t>
      </w:r>
      <w:bookmarkEnd w:id="56"/>
      <w:bookmarkEnd w:id="57"/>
      <w:bookmarkEnd w:id="58"/>
      <w:bookmarkEnd w:id="59"/>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上述第七条至第十二条赛事按照对应赛事评分办法（详见附件）进行评分，评分结果60分（含）以上的，可给予补助；评分结果60分以下的，不予补助。评分与补助比例的关系：</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1.90分＜评分，补助比例不超过40%；</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2.85分＜评分≤90分，补助比例不超过35%；</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3.80分＜评分≤85分，补助比例不超过30%；</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4.75分＜评分≤80分，补助比例不超过25%；</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5.70分＜评分≤75分，补助比例不超过20%；</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6.65分＜评分≤70分，补助比例不超过15%；</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7.60分≤评分≤65分，补助比例不超过10%。</w:t>
      </w:r>
    </w:p>
    <w:p>
      <w:pPr>
        <w:spacing w:line="560" w:lineRule="exact"/>
        <w:ind w:firstLine="604" w:firstLineChars="200"/>
        <w:rPr>
          <w:rFonts w:hint="eastAsia" w:ascii="仿宋_GB2312" w:hAnsi="仿宋_GB2312" w:eastAsia="仿宋_GB2312" w:cs="仿宋_GB2312"/>
          <w:color w:val="auto"/>
          <w:sz w:val="32"/>
          <w:szCs w:val="32"/>
        </w:rPr>
      </w:pPr>
      <w:bookmarkStart w:id="60" w:name="_Toc167402252"/>
      <w:bookmarkStart w:id="61" w:name="_Toc28686"/>
      <w:bookmarkStart w:id="62" w:name="_Toc14896"/>
      <w:r>
        <w:rPr>
          <w:rStyle w:val="9"/>
          <w:rFonts w:hint="default"/>
          <w:color w:val="auto"/>
        </w:rPr>
        <w:t>第十四条</w:t>
      </w:r>
      <w:bookmarkEnd w:id="60"/>
      <w:bookmarkEnd w:id="61"/>
      <w:bookmarkEnd w:id="62"/>
      <w:r>
        <w:rPr>
          <w:rFonts w:hint="eastAsia" w:ascii="仿宋_GB2312" w:hAnsi="仿宋_GB2312" w:eastAsia="仿宋_GB2312" w:cs="仿宋_GB2312"/>
          <w:color w:val="auto"/>
          <w:sz w:val="32"/>
          <w:szCs w:val="32"/>
        </w:rPr>
        <w:t xml:space="preserve"> 上述第七条至第十二条赛事择优补助，每年补助比例如下：</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bookmarkStart w:id="63" w:name="_Hlk165668350"/>
      <w:r>
        <w:rPr>
          <w:rFonts w:hint="eastAsia" w:ascii="仿宋_GB2312" w:hAnsi="仿宋_GB2312" w:eastAsia="仿宋_GB2312" w:cs="仿宋_GB2312"/>
          <w:color w:val="auto"/>
          <w:sz w:val="32"/>
          <w:szCs w:val="32"/>
        </w:rPr>
        <w:t>国际性体育赛事，补助不超过2个；</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2.全国性体育赛事，补助不超过3个；</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3.“一带一路”及“金砖国家”体育赛事，补助不超过3个； </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4.海峡两岸体育赛事，补助不超过3个；</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5.在我区举办的其他具有自主品牌特色，且社会关注度高、市场空间大、发展前景好的高水平体育赛事，补助不超过3个；</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6.在我区举办的群众性体育赛事，</w:t>
      </w:r>
      <w:bookmarkEnd w:id="63"/>
      <w:r>
        <w:rPr>
          <w:rFonts w:hint="eastAsia" w:ascii="仿宋_GB2312" w:hAnsi="仿宋_GB2312" w:eastAsia="仿宋_GB2312" w:cs="仿宋_GB2312"/>
          <w:color w:val="auto"/>
          <w:sz w:val="32"/>
          <w:szCs w:val="32"/>
        </w:rPr>
        <w:t>10万元补助不超过5个、8万元补助不超过10个、6万元补助不超过20个。</w:t>
      </w:r>
    </w:p>
    <w:p>
      <w:pPr>
        <w:adjustRightInd w:val="0"/>
        <w:snapToGrid w:val="0"/>
        <w:spacing w:line="560" w:lineRule="exact"/>
        <w:ind w:firstLine="602"/>
        <w:jc w:val="center"/>
        <w:rPr>
          <w:rFonts w:ascii="黑体" w:hAnsi="黑体" w:eastAsia="黑体" w:cs="宋体"/>
          <w:color w:val="auto"/>
          <w:sz w:val="32"/>
          <w:szCs w:val="32"/>
        </w:rPr>
      </w:pPr>
    </w:p>
    <w:p>
      <w:pPr>
        <w:pStyle w:val="7"/>
        <w:rPr>
          <w:rStyle w:val="9"/>
          <w:rFonts w:hint="default"/>
          <w:color w:val="auto"/>
        </w:rPr>
      </w:pPr>
      <w:bookmarkStart w:id="64" w:name="_Toc24082"/>
      <w:bookmarkStart w:id="65" w:name="_Toc5878"/>
      <w:bookmarkStart w:id="66" w:name="_Toc18312"/>
      <w:bookmarkStart w:id="67" w:name="_Toc167402253"/>
      <w:r>
        <w:rPr>
          <w:rStyle w:val="9"/>
          <w:rFonts w:hint="default"/>
          <w:color w:val="auto"/>
        </w:rPr>
        <w:t>第三章  申报和审核</w:t>
      </w:r>
      <w:bookmarkEnd w:id="64"/>
      <w:bookmarkEnd w:id="65"/>
      <w:bookmarkEnd w:id="66"/>
      <w:bookmarkEnd w:id="67"/>
    </w:p>
    <w:p>
      <w:pPr>
        <w:spacing w:line="560" w:lineRule="exact"/>
        <w:ind w:firstLine="382"/>
        <w:rPr>
          <w:color w:val="auto"/>
        </w:rPr>
      </w:pPr>
    </w:p>
    <w:p>
      <w:pPr>
        <w:spacing w:line="560" w:lineRule="exact"/>
        <w:ind w:firstLine="604" w:firstLineChars="200"/>
        <w:rPr>
          <w:color w:val="auto"/>
        </w:rPr>
      </w:pPr>
      <w:bookmarkStart w:id="68" w:name="_Toc32597"/>
      <w:bookmarkStart w:id="69" w:name="_Toc27225"/>
      <w:bookmarkStart w:id="70" w:name="_Toc167402254"/>
      <w:r>
        <w:rPr>
          <w:rStyle w:val="9"/>
          <w:rFonts w:hint="default"/>
          <w:color w:val="auto"/>
        </w:rPr>
        <w:t>第十五条</w:t>
      </w:r>
      <w:bookmarkEnd w:id="68"/>
      <w:bookmarkEnd w:id="69"/>
      <w:bookmarkEnd w:id="70"/>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拟申报补助资金的单位，需在赛事举办前向</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进行报备。</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可委托第三方机构，对赛事的筹备举办、运营管理、宣传报道、经费使用等方面进行赛前、赛中、赛后的跟踪了解，以确保赛事规范有序和资金合理使用。</w:t>
      </w:r>
    </w:p>
    <w:p>
      <w:pPr>
        <w:spacing w:line="560" w:lineRule="exact"/>
        <w:ind w:firstLine="604" w:firstLineChars="200"/>
        <w:rPr>
          <w:color w:val="auto"/>
        </w:rPr>
      </w:pPr>
      <w:bookmarkStart w:id="71" w:name="_Toc32230"/>
      <w:bookmarkStart w:id="72" w:name="_Toc167402255"/>
      <w:bookmarkStart w:id="73" w:name="_Toc8563"/>
      <w:r>
        <w:rPr>
          <w:rStyle w:val="9"/>
          <w:rFonts w:hint="default"/>
          <w:color w:val="auto"/>
        </w:rPr>
        <w:t>第十六条</w:t>
      </w:r>
      <w:bookmarkEnd w:id="71"/>
      <w:bookmarkEnd w:id="72"/>
      <w:bookmarkEnd w:id="73"/>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按照申报时间节点通过官方网站、微信公众号等平台发布申报通知。</w:t>
      </w:r>
    </w:p>
    <w:p>
      <w:pPr>
        <w:spacing w:line="560" w:lineRule="exact"/>
        <w:ind w:firstLine="604" w:firstLineChars="200"/>
        <w:rPr>
          <w:rFonts w:ascii="仿宋_GB2312" w:hAnsi="仿宋_GB2312" w:eastAsia="仿宋_GB2312" w:cs="仿宋_GB2312"/>
          <w:color w:val="auto"/>
          <w:sz w:val="32"/>
          <w:szCs w:val="32"/>
        </w:rPr>
      </w:pPr>
      <w:bookmarkStart w:id="74" w:name="_Toc5636"/>
      <w:bookmarkStart w:id="75" w:name="_Toc32761"/>
      <w:bookmarkStart w:id="76" w:name="_Toc167402256"/>
      <w:bookmarkStart w:id="77" w:name="_Toc24760"/>
      <w:r>
        <w:rPr>
          <w:rStyle w:val="9"/>
          <w:rFonts w:hint="default"/>
          <w:color w:val="auto"/>
        </w:rPr>
        <w:t>第十七条</w:t>
      </w:r>
      <w:bookmarkEnd w:id="74"/>
      <w:bookmarkEnd w:id="75"/>
      <w:bookmarkEnd w:id="76"/>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各街道通知辖区内体育产业相关单位进行申报。</w:t>
      </w:r>
      <w:bookmarkEnd w:id="77"/>
    </w:p>
    <w:p>
      <w:pPr>
        <w:spacing w:line="560" w:lineRule="exact"/>
        <w:ind w:firstLine="604" w:firstLineChars="200"/>
        <w:rPr>
          <w:rFonts w:hint="eastAsia" w:ascii="仿宋_GB2312" w:hAnsi="仿宋_GB2312" w:eastAsia="仿宋_GB2312" w:cs="仿宋_GB2312"/>
          <w:color w:val="auto"/>
          <w:sz w:val="32"/>
          <w:szCs w:val="32"/>
        </w:rPr>
      </w:pPr>
      <w:r>
        <w:rPr>
          <w:rStyle w:val="9"/>
          <w:rFonts w:hint="default"/>
          <w:color w:val="auto"/>
        </w:rPr>
        <w:t>第十八条</w:t>
      </w:r>
      <w:r>
        <w:rPr>
          <w:rFonts w:hint="eastAsia" w:ascii="仿宋_GB2312" w:hAnsi="仿宋_GB2312" w:eastAsia="仿宋_GB2312" w:cs="仿宋_GB2312"/>
          <w:color w:val="auto"/>
          <w:sz w:val="32"/>
          <w:szCs w:val="32"/>
        </w:rPr>
        <w:t xml:space="preserve">  体育赛事名称应当符合下列规定：</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（一）与举办地域和体育赛事活动的项目内容相一致；</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（二）与举办单位开展活动的行业领域和人群范围相一致；</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（三）与其他自然人、法人或非法人组织举办的体育赛事活动名称有实质性区别；</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（四）不得侵犯其他自然人、法人或非法人组织的合法权益；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（五）不得含有欺骗或可能造成公众误解的文字；</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（六）不得使用具有宗教含义的文字；</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（七）按照国家法律法规、政策的要求合法合规使用“一带一路”“金砖国家”等含有政治、外交属性的文字；</w:t>
      </w:r>
    </w:p>
    <w:p>
      <w:pPr>
        <w:spacing w:line="560" w:lineRule="exact"/>
        <w:ind w:firstLine="60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（八）相关法律、法规和规章的其他规定。</w:t>
      </w:r>
    </w:p>
    <w:p>
      <w:pPr>
        <w:spacing w:line="560" w:lineRule="exact"/>
        <w:ind w:firstLine="604" w:firstLineChars="200"/>
        <w:rPr>
          <w:rFonts w:hint="eastAsia" w:ascii="仿宋_GB2312" w:hAnsi="仿宋_GB2312" w:eastAsia="仿宋_GB2312" w:cs="仿宋_GB2312"/>
          <w:color w:val="auto"/>
          <w:sz w:val="32"/>
          <w:szCs w:val="32"/>
        </w:rPr>
      </w:pPr>
      <w:bookmarkStart w:id="78" w:name="_Toc8607"/>
      <w:bookmarkStart w:id="79" w:name="_Toc29017"/>
      <w:bookmarkStart w:id="80" w:name="_Toc167402257"/>
      <w:r>
        <w:rPr>
          <w:rStyle w:val="9"/>
          <w:rFonts w:hint="default"/>
          <w:color w:val="auto"/>
        </w:rPr>
        <w:t>第十九条</w:t>
      </w:r>
      <w:bookmarkEnd w:id="78"/>
      <w:bookmarkEnd w:id="79"/>
      <w:bookmarkEnd w:id="80"/>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一项赛事活动只能由一个符合条件的举办单位进行申报，项目申报单位与项目实施单位（包括办赛经费收支）必须一致。</w:t>
      </w:r>
    </w:p>
    <w:p>
      <w:pPr>
        <w:spacing w:line="560" w:lineRule="exact"/>
        <w:ind w:firstLine="604" w:firstLineChars="200"/>
        <w:rPr>
          <w:rFonts w:hint="eastAsia" w:ascii="仿宋_GB2312" w:hAnsi="仿宋_GB2312" w:eastAsia="仿宋_GB2312" w:cs="仿宋_GB2312"/>
          <w:color w:val="auto"/>
          <w:sz w:val="32"/>
          <w:szCs w:val="32"/>
        </w:rPr>
      </w:pPr>
      <w:bookmarkStart w:id="81" w:name="_Toc29210"/>
      <w:bookmarkStart w:id="82" w:name="_Toc31039"/>
      <w:bookmarkStart w:id="83" w:name="_Toc167402259"/>
      <w:r>
        <w:rPr>
          <w:rStyle w:val="9"/>
          <w:rFonts w:hint="default"/>
          <w:color w:val="auto"/>
        </w:rPr>
        <w:t>第二十条</w:t>
      </w:r>
      <w:bookmarkEnd w:id="81"/>
      <w:bookmarkEnd w:id="82"/>
      <w:bookmarkEnd w:id="83"/>
      <w:r>
        <w:rPr>
          <w:rFonts w:hint="eastAsia" w:ascii="黑体" w:hAnsi="黑体" w:eastAsia="黑体" w:cs="宋体"/>
          <w:color w:val="auto"/>
          <w:sz w:val="32"/>
          <w:szCs w:val="32"/>
        </w:rPr>
        <w:t xml:space="preserve">  </w:t>
      </w:r>
      <w:r>
        <w:rPr>
          <w:rFonts w:hint="eastAsia" w:ascii="仿宋_GB2312" w:hAnsi="仿宋_GB2312" w:eastAsia="仿宋_GB2312" w:cs="仿宋_GB2312"/>
          <w:color w:val="auto"/>
          <w:sz w:val="32"/>
          <w:szCs w:val="32"/>
        </w:rPr>
        <w:t>申报单位对其项目申报材料的真实性、准确性和完整性负责，并作出相应承诺。申报单位的主体应同时符合下列条件：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（一）具有独立法人资格；</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（二）财务管理制度健全，无重大违法违规行为，未存在失信被执行情况；</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（三）积极配合体育行政管理部门做好有关体育产业登记、统计等材料和数据的报送工作；</w:t>
      </w:r>
    </w:p>
    <w:p>
      <w:pPr>
        <w:spacing w:line="560" w:lineRule="exact"/>
        <w:ind w:firstLine="60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（四）符合申报要求的其他条件。</w:t>
      </w:r>
    </w:p>
    <w:p>
      <w:pPr>
        <w:spacing w:line="560" w:lineRule="exact"/>
        <w:ind w:firstLine="604" w:firstLineChars="200"/>
        <w:rPr>
          <w:rFonts w:hint="eastAsia" w:ascii="仿宋_GB2312" w:hAnsi="仿宋_GB2312" w:eastAsia="仿宋_GB2312" w:cs="仿宋_GB2312"/>
          <w:color w:val="auto"/>
          <w:sz w:val="32"/>
          <w:szCs w:val="32"/>
        </w:rPr>
      </w:pPr>
      <w:bookmarkStart w:id="84" w:name="_Toc10940"/>
      <w:bookmarkStart w:id="85" w:name="_Toc167402260"/>
      <w:bookmarkStart w:id="86" w:name="_Toc11648"/>
      <w:bookmarkStart w:id="87" w:name="_Toc24246"/>
      <w:r>
        <w:rPr>
          <w:rStyle w:val="9"/>
          <w:rFonts w:hint="default"/>
          <w:color w:val="auto"/>
        </w:rPr>
        <w:t>第二十</w:t>
      </w:r>
      <w:r>
        <w:rPr>
          <w:rStyle w:val="9"/>
          <w:color w:val="auto"/>
        </w:rPr>
        <w:t>一</w:t>
      </w:r>
      <w:r>
        <w:rPr>
          <w:rStyle w:val="9"/>
          <w:rFonts w:hint="default"/>
          <w:color w:val="auto"/>
        </w:rPr>
        <w:t>条</w:t>
      </w:r>
      <w:bookmarkEnd w:id="84"/>
      <w:bookmarkEnd w:id="85"/>
      <w:bookmarkEnd w:id="86"/>
      <w:r>
        <w:rPr>
          <w:rFonts w:hint="eastAsia" w:ascii="仿宋_GB2312" w:hAnsi="仿宋_GB2312" w:eastAsia="仿宋_GB2312" w:cs="仿宋_GB2312"/>
          <w:color w:val="auto"/>
          <w:sz w:val="32"/>
          <w:szCs w:val="32"/>
        </w:rPr>
        <w:t xml:space="preserve">  近两年内有下列情形之一的，不得申报补助资金：</w:t>
      </w:r>
      <w:bookmarkEnd w:id="87"/>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（一）有逃税、骗税等违法行为被查处的；</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（二）被列入诚信“黑名单”的；</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（三）知识产权、所有权、承办权等有争议的；</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（四）出现过较大安全事故的；</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（五）产生过较大不良社会影响情况的。</w:t>
      </w:r>
    </w:p>
    <w:p>
      <w:pPr>
        <w:spacing w:line="560" w:lineRule="exact"/>
        <w:ind w:firstLine="604" w:firstLineChars="200"/>
        <w:rPr>
          <w:rFonts w:hint="eastAsia" w:ascii="仿宋_GB2312" w:hAnsi="仿宋_GB2312" w:eastAsia="仿宋_GB2312" w:cs="仿宋_GB2312"/>
          <w:color w:val="auto"/>
          <w:sz w:val="32"/>
          <w:szCs w:val="32"/>
        </w:rPr>
      </w:pPr>
      <w:bookmarkStart w:id="88" w:name="_Toc167402261"/>
      <w:bookmarkStart w:id="89" w:name="_Toc28517"/>
      <w:bookmarkStart w:id="90" w:name="_Toc17058"/>
      <w:bookmarkStart w:id="91" w:name="_Toc29341"/>
      <w:r>
        <w:rPr>
          <w:rStyle w:val="9"/>
          <w:rFonts w:hint="default"/>
          <w:color w:val="auto"/>
        </w:rPr>
        <w:t>第二十</w:t>
      </w:r>
      <w:r>
        <w:rPr>
          <w:rStyle w:val="9"/>
          <w:color w:val="auto"/>
        </w:rPr>
        <w:t>二</w:t>
      </w:r>
      <w:r>
        <w:rPr>
          <w:rStyle w:val="9"/>
          <w:rFonts w:hint="default"/>
          <w:color w:val="auto"/>
        </w:rPr>
        <w:t>条</w:t>
      </w:r>
      <w:bookmarkEnd w:id="88"/>
      <w:bookmarkEnd w:id="89"/>
      <w:bookmarkEnd w:id="90"/>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申报单位通过官方网站、微信公众号下载相关表格进行填写，并提供下列材料一并申报</w:t>
      </w:r>
      <w:bookmarkEnd w:id="91"/>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（一）厦门市湖里区体育赛事补助申报表</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（二）赛事活动方案、安保方案、应急预案、医疗保障方案、舆情管控方案、风险评估报告、赛事总结和经费决算报告；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（三）社会组织需提供年检报告，企业需提供企业年度审计报告和税审报告；</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（四）拟申报赛事活动获得各级财政经费支持的情况说明；</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（五）赛事评分所需要的相关材料（详见附件）。</w:t>
      </w:r>
    </w:p>
    <w:p>
      <w:pPr>
        <w:spacing w:line="560" w:lineRule="exact"/>
        <w:ind w:firstLine="60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申报材料整理后装订成册1份，并提供word档电子材料。</w:t>
      </w:r>
      <w:bookmarkStart w:id="92" w:name="_Toc14700"/>
      <w:bookmarkStart w:id="93" w:name="_Toc12345"/>
    </w:p>
    <w:p>
      <w:pPr>
        <w:spacing w:line="560" w:lineRule="exact"/>
        <w:ind w:firstLine="604" w:firstLineChars="200"/>
        <w:rPr>
          <w:rFonts w:hint="eastAsia" w:ascii="仿宋_GB2312" w:hAnsi="仿宋_GB2312" w:eastAsia="仿宋_GB2312" w:cs="仿宋_GB2312"/>
          <w:color w:val="auto"/>
          <w:sz w:val="32"/>
          <w:szCs w:val="32"/>
        </w:rPr>
      </w:pPr>
      <w:r>
        <w:rPr>
          <w:rStyle w:val="9"/>
          <w:rFonts w:hint="default"/>
          <w:color w:val="auto"/>
        </w:rPr>
        <w:t>第二十</w:t>
      </w:r>
      <w:r>
        <w:rPr>
          <w:rStyle w:val="9"/>
          <w:color w:val="auto"/>
        </w:rPr>
        <w:t>三</w:t>
      </w:r>
      <w:r>
        <w:rPr>
          <w:rStyle w:val="9"/>
          <w:rFonts w:hint="default"/>
          <w:color w:val="auto"/>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每年1月31日前申请上一年度赛事活动补助。</w:t>
      </w:r>
      <w:bookmarkStart w:id="94" w:name="_Toc167402262"/>
    </w:p>
    <w:p>
      <w:pPr>
        <w:spacing w:line="560" w:lineRule="exact"/>
        <w:ind w:firstLine="604" w:firstLineChars="200"/>
        <w:rPr>
          <w:rFonts w:hint="eastAsia" w:ascii="仿宋_GB2312" w:hAnsi="楷体" w:eastAsia="仿宋"/>
          <w:b/>
          <w:color w:val="auto"/>
          <w:sz w:val="32"/>
          <w:szCs w:val="32"/>
        </w:rPr>
      </w:pPr>
      <w:r>
        <w:rPr>
          <w:rStyle w:val="9"/>
          <w:rFonts w:hint="default"/>
          <w:color w:val="auto"/>
        </w:rPr>
        <w:t>第二十</w:t>
      </w:r>
      <w:r>
        <w:rPr>
          <w:rStyle w:val="9"/>
          <w:color w:val="auto"/>
        </w:rPr>
        <w:t>四</w:t>
      </w:r>
      <w:r>
        <w:rPr>
          <w:rStyle w:val="9"/>
          <w:rFonts w:hint="default"/>
          <w:color w:val="auto"/>
        </w:rPr>
        <w:t>条</w:t>
      </w:r>
      <w:bookmarkEnd w:id="92"/>
      <w:bookmarkEnd w:id="93"/>
      <w:bookmarkEnd w:id="94"/>
      <w:r>
        <w:rPr>
          <w:rFonts w:hint="eastAsia" w:ascii="仿宋_GB2312" w:hAnsi="楷体" w:eastAsia="仿宋"/>
          <w:b/>
          <w:color w:val="auto"/>
          <w:sz w:val="32"/>
          <w:szCs w:val="32"/>
        </w:rPr>
        <w:t xml:space="preserve">  </w:t>
      </w:r>
      <w:r>
        <w:rPr>
          <w:rFonts w:hint="eastAsia" w:ascii="仿宋_GB2312" w:hAnsi="楷体" w:eastAsia="仿宋"/>
          <w:b/>
          <w:color w:val="auto"/>
          <w:sz w:val="32"/>
          <w:szCs w:val="32"/>
          <w:lang w:eastAsia="zh-CN"/>
        </w:rPr>
        <w:t>湖里区文化和旅游局</w:t>
      </w:r>
      <w:r>
        <w:rPr>
          <w:rFonts w:hint="eastAsia" w:ascii="仿宋_GB2312" w:hAnsi="楷体" w:eastAsia="仿宋"/>
          <w:b/>
          <w:color w:val="auto"/>
          <w:sz w:val="32"/>
          <w:szCs w:val="32"/>
        </w:rPr>
        <w:t>委托有资质的第三方机构对申报材料进行审核。经审核不符合要求的，予以退回并取消申请资格。</w:t>
      </w:r>
    </w:p>
    <w:p>
      <w:pPr>
        <w:spacing w:line="560" w:lineRule="exact"/>
        <w:ind w:firstLine="604" w:firstLineChars="200"/>
        <w:rPr>
          <w:color w:val="auto"/>
        </w:rPr>
      </w:pPr>
      <w:r>
        <w:rPr>
          <w:rFonts w:hint="eastAsia" w:ascii="黑体" w:hAnsi="黑体" w:eastAsia="黑体" w:cs="黑体"/>
          <w:bCs/>
          <w:color w:val="auto"/>
          <w:sz w:val="32"/>
          <w:szCs w:val="32"/>
        </w:rPr>
        <w:t>第二十五条</w:t>
      </w:r>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对审核通过的申请单位，组织专项资金评审小组进行评审（评分方法见附件），结合实际情况及资金预算安排，确定拟补助项目及补助金额。专项资金评审小组由5—7名的人员组成，包含产业、财务、资金管理等类别的人员，可从市体育产业专家库中随机抽取。</w:t>
      </w:r>
    </w:p>
    <w:p>
      <w:pPr>
        <w:spacing w:line="560" w:lineRule="exact"/>
        <w:ind w:firstLine="604" w:firstLineChars="200"/>
        <w:rPr>
          <w:rFonts w:hint="eastAsia" w:ascii="仿宋_GB2312" w:hAnsi="仿宋_GB2312" w:eastAsia="仿宋_GB2312" w:cs="仿宋_GB2312"/>
          <w:color w:val="auto"/>
          <w:sz w:val="32"/>
          <w:szCs w:val="32"/>
        </w:rPr>
      </w:pPr>
      <w:bookmarkStart w:id="95" w:name="_Toc19951"/>
      <w:bookmarkStart w:id="96" w:name="_Toc167402263"/>
      <w:bookmarkStart w:id="97" w:name="_Toc12998"/>
      <w:r>
        <w:rPr>
          <w:rStyle w:val="9"/>
          <w:rFonts w:hint="default"/>
          <w:color w:val="auto"/>
        </w:rPr>
        <w:t>第二十六条</w:t>
      </w:r>
      <w:bookmarkEnd w:id="95"/>
      <w:bookmarkEnd w:id="96"/>
      <w:bookmarkEnd w:id="97"/>
      <w:r>
        <w:rPr>
          <w:rStyle w:val="9"/>
          <w:rFonts w:hint="default"/>
          <w:color w:val="auto"/>
        </w:rPr>
        <w:t xml:space="preserve"> </w:t>
      </w:r>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对补助项目进行复核，确保不存在重复补助和重大违法违规行为问题，经</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研究通过后向社会公示，公示期为5个工作日。经公示无异议，提交区政府专题会议研究通过后，由</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安排拨付补助资金。</w:t>
      </w:r>
    </w:p>
    <w:p>
      <w:pPr>
        <w:pStyle w:val="7"/>
        <w:rPr>
          <w:rStyle w:val="9"/>
          <w:rFonts w:hint="default"/>
          <w:color w:val="auto"/>
        </w:rPr>
      </w:pPr>
      <w:bookmarkStart w:id="98" w:name="_Toc18361"/>
      <w:bookmarkStart w:id="99" w:name="_Toc4982"/>
      <w:bookmarkStart w:id="100" w:name="_Toc167402264"/>
      <w:bookmarkStart w:id="101" w:name="_Toc28206"/>
    </w:p>
    <w:p>
      <w:pPr>
        <w:pStyle w:val="7"/>
        <w:rPr>
          <w:rStyle w:val="9"/>
          <w:rFonts w:hint="default"/>
          <w:color w:val="auto"/>
        </w:rPr>
      </w:pPr>
      <w:r>
        <w:rPr>
          <w:rStyle w:val="9"/>
          <w:rFonts w:hint="default"/>
          <w:color w:val="auto"/>
        </w:rPr>
        <w:t>第四章  监管和绩效评估</w:t>
      </w:r>
      <w:bookmarkEnd w:id="98"/>
      <w:bookmarkEnd w:id="99"/>
      <w:bookmarkEnd w:id="100"/>
      <w:bookmarkEnd w:id="101"/>
    </w:p>
    <w:p>
      <w:pPr>
        <w:adjustRightInd w:val="0"/>
        <w:snapToGrid w:val="0"/>
        <w:spacing w:line="560" w:lineRule="exact"/>
        <w:ind w:firstLine="602"/>
        <w:rPr>
          <w:rFonts w:ascii="黑体" w:hAnsi="黑体" w:eastAsia="黑体"/>
          <w:color w:val="auto"/>
          <w:sz w:val="32"/>
          <w:szCs w:val="32"/>
        </w:rPr>
      </w:pPr>
    </w:p>
    <w:p>
      <w:pPr>
        <w:spacing w:line="560" w:lineRule="exact"/>
        <w:ind w:firstLine="604" w:firstLineChars="200"/>
        <w:rPr>
          <w:rFonts w:ascii="仿宋_GB2312" w:hAnsi="仿宋_GB2312" w:eastAsia="仿宋_GB2312" w:cs="仿宋_GB2312"/>
          <w:color w:val="auto"/>
          <w:sz w:val="32"/>
          <w:szCs w:val="32"/>
        </w:rPr>
      </w:pPr>
      <w:bookmarkStart w:id="102" w:name="_Toc167402265"/>
      <w:bookmarkStart w:id="103" w:name="_Toc12287"/>
      <w:bookmarkStart w:id="104" w:name="_Toc12445"/>
      <w:r>
        <w:rPr>
          <w:rStyle w:val="9"/>
          <w:rFonts w:hint="default"/>
          <w:color w:val="auto"/>
        </w:rPr>
        <w:t>第二十七条</w:t>
      </w:r>
      <w:bookmarkEnd w:id="102"/>
      <w:bookmarkEnd w:id="103"/>
      <w:bookmarkEnd w:id="104"/>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负责补助资金预算的编制、执行、绩效监控和评价以及组织项目申报、评审公示和资金拨付。</w:t>
      </w:r>
    </w:p>
    <w:p>
      <w:pPr>
        <w:spacing w:line="560" w:lineRule="exact"/>
        <w:ind w:firstLine="604" w:firstLineChars="200"/>
        <w:rPr>
          <w:rFonts w:ascii="仿宋_GB2312" w:hAnsi="仿宋_GB2312" w:eastAsia="仿宋_GB2312" w:cs="仿宋_GB2312"/>
          <w:color w:val="auto"/>
          <w:sz w:val="32"/>
          <w:szCs w:val="32"/>
        </w:rPr>
      </w:pPr>
      <w:bookmarkStart w:id="105" w:name="_Toc167402266"/>
      <w:bookmarkStart w:id="106" w:name="_Toc27425"/>
      <w:bookmarkStart w:id="107" w:name="_Toc19194"/>
      <w:r>
        <w:rPr>
          <w:rStyle w:val="9"/>
          <w:rFonts w:hint="default"/>
          <w:color w:val="auto"/>
        </w:rPr>
        <w:t>第二十八条</w:t>
      </w:r>
      <w:bookmarkEnd w:id="105"/>
      <w:bookmarkEnd w:id="106"/>
      <w:bookmarkEnd w:id="107"/>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可委托第三方机构对补助资金的使用管理情况进行绩效评估。</w:t>
      </w:r>
    </w:p>
    <w:p>
      <w:pPr>
        <w:spacing w:line="560" w:lineRule="exact"/>
        <w:ind w:firstLine="604" w:firstLineChars="200"/>
        <w:rPr>
          <w:rFonts w:ascii="仿宋_GB2312" w:hAnsi="仿宋_GB2312" w:eastAsia="仿宋_GB2312" w:cs="仿宋_GB2312"/>
          <w:color w:val="auto"/>
          <w:sz w:val="32"/>
          <w:szCs w:val="32"/>
        </w:rPr>
      </w:pPr>
      <w:bookmarkStart w:id="108" w:name="_Toc25359"/>
      <w:bookmarkStart w:id="109" w:name="_Toc13339"/>
      <w:bookmarkStart w:id="110" w:name="_Toc167402267"/>
      <w:bookmarkStart w:id="111" w:name="_Toc29404"/>
      <w:r>
        <w:rPr>
          <w:rStyle w:val="9"/>
          <w:rFonts w:hint="default"/>
          <w:color w:val="auto"/>
        </w:rPr>
        <w:t>第二十九条</w:t>
      </w:r>
      <w:bookmarkEnd w:id="108"/>
      <w:bookmarkEnd w:id="109"/>
      <w:bookmarkEnd w:id="110"/>
      <w:r>
        <w:rPr>
          <w:rFonts w:hint="eastAsia" w:ascii="仿宋_GB2312" w:hAnsi="仿宋_GB2312" w:eastAsia="仿宋_GB2312" w:cs="仿宋_GB2312"/>
          <w:color w:val="auto"/>
          <w:sz w:val="32"/>
          <w:szCs w:val="32"/>
        </w:rPr>
        <w:t xml:space="preserve">  </w:t>
      </w:r>
      <w:bookmarkEnd w:id="111"/>
      <w:r>
        <w:rPr>
          <w:rFonts w:hint="eastAsia" w:ascii="仿宋_GB2312" w:hAnsi="仿宋_GB2312" w:eastAsia="仿宋_GB2312" w:cs="仿宋_GB2312"/>
          <w:color w:val="auto"/>
          <w:sz w:val="32"/>
          <w:szCs w:val="32"/>
        </w:rPr>
        <w:t>资金使用单位应切实加强资金管理和规范核算，自觉接受审计、体育部门的监督检查。资金使用单位以虚报、冒领等手段骗取专项资金的，按照《财政违法行为处罚处分条例》《厦门经济特区社会信用条例》等有关规定对违法行为予以处理，由</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协助有关职能部门追究申报单位主要负责人的责任，追回已拨付的资金，两年内不再受理该单位的项目申请，并向社会公告；构成犯罪的，依法移送司法机关处理。</w:t>
      </w:r>
    </w:p>
    <w:p>
      <w:pPr>
        <w:spacing w:line="560" w:lineRule="exact"/>
        <w:ind w:firstLine="604" w:firstLineChars="200"/>
        <w:rPr>
          <w:rFonts w:hint="eastAsia" w:ascii="仿宋_GB2312" w:hAnsi="仿宋_GB2312" w:eastAsia="仿宋_GB2312" w:cs="仿宋_GB2312"/>
          <w:color w:val="auto"/>
          <w:sz w:val="32"/>
          <w:szCs w:val="32"/>
        </w:rPr>
      </w:pPr>
      <w:bookmarkStart w:id="112" w:name="_Toc5195"/>
      <w:bookmarkStart w:id="113" w:name="_Toc167402269"/>
      <w:bookmarkStart w:id="114" w:name="_Toc17748"/>
      <w:r>
        <w:rPr>
          <w:rStyle w:val="9"/>
          <w:rFonts w:hint="default"/>
          <w:color w:val="auto"/>
        </w:rPr>
        <w:t>第三十条</w:t>
      </w:r>
      <w:bookmarkEnd w:id="112"/>
      <w:bookmarkEnd w:id="113"/>
      <w:bookmarkEnd w:id="114"/>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建立绩效考评制度。资金使用单位应该建立资金使用绩效考评工作，</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组织专项资金的绩效考评检查，主要检查专项资金落实情况，获得专项资金的项目实施产生的经济和社会效益等内容。绩效考评的结果作为以后年度专项资金安排的参考依据。</w:t>
      </w:r>
    </w:p>
    <w:p>
      <w:pPr>
        <w:adjustRightInd w:val="0"/>
        <w:snapToGrid w:val="0"/>
        <w:spacing w:line="560" w:lineRule="exact"/>
        <w:ind w:firstLine="604" w:firstLineChars="200"/>
        <w:rPr>
          <w:rFonts w:ascii="仿宋_GB2312" w:hAnsi="仿宋_GB2312" w:eastAsia="仿宋_GB2312" w:cs="仿宋_GB2312"/>
          <w:color w:val="auto"/>
          <w:sz w:val="32"/>
          <w:szCs w:val="32"/>
        </w:rPr>
      </w:pPr>
    </w:p>
    <w:p>
      <w:pPr>
        <w:adjustRightInd w:val="0"/>
        <w:snapToGrid w:val="0"/>
        <w:spacing w:line="560" w:lineRule="exact"/>
        <w:ind w:firstLine="382"/>
        <w:jc w:val="center"/>
        <w:outlineLvl w:val="0"/>
        <w:rPr>
          <w:rFonts w:ascii="黑体" w:hAnsi="黑体" w:eastAsia="黑体" w:cs="宋体"/>
          <w:color w:val="auto"/>
          <w:sz w:val="32"/>
          <w:szCs w:val="32"/>
        </w:rPr>
      </w:pPr>
      <w:r>
        <w:rPr>
          <w:rFonts w:hint="eastAsia"/>
          <w:color w:val="auto"/>
        </w:rPr>
        <w:t>　　</w:t>
      </w:r>
      <w:bookmarkStart w:id="115" w:name="_Toc26402"/>
      <w:bookmarkStart w:id="116" w:name="_Toc29113"/>
      <w:bookmarkStart w:id="117" w:name="_Toc167402270"/>
      <w:bookmarkStart w:id="118" w:name="_Toc23755"/>
      <w:r>
        <w:rPr>
          <w:rStyle w:val="9"/>
          <w:rFonts w:hint="default"/>
          <w:color w:val="auto"/>
        </w:rPr>
        <w:t>第五章  附 则</w:t>
      </w:r>
      <w:bookmarkEnd w:id="115"/>
      <w:bookmarkEnd w:id="116"/>
      <w:bookmarkEnd w:id="117"/>
      <w:bookmarkEnd w:id="118"/>
    </w:p>
    <w:p>
      <w:pPr>
        <w:spacing w:line="560" w:lineRule="exact"/>
        <w:ind w:firstLine="382"/>
        <w:rPr>
          <w:color w:val="auto"/>
        </w:rPr>
      </w:pPr>
      <w:r>
        <w:rPr>
          <w:rFonts w:hint="eastAsia"/>
          <w:color w:val="auto"/>
        </w:rPr>
        <w:t xml:space="preserve"> 　　</w:t>
      </w:r>
    </w:p>
    <w:p>
      <w:pPr>
        <w:spacing w:line="560" w:lineRule="exact"/>
        <w:ind w:firstLine="604" w:firstLineChars="200"/>
        <w:rPr>
          <w:rFonts w:ascii="仿宋_GB2312" w:hAnsi="仿宋_GB2312" w:eastAsia="仿宋_GB2312" w:cs="仿宋_GB2312"/>
          <w:color w:val="auto"/>
          <w:sz w:val="32"/>
          <w:szCs w:val="32"/>
        </w:rPr>
      </w:pPr>
      <w:bookmarkStart w:id="119" w:name="_Toc167402271"/>
      <w:bookmarkStart w:id="120" w:name="_Toc27460"/>
      <w:bookmarkStart w:id="121" w:name="_Toc17626"/>
      <w:bookmarkStart w:id="122" w:name="_Toc2571"/>
      <w:r>
        <w:rPr>
          <w:rStyle w:val="9"/>
          <w:rFonts w:hint="default"/>
          <w:color w:val="auto"/>
        </w:rPr>
        <w:t>第三十</w:t>
      </w:r>
      <w:r>
        <w:rPr>
          <w:rStyle w:val="9"/>
          <w:color w:val="auto"/>
        </w:rPr>
        <w:t>一</w:t>
      </w:r>
      <w:r>
        <w:rPr>
          <w:rStyle w:val="9"/>
          <w:rFonts w:hint="default"/>
          <w:color w:val="auto"/>
        </w:rPr>
        <w:t>条</w:t>
      </w:r>
      <w:bookmarkEnd w:id="119"/>
      <w:bookmarkEnd w:id="120"/>
      <w:bookmarkEnd w:id="121"/>
      <w:r>
        <w:rPr>
          <w:rFonts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eastAsia="zh-CN"/>
        </w:rPr>
        <w:t>湖里区文化和旅游局</w:t>
      </w:r>
      <w:r>
        <w:rPr>
          <w:rFonts w:hint="eastAsia" w:ascii="仿宋_GB2312" w:hAnsi="仿宋_GB2312" w:eastAsia="仿宋_GB2312" w:cs="仿宋_GB2312"/>
          <w:color w:val="auto"/>
          <w:sz w:val="32"/>
          <w:szCs w:val="32"/>
        </w:rPr>
        <w:t>负责解释。</w:t>
      </w:r>
      <w:bookmarkEnd w:id="122"/>
    </w:p>
    <w:p>
      <w:pPr>
        <w:spacing w:line="560" w:lineRule="exact"/>
        <w:ind w:firstLine="604" w:firstLineChars="200"/>
        <w:rPr>
          <w:rFonts w:hint="eastAsia" w:ascii="仿宋_GB2312" w:hAnsi="仿宋_GB2312" w:eastAsia="仿宋_GB2312" w:cs="仿宋_GB2312"/>
          <w:color w:val="auto"/>
          <w:sz w:val="32"/>
          <w:szCs w:val="32"/>
        </w:rPr>
      </w:pPr>
      <w:bookmarkStart w:id="123" w:name="_Toc167402272"/>
      <w:r>
        <w:rPr>
          <w:rStyle w:val="9"/>
          <w:rFonts w:hint="default"/>
          <w:color w:val="auto"/>
        </w:rPr>
        <w:t>第三十</w:t>
      </w:r>
      <w:r>
        <w:rPr>
          <w:rStyle w:val="9"/>
          <w:color w:val="auto"/>
        </w:rPr>
        <w:t>二</w:t>
      </w:r>
      <w:r>
        <w:rPr>
          <w:rStyle w:val="9"/>
          <w:rFonts w:hint="default"/>
          <w:color w:val="auto"/>
        </w:rPr>
        <w:t>条</w:t>
      </w:r>
      <w:bookmarkEnd w:id="123"/>
      <w:r>
        <w:rPr>
          <w:rStyle w:val="9"/>
          <w:rFonts w:hint="default"/>
          <w:color w:val="auto"/>
        </w:rPr>
        <w:t xml:space="preserve">  </w:t>
      </w:r>
      <w:r>
        <w:rPr>
          <w:rFonts w:hint="eastAsia" w:ascii="仿宋_GB2312" w:hAnsi="仿宋_GB2312" w:eastAsia="仿宋_GB2312" w:cs="仿宋_GB2312"/>
          <w:color w:val="auto"/>
          <w:sz w:val="32"/>
          <w:szCs w:val="32"/>
        </w:rPr>
        <w:t>附件中所用“以上”“以下”均包含本数，“不满”不含本数。</w:t>
      </w:r>
    </w:p>
    <w:p>
      <w:pPr>
        <w:spacing w:line="560" w:lineRule="exact"/>
        <w:ind w:firstLine="604" w:firstLineChars="200"/>
        <w:rPr>
          <w:rFonts w:ascii="仿宋_GB2312" w:hAnsi="仿宋_GB2312" w:eastAsia="仿宋_GB2312" w:cs="仿宋_GB2312"/>
          <w:color w:val="auto"/>
          <w:sz w:val="32"/>
          <w:szCs w:val="32"/>
        </w:rPr>
      </w:pPr>
      <w:bookmarkStart w:id="124" w:name="_Toc11323"/>
      <w:bookmarkStart w:id="125" w:name="_Toc13219"/>
      <w:bookmarkStart w:id="126" w:name="_Toc167402273"/>
      <w:r>
        <w:rPr>
          <w:rStyle w:val="9"/>
          <w:rFonts w:hint="default"/>
          <w:color w:val="auto"/>
        </w:rPr>
        <w:t>第三十</w:t>
      </w:r>
      <w:r>
        <w:rPr>
          <w:rStyle w:val="9"/>
          <w:color w:val="auto"/>
        </w:rPr>
        <w:t>三</w:t>
      </w:r>
      <w:r>
        <w:rPr>
          <w:rStyle w:val="9"/>
          <w:rFonts w:hint="default"/>
          <w:color w:val="auto"/>
        </w:rPr>
        <w:t>条</w:t>
      </w:r>
      <w:bookmarkEnd w:id="124"/>
      <w:bookmarkEnd w:id="125"/>
      <w:bookmarkEnd w:id="126"/>
      <w:r>
        <w:rPr>
          <w:rFonts w:hint="eastAsia" w:ascii="仿宋_GB2312" w:hAnsi="楷体" w:eastAsia="仿宋"/>
          <w:b/>
          <w:color w:val="auto"/>
          <w:sz w:val="32"/>
          <w:szCs w:val="32"/>
        </w:rPr>
        <w:t xml:space="preserve">  </w:t>
      </w:r>
      <w:r>
        <w:rPr>
          <w:rFonts w:hint="eastAsia" w:ascii="仿宋_GB2312" w:hAnsi="仿宋_GB2312" w:eastAsia="仿宋_GB2312" w:cs="仿宋_GB2312"/>
          <w:color w:val="auto"/>
          <w:sz w:val="32"/>
          <w:szCs w:val="32"/>
        </w:rPr>
        <w:t>本办法自发布之日起实施，2024年1月1日起举办的赛事活动可参照执行，有效期自施行之日起2年。</w:t>
      </w:r>
    </w:p>
    <w:p>
      <w:pPr>
        <w:pStyle w:val="3"/>
        <w:widowControl/>
        <w:shd w:val="clear" w:color="auto" w:fill="FFFFFF"/>
        <w:spacing w:before="50" w:line="10" w:lineRule="atLeast"/>
        <w:rPr>
          <w:rFonts w:ascii="STZhongsong" w:hAnsi="STZhongsong" w:eastAsia="STZhongsong"/>
          <w:b/>
          <w:color w:val="auto"/>
          <w:sz w:val="36"/>
          <w:szCs w:val="36"/>
        </w:rPr>
        <w:sectPr>
          <w:footerReference r:id="rId3" w:type="default"/>
          <w:pgSz w:w="11906" w:h="16838"/>
          <w:pgMar w:top="1928" w:right="1588" w:bottom="1928" w:left="1588" w:header="851" w:footer="624" w:gutter="0"/>
          <w:cols w:space="720" w:num="1"/>
          <w:docGrid w:type="linesAndChars" w:linePitch="312" w:charSpace="-3850"/>
        </w:sectPr>
      </w:pPr>
    </w:p>
    <w:p>
      <w:pPr>
        <w:pStyle w:val="7"/>
        <w:ind w:firstLine="0"/>
        <w:jc w:val="both"/>
        <w:rPr>
          <w:rFonts w:hint="eastAsia" w:cs="黑体"/>
          <w:color w:val="auto"/>
        </w:rPr>
      </w:pPr>
      <w:bookmarkStart w:id="127" w:name="_Toc167402274"/>
      <w:bookmarkStart w:id="128" w:name="_Toc22204"/>
      <w:bookmarkStart w:id="129" w:name="_Toc15382"/>
      <w:r>
        <w:rPr>
          <w:rFonts w:hint="eastAsia" w:cs="黑体"/>
          <w:color w:val="auto"/>
        </w:rPr>
        <w:t>附件</w:t>
      </w:r>
      <w:bookmarkEnd w:id="127"/>
      <w:bookmarkEnd w:id="128"/>
      <w:bookmarkEnd w:id="129"/>
      <w:r>
        <w:rPr>
          <w:rFonts w:hint="eastAsia" w:cs="黑体"/>
          <w:color w:val="auto"/>
        </w:rPr>
        <w:t>1</w:t>
      </w:r>
    </w:p>
    <w:p>
      <w:pPr>
        <w:widowControl/>
        <w:ind w:left="164" w:firstLine="685"/>
        <w:jc w:val="center"/>
        <w:rPr>
          <w:rFonts w:ascii="宋体" w:hAnsi="宋体" w:cs="宋体"/>
          <w:b/>
          <w:color w:val="auto"/>
          <w:kern w:val="0"/>
          <w:sz w:val="24"/>
        </w:rPr>
      </w:pPr>
      <w:bookmarkStart w:id="130" w:name="_Hlk165667085"/>
      <w:bookmarkStart w:id="131" w:name="_Hlk165668060"/>
      <w:r>
        <w:rPr>
          <w:rFonts w:hint="eastAsia" w:ascii="FZXBSJW--GB1-0" w:hAnsi="FZXBSJW--GB1-0" w:cs="宋体"/>
          <w:b/>
          <w:color w:val="auto"/>
          <w:kern w:val="0"/>
          <w:sz w:val="36"/>
        </w:rPr>
        <w:t>国际性体育</w:t>
      </w:r>
      <w:r>
        <w:rPr>
          <w:rFonts w:ascii="FZXBSJW--GB1-0" w:hAnsi="FZXBSJW--GB1-0" w:cs="宋体"/>
          <w:b/>
          <w:color w:val="auto"/>
          <w:kern w:val="0"/>
          <w:sz w:val="36"/>
        </w:rPr>
        <w:t>赛事评</w:t>
      </w:r>
      <w:r>
        <w:rPr>
          <w:rFonts w:hint="eastAsia" w:ascii="FZXBSJW--GB1-0" w:hAnsi="FZXBSJW--GB1-0" w:cs="宋体"/>
          <w:b/>
          <w:color w:val="auto"/>
          <w:kern w:val="0"/>
          <w:sz w:val="36"/>
        </w:rPr>
        <w:t>分</w:t>
      </w:r>
      <w:r>
        <w:rPr>
          <w:rFonts w:ascii="FZXBSJW--GB1-0" w:hAnsi="FZXBSJW--GB1-0" w:cs="宋体"/>
          <w:b/>
          <w:color w:val="auto"/>
          <w:kern w:val="0"/>
          <w:sz w:val="36"/>
        </w:rPr>
        <w:t>办法</w:t>
      </w:r>
    </w:p>
    <w:bookmarkEnd w:id="130"/>
    <w:bookmarkEnd w:id="131"/>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bookmarkStart w:id="132" w:name="_Hlk167221485"/>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4"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国家数量</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在参赛国家不少于</w:t>
            </w:r>
            <w:r>
              <w:rPr>
                <w:rFonts w:ascii="仿宋_GB2312" w:hAnsi="宋体" w:eastAsia="仿宋_GB2312" w:cs="宋体"/>
                <w:bCs/>
                <w:color w:val="auto"/>
                <w:kern w:val="0"/>
                <w:sz w:val="22"/>
              </w:rPr>
              <w:t>4</w:t>
            </w:r>
            <w:r>
              <w:rPr>
                <w:rFonts w:hint="eastAsia" w:ascii="仿宋_GB2312" w:hAnsi="宋体" w:eastAsia="仿宋_GB2312" w:cs="宋体"/>
                <w:bCs/>
                <w:color w:val="auto"/>
                <w:kern w:val="0"/>
                <w:sz w:val="22"/>
              </w:rPr>
              <w:t>个的基础上：</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参赛国家2</w:t>
            </w:r>
            <w:r>
              <w:rPr>
                <w:rFonts w:ascii="仿宋_GB2312" w:hAnsi="宋体" w:eastAsia="仿宋_GB2312" w:cs="宋体"/>
                <w:bCs/>
                <w:color w:val="auto"/>
                <w:kern w:val="0"/>
                <w:sz w:val="22"/>
              </w:rPr>
              <w:t>0</w:t>
            </w:r>
            <w:r>
              <w:rPr>
                <w:rFonts w:hint="eastAsia" w:ascii="仿宋_GB2312" w:hAnsi="宋体" w:eastAsia="仿宋_GB2312" w:cs="宋体"/>
                <w:bCs/>
                <w:color w:val="auto"/>
                <w:kern w:val="0"/>
                <w:sz w:val="22"/>
              </w:rPr>
              <w:t>个以上得5分；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参赛国家1</w:t>
            </w:r>
            <w:r>
              <w:rPr>
                <w:rFonts w:ascii="仿宋_GB2312" w:hAnsi="宋体" w:eastAsia="仿宋_GB2312" w:cs="宋体"/>
                <w:bCs/>
                <w:color w:val="auto"/>
                <w:kern w:val="0"/>
                <w:sz w:val="22"/>
              </w:rPr>
              <w:t>5</w:t>
            </w:r>
            <w:r>
              <w:rPr>
                <w:rFonts w:hint="eastAsia" w:ascii="仿宋_GB2312" w:hAnsi="宋体" w:eastAsia="仿宋_GB2312" w:cs="宋体"/>
                <w:bCs/>
                <w:color w:val="auto"/>
                <w:kern w:val="0"/>
                <w:sz w:val="22"/>
              </w:rPr>
              <w:t>个以上得4分；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参赛国家1</w:t>
            </w:r>
            <w:r>
              <w:rPr>
                <w:rFonts w:ascii="仿宋_GB2312" w:hAnsi="宋体" w:eastAsia="仿宋_GB2312" w:cs="宋体"/>
                <w:bCs/>
                <w:color w:val="auto"/>
                <w:kern w:val="0"/>
                <w:sz w:val="22"/>
              </w:rPr>
              <w:t>0</w:t>
            </w:r>
            <w:r>
              <w:rPr>
                <w:rFonts w:hint="eastAsia" w:ascii="仿宋_GB2312" w:hAnsi="宋体" w:eastAsia="仿宋_GB2312" w:cs="宋体"/>
                <w:bCs/>
                <w:color w:val="auto"/>
                <w:kern w:val="0"/>
                <w:sz w:val="22"/>
              </w:rPr>
              <w:t>个以上得3分；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参赛国家7个以上得2分；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参赛国家5个以上得1分；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参赛国家不满5个不得分。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68"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国际性比例</w:t>
            </w:r>
          </w:p>
          <w:p>
            <w:pPr>
              <w:widowControl/>
              <w:spacing w:line="240" w:lineRule="exact"/>
              <w:ind w:firstLine="202" w:firstLineChars="100"/>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Ansi="宋体" w:eastAsia="仿宋_GB2312"/>
                <w:color w:val="auto"/>
                <w:sz w:val="22"/>
              </w:rPr>
            </w:pPr>
            <w:r>
              <w:rPr>
                <w:rFonts w:hint="eastAsia" w:hAnsi="宋体" w:eastAsia="仿宋_GB2312"/>
                <w:color w:val="auto"/>
                <w:sz w:val="22"/>
              </w:rPr>
              <w:t>海外人员占总参赛人员的比例：</w:t>
            </w:r>
          </w:p>
          <w:p>
            <w:pPr>
              <w:widowControl/>
              <w:spacing w:line="240" w:lineRule="exact"/>
              <w:rPr>
                <w:rFonts w:hint="eastAsia" w:ascii="仿宋_GB2312" w:hAnsi="宋体" w:eastAsia="仿宋_GB2312" w:cs="宋体"/>
                <w:bCs/>
                <w:color w:val="auto"/>
                <w:kern w:val="0"/>
                <w:sz w:val="22"/>
              </w:rPr>
            </w:pPr>
            <w:r>
              <w:rPr>
                <w:rFonts w:hint="eastAsia" w:hAnsi="宋体" w:eastAsia="仿宋_GB2312"/>
                <w:color w:val="auto"/>
                <w:sz w:val="22"/>
              </w:rPr>
              <w:t>占</w:t>
            </w:r>
            <w:r>
              <w:rPr>
                <w:rFonts w:hint="eastAsia" w:ascii="仿宋_GB2312" w:hAnsi="宋体" w:eastAsia="仿宋_GB2312" w:cs="宋体"/>
                <w:bCs/>
                <w:color w:val="auto"/>
                <w:kern w:val="0"/>
                <w:sz w:val="22"/>
              </w:rPr>
              <w:t>比80%以上的得5分；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占比60%以上的得4分；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占比40%以上的得3分；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占比20%以上的得2分；</w:t>
            </w:r>
          </w:p>
          <w:p>
            <w:pPr>
              <w:widowControl/>
              <w:spacing w:line="240" w:lineRule="exact"/>
              <w:rPr>
                <w:rFonts w:hAnsi="宋体" w:eastAsia="仿宋_GB2312"/>
                <w:color w:val="auto"/>
                <w:sz w:val="22"/>
              </w:rPr>
            </w:pPr>
            <w:r>
              <w:rPr>
                <w:rFonts w:hint="eastAsia" w:ascii="仿宋_GB2312" w:hAnsi="宋体" w:eastAsia="仿宋_GB2312" w:cs="宋体"/>
                <w:bCs/>
                <w:color w:val="auto"/>
                <w:kern w:val="0"/>
                <w:sz w:val="22"/>
              </w:rPr>
              <w:t>占比不满20%的</w:t>
            </w:r>
            <w:r>
              <w:rPr>
                <w:rFonts w:hint="eastAsia" w:hAnsi="宋体" w:eastAsia="仿宋_GB2312"/>
                <w:color w:val="auto"/>
                <w:sz w:val="22"/>
              </w:rPr>
              <w:t>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提供实际参赛选手名单及外国选手的身份证明材料。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bCs/>
                <w:color w:val="auto"/>
                <w:kern w:val="0"/>
                <w:sz w:val="22"/>
              </w:rPr>
            </w:pPr>
            <w:r>
              <w:rPr>
                <w:rFonts w:hint="eastAsia" w:hAnsi="宋体" w:eastAsia="仿宋_GB2312"/>
                <w:color w:val="auto"/>
                <w:sz w:val="22"/>
              </w:rPr>
              <w:t>国际体育组织或国际单项体育联合会主办的赛事得</w:t>
            </w:r>
            <w:r>
              <w:rPr>
                <w:rFonts w:hint="eastAsia" w:ascii="仿宋_GB2312" w:hAnsi="宋体" w:eastAsia="仿宋_GB2312" w:cs="宋体"/>
                <w:bCs/>
                <w:color w:val="auto"/>
                <w:kern w:val="0"/>
                <w:sz w:val="22"/>
              </w:rPr>
              <w:t>5分；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国家体育总局相关单位、全国性单项体育协会主办或与福建省体育局共同主办的赛事得4分；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国家体育总局相关单位、全国性单项体育协会与厦门市政府共同主办的赛事得3分；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国家体育总局相关单位、全国性单项体育协会与厦门市体育局、厦门市湖里区政府共同主办的赛事得2分；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bCs/>
                <w:color w:val="auto"/>
                <w:kern w:val="0"/>
                <w:sz w:val="22"/>
              </w:rPr>
              <w:t>地方自行主办的赛事得1</w:t>
            </w:r>
            <w:r>
              <w:rPr>
                <w:rFonts w:hint="eastAsia" w:ascii="仿宋_GB2312" w:hAnsi="宋体" w:eastAsia="仿宋_GB2312" w:cs="宋体"/>
                <w:color w:val="auto"/>
                <w:kern w:val="0"/>
                <w:sz w:val="22"/>
              </w:rPr>
              <w:t>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一、个人选手：</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国际前100名选手，每一人得3分；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国内前3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名选手，每一人得2分；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省内前6名选手，每一人得1分；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二、参赛队伍：</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国际前50名运动队，每一队得3分；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国内前30名运动队，每一队得2分；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中国国家队得3分；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中国省队，每一队得1分，累积最高3分。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提供运动员或运动队近赛事举办日前三年认证的相关排名数据。</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以个人选手或参赛队伍计分，近三年内获得多次奖项，以最好的一次成绩为准。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.仅记录一个人次或一个队伍的最高分，不重复计算，累计最高10分。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4.国际赛事包括：(1)由国际体育组织主办的国际综合性运动会、世界锦标赛、世界杯赛、亚洲锦标赛、亚洲杯赛;涉及奥运会、亚运会资格、积分的比赛；(2)由体育总局主办或参与主办的重要国际体育赛事；(3)由体育总局相关单位或所属运动项目协会主办的跨省(区、市)的国际体育赛事，以及举办涉及海域、空域及地面敏感区域等特殊领域的国际体育赛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特色项目</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符合程度高得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符合程度较高得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符合程度一般得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符合程度较小得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不符合不得分。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8"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央视体育频道直播（含现场直播）、转播、录播1次4分；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境外媒体直播（含现场直播）、转播、录播1次3分；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国际体育组织官网或门户网站直播、视频转播1次3分；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其他网络媒体直播、视频转播1家1分；</w:t>
            </w:r>
          </w:p>
          <w:p>
            <w:p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普通网站新闻1条0.5分。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71"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0.6以上得10分；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0.5以上得8分；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0.4以上得6分；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0.3以上得5分；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0.2以上得3分；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0.1以上得2分；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不满0.1不得分。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24</w:t>
            </w:r>
            <w:r>
              <w:rPr>
                <w:rFonts w:hint="eastAsia" w:ascii="仿宋_GB2312" w:hAnsi="宋体" w:eastAsia="仿宋_GB2312" w:cs="宋体"/>
                <w:color w:val="auto"/>
                <w:spacing w:val="-10"/>
                <w:kern w:val="0"/>
                <w:sz w:val="22"/>
              </w:rPr>
              <w:t>0万以上得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20</w:t>
            </w:r>
            <w:r>
              <w:rPr>
                <w:rFonts w:hint="eastAsia" w:ascii="仿宋_GB2312" w:hAnsi="宋体" w:eastAsia="仿宋_GB2312" w:cs="宋体"/>
                <w:color w:val="auto"/>
                <w:spacing w:val="-10"/>
                <w:kern w:val="0"/>
                <w:sz w:val="22"/>
              </w:rPr>
              <w:t>0万以上得4分；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160</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20</w:t>
            </w:r>
            <w:r>
              <w:rPr>
                <w:rFonts w:hint="eastAsia" w:ascii="仿宋_GB2312" w:hAnsi="宋体" w:eastAsia="仿宋_GB2312" w:cs="宋体"/>
                <w:color w:val="auto"/>
                <w:spacing w:val="-10"/>
                <w:kern w:val="0"/>
                <w:sz w:val="22"/>
              </w:rPr>
              <w:t>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spacing w:val="-10"/>
                <w:kern w:val="0"/>
                <w:sz w:val="22"/>
              </w:rPr>
              <w:t>不满</w:t>
            </w:r>
            <w:r>
              <w:rPr>
                <w:rFonts w:ascii="仿宋_GB2312" w:hAnsi="宋体" w:eastAsia="仿宋_GB2312" w:cs="宋体"/>
                <w:color w:val="auto"/>
                <w:spacing w:val="-10"/>
                <w:kern w:val="0"/>
                <w:sz w:val="22"/>
              </w:rPr>
              <w:t>100</w:t>
            </w:r>
            <w:r>
              <w:rPr>
                <w:rFonts w:hint="eastAsia" w:ascii="仿宋_GB2312" w:hAnsi="宋体" w:eastAsia="仿宋_GB2312" w:cs="宋体"/>
                <w:color w:val="auto"/>
                <w:spacing w:val="-10"/>
                <w:kern w:val="0"/>
                <w:sz w:val="22"/>
              </w:rPr>
              <w:t>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的不得分。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2.赛事应急预案（含天气、疾病、意外事故、不可抗力、突发事件等情形和“熔断机制”）；</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highlight w:val="yellow"/>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1"/>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届</w:t>
            </w:r>
            <w:r>
              <w:rPr>
                <w:rFonts w:hint="eastAsia" w:ascii="仿宋_GB2312" w:hAnsi="宋体" w:eastAsia="仿宋_GB2312" w:cs="宋体"/>
                <w:color w:val="auto"/>
                <w:kern w:val="0"/>
                <w:sz w:val="22"/>
              </w:rPr>
              <w:t>及以上</w:t>
            </w:r>
            <w:r>
              <w:rPr>
                <w:rFonts w:ascii="仿宋_GB2312" w:hAnsi="宋体" w:eastAsia="仿宋_GB2312" w:cs="宋体"/>
                <w:color w:val="auto"/>
                <w:kern w:val="0"/>
                <w:sz w:val="22"/>
              </w:rPr>
              <w:t>举办</w:t>
            </w:r>
            <w:r>
              <w:rPr>
                <w:rFonts w:hint="eastAsia" w:ascii="仿宋_GB2312" w:hAnsi="宋体" w:eastAsia="仿宋_GB2312" w:cs="宋体"/>
                <w:color w:val="auto"/>
                <w:kern w:val="0"/>
                <w:sz w:val="22"/>
              </w:rPr>
              <w:t>得5</w:t>
            </w:r>
            <w:r>
              <w:rPr>
                <w:rFonts w:ascii="仿宋_GB2312" w:hAnsi="宋体" w:eastAsia="仿宋_GB2312" w:cs="宋体"/>
                <w:color w:val="auto"/>
                <w:kern w:val="0"/>
                <w:sz w:val="22"/>
              </w:rPr>
              <w:t xml:space="preserve">分； </w:t>
            </w:r>
          </w:p>
          <w:p>
            <w:pPr>
              <w:numPr>
                <w:ilvl w:val="0"/>
                <w:numId w:val="1"/>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届举办得</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p>
          <w:p>
            <w:pPr>
              <w:numPr>
                <w:ilvl w:val="0"/>
                <w:numId w:val="1"/>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届举办得</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r>
              <w:rPr>
                <w:rFonts w:ascii="仿宋_GB2312" w:hAnsi="宋体" w:eastAsia="仿宋_GB2312" w:cs="宋体"/>
                <w:color w:val="auto"/>
                <w:kern w:val="0"/>
                <w:sz w:val="22"/>
              </w:rPr>
              <w:t xml:space="preserve"> </w:t>
            </w:r>
          </w:p>
          <w:p>
            <w:pPr>
              <w:numPr>
                <w:ilvl w:val="0"/>
                <w:numId w:val="1"/>
              </w:numPr>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首届举办得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p>
          <w:p>
            <w:pPr>
              <w:numPr>
                <w:ilvl w:val="0"/>
                <w:numId w:val="1"/>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附加项：</w:t>
            </w:r>
          </w:p>
          <w:p>
            <w:p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对于一次书面签约并确定在我区连续举办5届以上的赛事，首届举办可附加1分；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对于一次书面签约并确定在我区连续举办3届以上的，首届举办可附加0.5分</w:t>
            </w:r>
            <w:r>
              <w:rPr>
                <w:rFonts w:ascii="仿宋_GB2312" w:hAnsi="宋体" w:eastAsia="仿宋_GB2312" w:cs="宋体"/>
                <w:color w:val="auto"/>
                <w:kern w:val="0"/>
                <w:sz w:val="22"/>
              </w:rPr>
              <w:t>。</w:t>
            </w:r>
          </w:p>
        </w:tc>
        <w:tc>
          <w:tcPr>
            <w:tcW w:w="1920" w:type="dxa"/>
            <w:noWrap w:val="0"/>
            <w:vAlign w:val="center"/>
          </w:tcPr>
          <w:p>
            <w:pPr>
              <w:numPr>
                <w:ins w:id="0" w:author="德恒金伟佳律师助理" w:date="2024-06-01T20:09:00Z"/>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.历届赛事活动举办的证明材料</w:t>
            </w:r>
            <w:r>
              <w:rPr>
                <w:rFonts w:hint="eastAsia" w:ascii="仿宋_GB2312" w:hAnsi="宋体" w:eastAsia="仿宋_GB2312" w:cs="宋体"/>
                <w:color w:val="auto"/>
                <w:kern w:val="0"/>
                <w:sz w:val="22"/>
              </w:rPr>
              <w:t>或签约书；</w:t>
            </w:r>
          </w:p>
          <w:p>
            <w:pPr>
              <w:numPr>
                <w:ins w:id="1" w:author="德恒金伟佳律师助理" w:date="2024-06-01T20:21:00Z"/>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累计不超过5分。</w:t>
            </w:r>
          </w:p>
          <w:p>
            <w:pPr>
              <w:spacing w:line="240" w:lineRule="exact"/>
              <w:rPr>
                <w:rFonts w:hint="eastAsia" w:ascii="仿宋_GB2312" w:hAnsi="宋体" w:eastAsia="仿宋_GB2312" w:cs="宋体"/>
                <w:color w:val="auto"/>
                <w:kern w:val="0"/>
                <w:sz w:val="22"/>
              </w:rPr>
            </w:pPr>
          </w:p>
          <w:p>
            <w:pPr>
              <w:spacing w:line="240" w:lineRule="exact"/>
              <w:rPr>
                <w:rFonts w:hint="eastAsia" w:ascii="仿宋_GB2312" w:hAnsi="宋体" w:eastAsia="仿宋_GB2312" w:cs="宋体"/>
                <w:color w:val="auto"/>
                <w:kern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经济效益，包括直接、间接经济效益，税收收入，第三产业（服务业）；</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拉动经济效益，包括 吃、住、行、游、购、娱 六要素等；</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 xml:space="preserve">奖金设置总额，赞助商（数量、赞助商中世界500强企业和上市公司数量、赞助总金额）。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比赛过程中参赛人员有下列行为的，应视情况给予扣分，每违反一项扣1分。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7"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（累计加分不超过5分）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（4）协办方应当确保其提供的产品、设施或服务的质量和安全。场地空间、器材提供方或管理者应当尽到安全保障义务，遇有突发情况在力所能及的范围内协助承担应急救援等救助任务。</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（5）赛</w:t>
            </w:r>
            <w:r>
              <w:rPr>
                <w:rFonts w:ascii="仿宋_GB2312" w:hAnsi="宋体" w:eastAsia="仿宋_GB2312" w:cs="宋体"/>
                <w:color w:val="auto"/>
                <w:kern w:val="0"/>
                <w:sz w:val="22"/>
              </w:rPr>
              <w:t>事</w:t>
            </w:r>
            <w:r>
              <w:rPr>
                <w:rFonts w:hint="eastAsia" w:ascii="仿宋_GB2312" w:hAnsi="宋体" w:eastAsia="仿宋_GB2312" w:cs="宋体"/>
                <w:color w:val="auto"/>
                <w:kern w:val="0"/>
                <w:sz w:val="22"/>
              </w:rPr>
              <w:t>有创新举措或获评国际、国家、省、市级奖项。</w:t>
            </w:r>
          </w:p>
        </w:tc>
        <w:tc>
          <w:tcPr>
            <w:tcW w:w="1920" w:type="dxa"/>
            <w:noWrap w:val="0"/>
            <w:vAlign w:val="center"/>
          </w:tcPr>
          <w:p>
            <w:p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p>
            <w:pPr>
              <w:spacing w:line="240" w:lineRule="exact"/>
              <w:rPr>
                <w:rFonts w:ascii="仿宋_GB2312" w:hAnsi="宋体" w:eastAsia="仿宋_GB2312" w:cs="宋体"/>
                <w:color w:val="auto"/>
                <w:kern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补充说明：</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1.如出现严重违规则一票否决：</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2.参赛人员包括运动员、裁判员、教练员。</w:t>
            </w:r>
          </w:p>
        </w:tc>
      </w:tr>
      <w:bookmarkEnd w:id="132"/>
    </w:tbl>
    <w:p>
      <w:pPr>
        <w:spacing w:line="560" w:lineRule="exact"/>
        <w:ind w:firstLine="602"/>
        <w:rPr>
          <w:rFonts w:ascii="黑体" w:hAnsi="黑体" w:eastAsia="黑体" w:cs="黑体"/>
          <w:color w:val="auto"/>
          <w:sz w:val="32"/>
          <w:szCs w:val="32"/>
        </w:rPr>
        <w:sectPr>
          <w:pgSz w:w="11906" w:h="16838"/>
          <w:pgMar w:top="1928" w:right="1588" w:bottom="1928" w:left="1588" w:header="851" w:footer="624" w:gutter="0"/>
          <w:cols w:space="720" w:num="1"/>
          <w:docGrid w:type="linesAndChars" w:linePitch="312" w:charSpace="-3850"/>
        </w:sectPr>
      </w:pPr>
    </w:p>
    <w:p>
      <w:pPr>
        <w:pStyle w:val="8"/>
        <w:ind w:left="0" w:firstLine="0" w:firstLineChars="0"/>
        <w:rPr>
          <w:rFonts w:ascii="黑体" w:hAnsi="黑体" w:cs="黑体"/>
          <w:color w:val="auto"/>
        </w:rPr>
      </w:pPr>
      <w:bookmarkStart w:id="133" w:name="_Toc7360"/>
      <w:bookmarkStart w:id="134" w:name="_Toc167402276"/>
      <w:bookmarkStart w:id="135" w:name="_Toc14313"/>
      <w:bookmarkStart w:id="136" w:name="_Toc1505"/>
      <w:bookmarkStart w:id="137" w:name="_Hlk165668372"/>
      <w:r>
        <w:rPr>
          <w:rFonts w:ascii="黑体" w:hAnsi="黑体" w:cs="黑体"/>
          <w:color w:val="auto"/>
        </w:rPr>
        <w:t>附件2</w:t>
      </w:r>
      <w:bookmarkEnd w:id="133"/>
      <w:bookmarkEnd w:id="134"/>
      <w:bookmarkEnd w:id="135"/>
      <w:bookmarkEnd w:id="136"/>
    </w:p>
    <w:p>
      <w:pPr>
        <w:widowControl/>
        <w:ind w:firstLine="685"/>
        <w:jc w:val="center"/>
        <w:rPr>
          <w:rFonts w:ascii="宋体" w:hAnsi="宋体" w:cs="宋体"/>
          <w:b/>
          <w:color w:val="auto"/>
          <w:kern w:val="0"/>
          <w:sz w:val="24"/>
        </w:rPr>
      </w:pPr>
      <w:r>
        <w:rPr>
          <w:rFonts w:hint="eastAsia" w:ascii="FZXBSJW--GB1-0" w:hAnsi="FZXBSJW--GB1-0" w:cs="宋体"/>
          <w:b/>
          <w:color w:val="auto"/>
          <w:kern w:val="0"/>
          <w:sz w:val="36"/>
        </w:rPr>
        <w:t>全国性体育</w:t>
      </w:r>
      <w:r>
        <w:rPr>
          <w:rFonts w:ascii="FZXBSJW--GB1-0" w:hAnsi="FZXBSJW--GB1-0" w:cs="宋体"/>
          <w:b/>
          <w:color w:val="auto"/>
          <w:kern w:val="0"/>
          <w:sz w:val="36"/>
        </w:rPr>
        <w:t>赛事评</w:t>
      </w:r>
      <w:r>
        <w:rPr>
          <w:rFonts w:hint="eastAsia" w:ascii="FZXBSJW--GB1-0" w:hAnsi="FZXBSJW--GB1-0" w:cs="宋体"/>
          <w:b/>
          <w:color w:val="auto"/>
          <w:kern w:val="0"/>
          <w:sz w:val="36"/>
        </w:rPr>
        <w:t>分</w:t>
      </w:r>
      <w:r>
        <w:rPr>
          <w:rFonts w:ascii="FZXBSJW--GB1-0" w:hAnsi="FZXBSJW--GB1-0" w:cs="宋体"/>
          <w:b/>
          <w:color w:val="auto"/>
          <w:kern w:val="0"/>
          <w:sz w:val="36"/>
        </w:rPr>
        <w:t>办法</w:t>
      </w:r>
    </w:p>
    <w:bookmarkEnd w:id="137"/>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bookmarkStart w:id="138" w:name="_Hlk167398243"/>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参赛规模</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一、个人赛：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10</w:t>
            </w:r>
            <w:r>
              <w:rPr>
                <w:rFonts w:hint="eastAsia" w:ascii="仿宋_GB2312" w:hAnsi="宋体" w:eastAsia="仿宋_GB2312" w:cs="宋体"/>
                <w:color w:val="auto"/>
                <w:kern w:val="0"/>
                <w:sz w:val="22"/>
              </w:rPr>
              <w:t>名以上得10分；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00</w:t>
            </w:r>
            <w:r>
              <w:rPr>
                <w:rFonts w:hint="eastAsia" w:ascii="仿宋_GB2312" w:hAnsi="宋体" w:eastAsia="仿宋_GB2312" w:cs="宋体"/>
                <w:color w:val="auto"/>
                <w:kern w:val="0"/>
                <w:sz w:val="22"/>
              </w:rPr>
              <w:t>名以上得8分；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名以上得2分；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6</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二、团体赛：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支以上得10分；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支以上得8分；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支以上得6分；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支以上得4分；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9支以上得2分；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8支以下不得分。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三、多人赛</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1</w:t>
            </w:r>
            <w:r>
              <w:rPr>
                <w:rFonts w:ascii="仿宋_GB2312" w:hAnsi="宋体" w:eastAsia="仿宋_GB2312" w:cs="宋体"/>
                <w:b/>
                <w:color w:val="auto"/>
                <w:kern w:val="0"/>
                <w:sz w:val="22"/>
              </w:rPr>
              <w:t>.</w:t>
            </w:r>
            <w:r>
              <w:rPr>
                <w:rFonts w:hint="eastAsia" w:ascii="仿宋_GB2312" w:hAnsi="宋体" w:eastAsia="仿宋_GB2312" w:cs="宋体"/>
                <w:b/>
                <w:color w:val="auto"/>
                <w:kern w:val="0"/>
                <w:sz w:val="22"/>
              </w:rPr>
              <w:t>马拉松赛：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参赛人数9000人以上得9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参赛人数8000人以上得8分；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参赛人数7000人以上得7分；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参赛人数6000人以上得6分；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参赛人数5000人以上得5分；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参赛人数3000人以上得3分；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参赛人数2000人以上得2分；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参赛人数1000人以上得1分；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参赛人数1000人以下不得分。</w:t>
            </w:r>
          </w:p>
          <w:p>
            <w:pPr>
              <w:widowControl/>
              <w:jc w:val="left"/>
              <w:rPr>
                <w:rFonts w:ascii="仿宋_GB2312" w:hAnsi="TimesNewRomanPSMT" w:eastAsia="仿宋_GB2312" w:cs="宋体"/>
                <w:b/>
                <w:color w:val="auto"/>
                <w:spacing w:val="-20"/>
                <w:kern w:val="0"/>
                <w:sz w:val="22"/>
              </w:rPr>
            </w:pPr>
            <w:r>
              <w:rPr>
                <w:rFonts w:hint="eastAsia" w:ascii="仿宋_GB2312" w:hAnsi="TimesNewRomanPSMT" w:eastAsia="仿宋_GB2312" w:cs="宋体"/>
                <w:b/>
                <w:color w:val="auto"/>
                <w:spacing w:val="-20"/>
                <w:kern w:val="0"/>
                <w:sz w:val="22"/>
              </w:rPr>
              <w:t>2</w:t>
            </w:r>
            <w:r>
              <w:rPr>
                <w:rFonts w:ascii="仿宋_GB2312" w:hAnsi="TimesNewRomanPSMT" w:eastAsia="仿宋_GB2312" w:cs="宋体"/>
                <w:b/>
                <w:color w:val="auto"/>
                <w:spacing w:val="-20"/>
                <w:kern w:val="0"/>
                <w:sz w:val="22"/>
              </w:rPr>
              <w:t>.</w:t>
            </w:r>
            <w:r>
              <w:rPr>
                <w:rFonts w:hint="eastAsia" w:ascii="仿宋_GB2312" w:hAnsi="TimesNewRomanPSMT" w:eastAsia="仿宋_GB2312" w:cs="宋体"/>
                <w:b/>
                <w:color w:val="auto"/>
                <w:spacing w:val="-20"/>
                <w:kern w:val="0"/>
                <w:sz w:val="22"/>
              </w:rPr>
              <w:t>铁人三项、自行车、越野跑等比赛：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参赛人数200人以上得4分；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参赛人数100人以上得2分；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参赛人数100人以下不得分。</w:t>
            </w:r>
          </w:p>
          <w:p>
            <w:pPr>
              <w:widowControl/>
              <w:spacing w:line="240" w:lineRule="exact"/>
              <w:rPr>
                <w:rFonts w:ascii="仿宋_GB2312" w:hAnsi="宋体" w:eastAsia="仿宋_GB2312" w:cs="宋体"/>
                <w:color w:val="auto"/>
                <w:kern w:val="0"/>
                <w:sz w:val="22"/>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国家体育总局相关单位、全国性单项体育协会主办或与</w:t>
            </w:r>
            <w:r>
              <w:rPr>
                <w:rFonts w:hint="eastAsia" w:ascii="仿宋_GB2312" w:hAnsi="宋体" w:eastAsia="仿宋_GB2312" w:cs="宋体"/>
                <w:bCs/>
                <w:color w:val="auto"/>
                <w:kern w:val="0"/>
                <w:sz w:val="22"/>
              </w:rPr>
              <w:t>福建省体育局</w:t>
            </w:r>
            <w:r>
              <w:rPr>
                <w:rFonts w:hint="eastAsia" w:ascii="仿宋_GB2312" w:hAnsi="宋体" w:eastAsia="仿宋_GB2312" w:cs="宋体"/>
                <w:color w:val="auto"/>
                <w:kern w:val="0"/>
                <w:sz w:val="22"/>
              </w:rPr>
              <w:t xml:space="preserve">共同主办的赛事得5分； </w:t>
            </w:r>
          </w:p>
          <w:p>
            <w:pPr>
              <w:widowControl/>
              <w:spacing w:line="240" w:lineRule="exact"/>
              <w:jc w:val="lef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国家体育总局相关单位或全国性单项体育协会与</w:t>
            </w:r>
            <w:r>
              <w:rPr>
                <w:rFonts w:hint="eastAsia" w:ascii="仿宋_GB2312" w:hAnsi="宋体" w:eastAsia="仿宋_GB2312" w:cs="宋体"/>
                <w:bCs/>
                <w:color w:val="auto"/>
                <w:kern w:val="0"/>
                <w:sz w:val="22"/>
              </w:rPr>
              <w:t>厦门市政府共同主办</w:t>
            </w:r>
            <w:r>
              <w:rPr>
                <w:rFonts w:hint="eastAsia" w:ascii="仿宋_GB2312" w:hAnsi="宋体" w:eastAsia="仿宋_GB2312" w:cs="宋体"/>
                <w:color w:val="auto"/>
                <w:kern w:val="0"/>
                <w:sz w:val="22"/>
              </w:rPr>
              <w:t>的赛事得4分；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国家体育总局相关单位或全国性单项体育协会与厦门市体育局或厦门市湖里区政府</w:t>
            </w:r>
            <w:r>
              <w:rPr>
                <w:rFonts w:hint="eastAsia" w:ascii="仿宋_GB2312" w:hAnsi="宋体" w:eastAsia="仿宋_GB2312" w:cs="宋体"/>
                <w:bCs/>
                <w:color w:val="auto"/>
                <w:kern w:val="0"/>
                <w:sz w:val="22"/>
              </w:rPr>
              <w:t>共同主办</w:t>
            </w:r>
            <w:r>
              <w:rPr>
                <w:rFonts w:hint="eastAsia" w:ascii="仿宋_GB2312" w:hAnsi="宋体" w:eastAsia="仿宋_GB2312" w:cs="宋体"/>
                <w:color w:val="auto"/>
                <w:kern w:val="0"/>
                <w:sz w:val="22"/>
              </w:rPr>
              <w:t>的赛事得3分；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地方自行主办的赛事得2分。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个人选手：</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国内前1-10名的选手，每一人得4分；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国内前11-20名的选手，每一人得3分；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国内前21-30名的选手，每一人得2分；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省内前6名的选手，每一人得1分； </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 xml:space="preserve">二、参赛队伍： </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国内前1-10名的运动队，每一队得4分；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国内前11-</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0名的运动队，每一队得3分；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国内前21-30名的运动队，每一队得2分； </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中国省队，每一队得1分，最高分不超过5分。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1.提供运动员或运动队近赛事举办日前三年认证的相关排名数据。</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2.以个人选手或参赛队伍计分，近三年内获得多次奖项，以最好的一次成绩为准。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3.仅记录一个人次或一个队伍的最高分，不重复计算，累计最高10分。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特色项目</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符合程度高得5分；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符合程度较高得4分；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符合程度一般得3分；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符合程度较小得2分；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不符合不得分。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7"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央视体育频道直播（含现场直播）、转播、录播1次4分；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境外媒体直播（含现场直播）、转播、录播1次3分；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国际体育组织官网或门户网站直播、视频转播1次3分；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普通网站新闻1条0.5分。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hint="eastAsia"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以上得9分；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以上得4分；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6"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60</w:t>
            </w:r>
            <w:r>
              <w:rPr>
                <w:rFonts w:hint="eastAsia" w:ascii="仿宋_GB2312" w:hAnsi="宋体" w:eastAsia="仿宋_GB2312" w:cs="宋体"/>
                <w:color w:val="auto"/>
                <w:spacing w:val="-10"/>
                <w:kern w:val="0"/>
                <w:sz w:val="22"/>
              </w:rPr>
              <w:t>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40</w:t>
            </w:r>
            <w:r>
              <w:rPr>
                <w:rFonts w:hint="eastAsia" w:ascii="仿宋_GB2312" w:hAnsi="宋体" w:eastAsia="仿宋_GB2312" w:cs="宋体"/>
                <w:color w:val="auto"/>
                <w:spacing w:val="-10"/>
                <w:kern w:val="0"/>
                <w:sz w:val="22"/>
              </w:rPr>
              <w:t>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120</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2.赛事应急预案（含天气、疾病、意外事故、不可抗力、突发事件等情形和“熔断机制”）；</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highlight w:val="yellow"/>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3"/>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届</w:t>
            </w:r>
            <w:r>
              <w:rPr>
                <w:rFonts w:hint="eastAsia" w:ascii="仿宋_GB2312" w:hAnsi="宋体" w:eastAsia="仿宋_GB2312" w:cs="宋体"/>
                <w:color w:val="auto"/>
                <w:kern w:val="0"/>
                <w:sz w:val="22"/>
              </w:rPr>
              <w:t>及以上</w:t>
            </w:r>
            <w:r>
              <w:rPr>
                <w:rFonts w:ascii="仿宋_GB2312" w:hAnsi="宋体" w:eastAsia="仿宋_GB2312" w:cs="宋体"/>
                <w:color w:val="auto"/>
                <w:kern w:val="0"/>
                <w:sz w:val="22"/>
              </w:rPr>
              <w:t>举办</w:t>
            </w:r>
            <w:r>
              <w:rPr>
                <w:rFonts w:hint="eastAsia" w:ascii="仿宋_GB2312" w:hAnsi="宋体" w:eastAsia="仿宋_GB2312" w:cs="宋体"/>
                <w:color w:val="auto"/>
                <w:kern w:val="0"/>
                <w:sz w:val="22"/>
              </w:rPr>
              <w:t>得5</w:t>
            </w:r>
            <w:r>
              <w:rPr>
                <w:rFonts w:ascii="仿宋_GB2312" w:hAnsi="宋体" w:eastAsia="仿宋_GB2312" w:cs="宋体"/>
                <w:color w:val="auto"/>
                <w:kern w:val="0"/>
                <w:sz w:val="22"/>
              </w:rPr>
              <w:t xml:space="preserve">分； </w:t>
            </w:r>
          </w:p>
          <w:p>
            <w:pPr>
              <w:numPr>
                <w:ilvl w:val="0"/>
                <w:numId w:val="3"/>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届举办得</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p>
          <w:p>
            <w:pPr>
              <w:numPr>
                <w:ilvl w:val="0"/>
                <w:numId w:val="3"/>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届举办得</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r>
              <w:rPr>
                <w:rFonts w:ascii="仿宋_GB2312" w:hAnsi="宋体" w:eastAsia="仿宋_GB2312" w:cs="宋体"/>
                <w:color w:val="auto"/>
                <w:kern w:val="0"/>
                <w:sz w:val="22"/>
              </w:rPr>
              <w:t xml:space="preserve"> </w:t>
            </w:r>
          </w:p>
          <w:p>
            <w:pPr>
              <w:numPr>
                <w:ilvl w:val="0"/>
                <w:numId w:val="3"/>
              </w:numPr>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首届举办得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分</w:t>
            </w:r>
            <w:r>
              <w:rPr>
                <w:rFonts w:hint="eastAsia" w:ascii="仿宋_GB2312" w:hAnsi="宋体" w:eastAsia="仿宋_GB2312" w:cs="宋体"/>
                <w:color w:val="auto"/>
                <w:kern w:val="0"/>
                <w:sz w:val="22"/>
              </w:rPr>
              <w:t>;</w:t>
            </w:r>
          </w:p>
          <w:p>
            <w:pPr>
              <w:numPr>
                <w:ilvl w:val="0"/>
                <w:numId w:val="3"/>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附加项：</w:t>
            </w:r>
          </w:p>
          <w:p>
            <w:p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对于一次书面签约并确定在我区连续举办5届以上的赛事，首届举办可附加1分；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对于一次书面签约并确定在我区连续举办3届以上的，首届举办可附加0.5分</w:t>
            </w:r>
            <w:r>
              <w:rPr>
                <w:rFonts w:ascii="仿宋_GB2312" w:hAnsi="宋体" w:eastAsia="仿宋_GB2312" w:cs="宋体"/>
                <w:color w:val="auto"/>
                <w:kern w:val="0"/>
                <w:sz w:val="22"/>
              </w:rPr>
              <w:t>。</w:t>
            </w:r>
          </w:p>
        </w:tc>
        <w:tc>
          <w:tcPr>
            <w:tcW w:w="1920" w:type="dxa"/>
            <w:noWrap w:val="0"/>
            <w:vAlign w:val="center"/>
          </w:tcPr>
          <w:p>
            <w:pPr>
              <w:numPr>
                <w:ins w:id="2" w:author="德恒金伟佳律师助理" w:date="2024-06-01T20:51:00Z"/>
              </w:num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.历届赛事活动举办的证明材料</w:t>
            </w:r>
            <w:r>
              <w:rPr>
                <w:rFonts w:hint="eastAsia" w:ascii="仿宋_GB2312" w:hAnsi="宋体" w:eastAsia="仿宋_GB2312" w:cs="宋体"/>
                <w:color w:val="auto"/>
                <w:kern w:val="0"/>
                <w:sz w:val="22"/>
              </w:rPr>
              <w:t>或签约书；</w:t>
            </w:r>
          </w:p>
          <w:p>
            <w:pPr>
              <w:numPr>
                <w:ins w:id="3" w:author="德恒金伟佳律师助理" w:date="2024-06-01T20:51:00Z"/>
              </w:num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累计不超过5分。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经济效益，包括直接、间接经济效益，税收收入，第三产业（服务业）；</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拉动经济效益，包括 吃、住、行、游、购、娱 六要素等；</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奖金设置总额，赞助商（数量、赞助商中世界500强企业和上市公司数量、赞助总金额）。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比赛过程中参赛人员有下列行为的，应视情况给予扣分，每违反一条扣1分。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（累计加分不超过5分）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（4）协办方应当确保其提供的产品、设施或服务的质量和安全。场地空间、器材提供方或管理者应当尽到安全保障义务，遇有突发情况在力所能及的范围内协助承担应急救援等救助任务。</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（5）赛</w:t>
            </w:r>
            <w:r>
              <w:rPr>
                <w:rFonts w:ascii="仿宋_GB2312" w:hAnsi="宋体" w:eastAsia="仿宋_GB2312" w:cs="宋体"/>
                <w:color w:val="auto"/>
                <w:kern w:val="0"/>
                <w:sz w:val="22"/>
              </w:rPr>
              <w:t>事</w:t>
            </w:r>
            <w:r>
              <w:rPr>
                <w:rFonts w:hint="eastAsia" w:ascii="仿宋_GB2312" w:hAnsi="宋体" w:eastAsia="仿宋_GB2312" w:cs="宋体"/>
                <w:color w:val="auto"/>
                <w:kern w:val="0"/>
                <w:sz w:val="22"/>
              </w:rPr>
              <w:t>有创新举措或获评国际、国家、省、市级奖项。</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补充说明 </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w:t>
            </w:r>
            <w:r>
              <w:rPr>
                <w:rFonts w:ascii="仿宋_GB2312" w:hAnsi="宋体" w:eastAsia="仿宋_GB2312" w:cs="宋体"/>
                <w:color w:val="auto"/>
                <w:kern w:val="0"/>
                <w:sz w:val="22"/>
              </w:rPr>
              <w:t>如出现严重违规则</w:t>
            </w:r>
            <w:r>
              <w:rPr>
                <w:rFonts w:hint="eastAsia" w:ascii="仿宋_GB2312" w:hAnsi="宋体" w:eastAsia="仿宋_GB2312" w:cs="宋体"/>
                <w:color w:val="auto"/>
                <w:kern w:val="0"/>
                <w:sz w:val="22"/>
              </w:rPr>
              <w:t>一票否决：</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2.参赛人员包括运动员、裁判员、教练员。</w:t>
            </w:r>
          </w:p>
        </w:tc>
      </w:tr>
      <w:bookmarkEnd w:id="138"/>
    </w:tbl>
    <w:p>
      <w:pPr>
        <w:rPr>
          <w:color w:val="auto"/>
        </w:rPr>
      </w:pPr>
      <w:r>
        <w:rPr>
          <w:rFonts w:ascii="黑体" w:hAnsi="黑体" w:eastAsia="黑体" w:cs="宋体"/>
          <w:color w:val="auto"/>
          <w:kern w:val="0"/>
          <w:sz w:val="32"/>
        </w:rPr>
        <w:br w:type="page"/>
      </w:r>
      <w:bookmarkStart w:id="139" w:name="_Toc167402277"/>
      <w:bookmarkStart w:id="140" w:name="_Toc25615"/>
      <w:bookmarkStart w:id="141" w:name="_Toc18948"/>
      <w:bookmarkStart w:id="142" w:name="_Toc6772"/>
      <w:r>
        <w:rPr>
          <w:rFonts w:hint="eastAsia" w:ascii="黑体" w:hAnsi="黑体" w:eastAsia="黑体" w:cs="黑体"/>
          <w:color w:val="auto"/>
          <w:sz w:val="32"/>
          <w:szCs w:val="32"/>
        </w:rPr>
        <w:t>附件3</w:t>
      </w:r>
      <w:bookmarkEnd w:id="139"/>
    </w:p>
    <w:p>
      <w:pPr>
        <w:widowControl/>
        <w:jc w:val="center"/>
        <w:rPr>
          <w:rFonts w:ascii="宋体" w:hAnsi="宋体" w:cs="宋体"/>
          <w:b/>
          <w:color w:val="auto"/>
          <w:kern w:val="0"/>
          <w:sz w:val="24"/>
        </w:rPr>
      </w:pPr>
      <w:r>
        <w:rPr>
          <w:rFonts w:hint="eastAsia" w:ascii="FZXBSJW--GB1-0" w:hAnsi="FZXBSJW--GB1-0" w:cs="宋体"/>
          <w:b/>
          <w:color w:val="auto"/>
          <w:kern w:val="0"/>
          <w:sz w:val="36"/>
        </w:rPr>
        <w:t>“一带一路”及“金砖国家”体育赛事评分办法</w:t>
      </w:r>
    </w:p>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国家数量</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在参赛国家不少于</w:t>
            </w:r>
            <w:r>
              <w:rPr>
                <w:rFonts w:ascii="仿宋_GB2312" w:hAnsi="宋体" w:eastAsia="仿宋_GB2312" w:cs="宋体"/>
                <w:bCs/>
                <w:color w:val="auto"/>
                <w:kern w:val="0"/>
                <w:sz w:val="22"/>
              </w:rPr>
              <w:t>3</w:t>
            </w:r>
            <w:r>
              <w:rPr>
                <w:rFonts w:hint="eastAsia" w:ascii="仿宋_GB2312" w:hAnsi="宋体" w:eastAsia="仿宋_GB2312" w:cs="宋体"/>
                <w:bCs/>
                <w:color w:val="auto"/>
                <w:kern w:val="0"/>
                <w:sz w:val="22"/>
              </w:rPr>
              <w:t>个的基础上：</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参赛国家8个以上得5分；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参赛国家7个以上得4分；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参赛国家6个以上得3分；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参赛国家5个以上得2分；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参赛国家4个以上得1分；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参赛国家不满</w:t>
            </w:r>
            <w:r>
              <w:rPr>
                <w:rFonts w:ascii="仿宋_GB2312" w:hAnsi="宋体" w:eastAsia="仿宋_GB2312" w:cs="宋体"/>
                <w:bCs/>
                <w:color w:val="auto"/>
                <w:kern w:val="0"/>
                <w:sz w:val="22"/>
              </w:rPr>
              <w:t>3</w:t>
            </w:r>
            <w:r>
              <w:rPr>
                <w:rFonts w:hint="eastAsia" w:ascii="仿宋_GB2312" w:hAnsi="宋体" w:eastAsia="仿宋_GB2312" w:cs="宋体"/>
                <w:bCs/>
                <w:color w:val="auto"/>
                <w:kern w:val="0"/>
                <w:sz w:val="22"/>
              </w:rPr>
              <w:t>个不得分。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8"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国际性比例</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Ansi="宋体" w:eastAsia="仿宋_GB2312"/>
                <w:color w:val="auto"/>
                <w:sz w:val="22"/>
              </w:rPr>
            </w:pPr>
            <w:r>
              <w:rPr>
                <w:rFonts w:hint="eastAsia" w:hAnsi="宋体" w:eastAsia="仿宋_GB2312"/>
                <w:color w:val="auto"/>
                <w:sz w:val="22"/>
              </w:rPr>
              <w:t>海外人员占总参赛人员的比例：</w:t>
            </w:r>
          </w:p>
          <w:p>
            <w:pPr>
              <w:widowControl/>
              <w:spacing w:line="240" w:lineRule="exact"/>
              <w:rPr>
                <w:rFonts w:hint="eastAsia" w:ascii="仿宋_GB2312" w:hAnsi="宋体" w:eastAsia="仿宋_GB2312" w:cs="宋体"/>
                <w:bCs/>
                <w:color w:val="auto"/>
                <w:kern w:val="0"/>
                <w:sz w:val="22"/>
              </w:rPr>
            </w:pPr>
            <w:r>
              <w:rPr>
                <w:rFonts w:hint="eastAsia" w:hAnsi="宋体" w:eastAsia="仿宋_GB2312"/>
                <w:color w:val="auto"/>
                <w:sz w:val="22"/>
              </w:rPr>
              <w:t>占比</w:t>
            </w:r>
            <w:r>
              <w:rPr>
                <w:rFonts w:hint="eastAsia" w:ascii="仿宋_GB2312" w:hAnsi="宋体" w:eastAsia="仿宋_GB2312" w:cs="宋体"/>
                <w:bCs/>
                <w:color w:val="auto"/>
                <w:kern w:val="0"/>
                <w:sz w:val="22"/>
              </w:rPr>
              <w:t>80%以上的得5分；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占比60%以上的得4分；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占比40%以上的得3分；</w:t>
            </w:r>
          </w:p>
          <w:p>
            <w:pPr>
              <w:widowControl/>
              <w:spacing w:line="240" w:lineRule="exact"/>
              <w:rPr>
                <w:rFonts w:hint="eastAsia" w:ascii="仿宋_GB2312" w:hAnsi="宋体" w:eastAsia="仿宋_GB2312" w:cs="宋体"/>
                <w:bCs/>
                <w:color w:val="auto"/>
                <w:kern w:val="0"/>
                <w:sz w:val="22"/>
              </w:rPr>
            </w:pPr>
            <w:r>
              <w:rPr>
                <w:rFonts w:hint="eastAsia" w:ascii="仿宋_GB2312" w:hAnsi="宋体" w:eastAsia="仿宋_GB2312" w:cs="宋体"/>
                <w:bCs/>
                <w:color w:val="auto"/>
                <w:kern w:val="0"/>
                <w:sz w:val="22"/>
              </w:rPr>
              <w:t>占比20%以上的得2分；</w:t>
            </w:r>
          </w:p>
          <w:p>
            <w:pPr>
              <w:widowControl/>
              <w:spacing w:line="240" w:lineRule="exact"/>
              <w:rPr>
                <w:rFonts w:hAnsi="宋体" w:eastAsia="仿宋_GB2312"/>
                <w:color w:val="auto"/>
                <w:sz w:val="22"/>
              </w:rPr>
            </w:pPr>
            <w:r>
              <w:rPr>
                <w:rFonts w:hint="eastAsia" w:ascii="仿宋_GB2312" w:hAnsi="宋体" w:eastAsia="仿宋_GB2312" w:cs="宋体"/>
                <w:bCs/>
                <w:color w:val="auto"/>
                <w:kern w:val="0"/>
                <w:sz w:val="22"/>
              </w:rPr>
              <w:t>占比不满20%的不得分。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提供实际参赛选手名单及外国选手的身份证明材料。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Cs/>
                <w:color w:val="auto"/>
                <w:kern w:val="0"/>
                <w:sz w:val="22"/>
              </w:rPr>
            </w:pPr>
            <w:r>
              <w:rPr>
                <w:rFonts w:hAnsi="宋体" w:eastAsia="仿宋_GB2312"/>
                <w:color w:val="auto"/>
                <w:sz w:val="22"/>
              </w:rPr>
              <w:t>国际体育组织或国际单项体育联合会主办的赛事得</w:t>
            </w:r>
            <w:r>
              <w:rPr>
                <w:rFonts w:ascii="仿宋_GB2312" w:hAnsi="宋体" w:eastAsia="仿宋_GB2312" w:cs="宋体"/>
                <w:bCs/>
                <w:color w:val="auto"/>
                <w:kern w:val="0"/>
                <w:sz w:val="22"/>
              </w:rPr>
              <w:t>5分；</w:t>
            </w:r>
          </w:p>
          <w:p>
            <w:pPr>
              <w:widowControl/>
              <w:spacing w:line="240" w:lineRule="exact"/>
              <w:rPr>
                <w:rFonts w:ascii="仿宋_GB2312" w:hAnsi="宋体" w:eastAsia="仿宋_GB2312" w:cs="宋体"/>
                <w:bCs/>
                <w:color w:val="auto"/>
                <w:kern w:val="0"/>
                <w:sz w:val="22"/>
              </w:rPr>
            </w:pPr>
            <w:r>
              <w:rPr>
                <w:rFonts w:ascii="仿宋_GB2312" w:hAnsi="宋体" w:eastAsia="仿宋_GB2312" w:cs="宋体"/>
                <w:bCs/>
                <w:color w:val="auto"/>
                <w:kern w:val="0"/>
                <w:sz w:val="22"/>
              </w:rPr>
              <w:t>国家体育总局相关单位、全国性单项体育协会主办或与福建省体育局共同主办的赛事得4分；</w:t>
            </w:r>
          </w:p>
          <w:p>
            <w:pPr>
              <w:widowControl/>
              <w:spacing w:line="240" w:lineRule="exact"/>
              <w:rPr>
                <w:rFonts w:ascii="仿宋_GB2312" w:hAnsi="宋体" w:eastAsia="仿宋_GB2312" w:cs="宋体"/>
                <w:bCs/>
                <w:color w:val="auto"/>
                <w:kern w:val="0"/>
                <w:sz w:val="22"/>
              </w:rPr>
            </w:pPr>
            <w:r>
              <w:rPr>
                <w:rFonts w:ascii="仿宋_GB2312" w:hAnsi="宋体" w:eastAsia="仿宋_GB2312" w:cs="宋体"/>
                <w:bCs/>
                <w:color w:val="auto"/>
                <w:kern w:val="0"/>
                <w:sz w:val="22"/>
              </w:rPr>
              <w:t>国家体育总局相关单位、全国性单项体育协会与厦门市政府共同主办的赛事得3分；</w:t>
            </w:r>
          </w:p>
          <w:p>
            <w:pPr>
              <w:widowControl/>
              <w:spacing w:line="240" w:lineRule="exact"/>
              <w:rPr>
                <w:rFonts w:ascii="仿宋_GB2312" w:hAnsi="宋体" w:eastAsia="仿宋_GB2312" w:cs="宋体"/>
                <w:bCs/>
                <w:color w:val="auto"/>
                <w:kern w:val="0"/>
                <w:sz w:val="22"/>
              </w:rPr>
            </w:pPr>
            <w:r>
              <w:rPr>
                <w:rFonts w:ascii="仿宋_GB2312" w:hAnsi="宋体" w:eastAsia="仿宋_GB2312" w:cs="宋体"/>
                <w:bCs/>
                <w:color w:val="auto"/>
                <w:kern w:val="0"/>
                <w:sz w:val="22"/>
              </w:rPr>
              <w:t>国家体育总局相关单位、全国性单项体育协会与厦门市体育局、厦门市湖里区政府共同主办的赛事得2分；</w:t>
            </w:r>
          </w:p>
          <w:p>
            <w:pPr>
              <w:widowControl/>
              <w:spacing w:line="240" w:lineRule="exact"/>
              <w:rPr>
                <w:rFonts w:ascii="仿宋_GB2312" w:hAnsi="宋体" w:eastAsia="仿宋_GB2312" w:cs="宋体"/>
                <w:color w:val="auto"/>
                <w:kern w:val="0"/>
                <w:sz w:val="22"/>
              </w:rPr>
            </w:pPr>
            <w:r>
              <w:rPr>
                <w:rFonts w:ascii="仿宋_GB2312" w:hAnsi="宋体" w:eastAsia="仿宋_GB2312" w:cs="宋体"/>
                <w:bCs/>
                <w:color w:val="auto"/>
                <w:kern w:val="0"/>
                <w:sz w:val="22"/>
              </w:rPr>
              <w:t>地方自行主办的赛事得1</w:t>
            </w:r>
            <w:r>
              <w:rPr>
                <w:rFonts w:ascii="仿宋_GB2312" w:hAnsi="宋体" w:eastAsia="仿宋_GB2312" w:cs="宋体"/>
                <w:color w:val="auto"/>
                <w:kern w:val="0"/>
                <w:sz w:val="22"/>
              </w:rPr>
              <w:t>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ind w:firstLine="202" w:firstLineChars="100"/>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w:t>
            </w:r>
          </w:p>
          <w:p>
            <w:pPr>
              <w:widowControl/>
              <w:spacing w:line="240" w:lineRule="exact"/>
              <w:ind w:firstLine="202" w:firstLineChars="100"/>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一、个人选手：</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国际前100名选手，每一人得3分；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国内前</w:t>
            </w:r>
            <w:r>
              <w:rPr>
                <w:rFonts w:ascii="仿宋_GB2312" w:hAnsi="宋体" w:eastAsia="仿宋_GB2312" w:cs="宋体"/>
                <w:bCs/>
                <w:color w:val="auto"/>
                <w:kern w:val="0"/>
                <w:sz w:val="22"/>
              </w:rPr>
              <w:t>30</w:t>
            </w:r>
            <w:r>
              <w:rPr>
                <w:rFonts w:hint="eastAsia" w:ascii="仿宋_GB2312" w:hAnsi="宋体" w:eastAsia="仿宋_GB2312" w:cs="宋体"/>
                <w:bCs/>
                <w:color w:val="auto"/>
                <w:kern w:val="0"/>
                <w:sz w:val="22"/>
              </w:rPr>
              <w:t>名选手，每一人得2分；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省内前6名选手，每一人得1分；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二、参赛队伍：</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国际前50名运动队，每一队得3分；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国内前30名运动队，每一队得2分；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中国国家队得3分；</w:t>
            </w:r>
          </w:p>
          <w:p>
            <w:pPr>
              <w:widowControl/>
              <w:spacing w:line="240" w:lineRule="exact"/>
              <w:rPr>
                <w:rFonts w:ascii="仿宋" w:hAnsi="仿宋" w:eastAsia="仿宋" w:cs="宋体"/>
                <w:color w:val="auto"/>
                <w:kern w:val="0"/>
                <w:sz w:val="22"/>
              </w:rPr>
            </w:pPr>
            <w:r>
              <w:rPr>
                <w:rFonts w:hint="eastAsia" w:ascii="仿宋_GB2312" w:hAnsi="宋体" w:eastAsia="仿宋_GB2312" w:cs="宋体"/>
                <w:bCs/>
                <w:color w:val="auto"/>
                <w:kern w:val="0"/>
                <w:sz w:val="22"/>
              </w:rPr>
              <w:t>中国省队，每一队得1分，累积最高3分。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1.提供运动员或运动队近赛事举办日前三年认证的相关排名数据。</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2.以个人选手或参赛队伍计分，近三年内获得多次奖项，以最好的一次成绩为准。</w:t>
            </w:r>
          </w:p>
          <w:p>
            <w:pPr>
              <w:widowControl/>
              <w:spacing w:line="240" w:lineRule="exact"/>
              <w:rPr>
                <w:rFonts w:ascii="仿宋" w:hAnsi="仿宋" w:eastAsia="仿宋" w:cs="宋体"/>
                <w:color w:val="auto"/>
                <w:kern w:val="0"/>
                <w:sz w:val="22"/>
              </w:rPr>
            </w:pPr>
            <w:r>
              <w:rPr>
                <w:rFonts w:hint="eastAsia" w:ascii="仿宋_GB2312" w:hAnsi="宋体" w:eastAsia="仿宋_GB2312" w:cs="宋体"/>
                <w:bCs/>
                <w:color w:val="auto"/>
                <w:kern w:val="0"/>
                <w:sz w:val="22"/>
              </w:rPr>
              <w:t>3.仅记录一个人次或一个队伍的最高分，不重复计算，累计最高10分。</w:t>
            </w:r>
          </w:p>
          <w:p>
            <w:pPr>
              <w:widowControl/>
              <w:jc w:val="left"/>
              <w:rPr>
                <w:rFonts w:hint="eastAsia" w:ascii="仿宋" w:hAnsi="仿宋" w:eastAsia="仿宋"/>
                <w:color w:val="auto"/>
                <w:kern w:val="0"/>
                <w:sz w:val="20"/>
              </w:rPr>
            </w:pPr>
            <w:r>
              <w:rPr>
                <w:rFonts w:hint="eastAsia" w:ascii="仿宋" w:hAnsi="仿宋" w:eastAsia="仿宋" w:cs="宋体"/>
                <w:color w:val="auto"/>
                <w:sz w:val="22"/>
              </w:rPr>
              <w:t>4</w:t>
            </w:r>
            <w:r>
              <w:rPr>
                <w:rFonts w:ascii="仿宋" w:hAnsi="仿宋" w:eastAsia="仿宋" w:cs="宋体"/>
                <w:color w:val="auto"/>
                <w:sz w:val="22"/>
              </w:rPr>
              <w:t>.</w:t>
            </w:r>
            <w:r>
              <w:rPr>
                <w:rFonts w:hint="eastAsia" w:ascii="仿宋" w:hAnsi="仿宋" w:eastAsia="仿宋" w:cs="宋体"/>
                <w:color w:val="auto"/>
                <w:sz w:val="22"/>
              </w:rPr>
              <w:t>国际赛事包括：(1)由国际体育组织主办的国际综合性运动会、世界锦标赛、世界杯赛、亚洲锦标赛、亚洲杯赛;涉及奥运会、亚运会资格、积分的比赛；(2)由体育总局主办或参与主办的重要国际体育赛事；(3)由体育总局相关单位或所属运动项目协会主办的跨省(区、市)的国际体育赛事，以及举办涉及海域、空域及地面敏感区域等特殊领域的国际体育赛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特色项目</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符合程度高得</w:t>
            </w:r>
            <w:r>
              <w:rPr>
                <w:rFonts w:ascii="仿宋_GB2312" w:hAnsi="宋体" w:eastAsia="仿宋_GB2312" w:cs="宋体"/>
                <w:bCs/>
                <w:color w:val="auto"/>
                <w:kern w:val="0"/>
                <w:sz w:val="22"/>
              </w:rPr>
              <w:t>5</w:t>
            </w:r>
            <w:r>
              <w:rPr>
                <w:rFonts w:hint="eastAsia" w:ascii="仿宋_GB2312" w:hAnsi="宋体" w:eastAsia="仿宋_GB2312" w:cs="宋体"/>
                <w:bCs/>
                <w:color w:val="auto"/>
                <w:kern w:val="0"/>
                <w:sz w:val="22"/>
              </w:rPr>
              <w:t>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符合程度较高得</w:t>
            </w:r>
            <w:r>
              <w:rPr>
                <w:rFonts w:ascii="仿宋_GB2312" w:hAnsi="宋体" w:eastAsia="仿宋_GB2312" w:cs="宋体"/>
                <w:bCs/>
                <w:color w:val="auto"/>
                <w:kern w:val="0"/>
                <w:sz w:val="22"/>
              </w:rPr>
              <w:t>4</w:t>
            </w:r>
            <w:r>
              <w:rPr>
                <w:rFonts w:hint="eastAsia" w:ascii="仿宋_GB2312" w:hAnsi="宋体" w:eastAsia="仿宋_GB2312" w:cs="宋体"/>
                <w:bCs/>
                <w:color w:val="auto"/>
                <w:kern w:val="0"/>
                <w:sz w:val="22"/>
              </w:rPr>
              <w:t>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符合程度一般得</w:t>
            </w:r>
            <w:r>
              <w:rPr>
                <w:rFonts w:ascii="仿宋_GB2312" w:hAnsi="宋体" w:eastAsia="仿宋_GB2312" w:cs="宋体"/>
                <w:bCs/>
                <w:color w:val="auto"/>
                <w:kern w:val="0"/>
                <w:sz w:val="22"/>
              </w:rPr>
              <w:t>3</w:t>
            </w:r>
            <w:r>
              <w:rPr>
                <w:rFonts w:hint="eastAsia" w:ascii="仿宋_GB2312" w:hAnsi="宋体" w:eastAsia="仿宋_GB2312" w:cs="宋体"/>
                <w:bCs/>
                <w:color w:val="auto"/>
                <w:kern w:val="0"/>
                <w:sz w:val="22"/>
              </w:rPr>
              <w:t>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符合程度较小得</w:t>
            </w:r>
            <w:r>
              <w:rPr>
                <w:rFonts w:ascii="仿宋_GB2312" w:hAnsi="宋体" w:eastAsia="仿宋_GB2312" w:cs="宋体"/>
                <w:bCs/>
                <w:color w:val="auto"/>
                <w:kern w:val="0"/>
                <w:sz w:val="22"/>
              </w:rPr>
              <w:t>2</w:t>
            </w:r>
            <w:r>
              <w:rPr>
                <w:rFonts w:hint="eastAsia" w:ascii="仿宋_GB2312" w:hAnsi="宋体" w:eastAsia="仿宋_GB2312" w:cs="宋体"/>
                <w:bCs/>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bCs/>
                <w:color w:val="auto"/>
                <w:kern w:val="0"/>
                <w:sz w:val="22"/>
              </w:rPr>
              <w:t>不符合不得分。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hint="eastAsia"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央视体育频道直播（含现场直播）、转播、录播1次4分；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境外媒体直播（含现场直播）、转播、录播1次3分；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国际体育组织官网或门户网站直播、视频转播1次3分；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普通网站新闻1条0.5分。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w:t>
            </w:r>
            <w:r>
              <w:rPr>
                <w:rFonts w:ascii="仿宋_GB2312" w:hAnsi="Times New Roman" w:eastAsia="仿宋_GB2312"/>
                <w:color w:val="auto"/>
                <w:kern w:val="0"/>
                <w:sz w:val="22"/>
              </w:rPr>
              <w:t>15</w:t>
            </w:r>
            <w:r>
              <w:rPr>
                <w:rFonts w:hint="eastAsia" w:ascii="仿宋_GB2312" w:hAnsi="Times New Roman" w:eastAsia="仿宋_GB2312"/>
                <w:color w:val="auto"/>
                <w:kern w:val="0"/>
                <w:sz w:val="22"/>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以上得5分；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以上得3分；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60</w:t>
            </w:r>
            <w:r>
              <w:rPr>
                <w:rFonts w:hint="eastAsia" w:ascii="仿宋_GB2312" w:hAnsi="宋体" w:eastAsia="仿宋_GB2312" w:cs="宋体"/>
                <w:color w:val="auto"/>
                <w:spacing w:val="-10"/>
                <w:kern w:val="0"/>
                <w:sz w:val="22"/>
              </w:rPr>
              <w:t>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40</w:t>
            </w:r>
            <w:r>
              <w:rPr>
                <w:rFonts w:hint="eastAsia" w:ascii="仿宋_GB2312" w:hAnsi="宋体" w:eastAsia="仿宋_GB2312" w:cs="宋体"/>
                <w:color w:val="auto"/>
                <w:spacing w:val="-10"/>
                <w:kern w:val="0"/>
                <w:sz w:val="22"/>
              </w:rPr>
              <w:t>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120</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的不得分。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w:t>
            </w:r>
            <w:r>
              <w:rPr>
                <w:rFonts w:ascii="仿宋_GB2312" w:hAnsi="宋体" w:eastAsia="仿宋_GB2312" w:cs="宋体"/>
                <w:color w:val="auto"/>
                <w:kern w:val="0"/>
                <w:sz w:val="22"/>
              </w:rPr>
              <w:t>（含天气、疾病、意外事故、不可抗力、突发事件等情形和“熔断机制”）</w:t>
            </w:r>
            <w:r>
              <w:rPr>
                <w:rFonts w:hint="eastAsia" w:ascii="仿宋_GB2312" w:hAnsi="宋体" w:eastAsia="仿宋_GB2312" w:cs="宋体"/>
                <w:color w:val="auto"/>
                <w:kern w:val="0"/>
                <w:sz w:val="22"/>
              </w:rPr>
              <w:t>；</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4"/>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第4届及以上举办得5分； </w:t>
            </w:r>
          </w:p>
          <w:p>
            <w:pPr>
              <w:numPr>
                <w:ilvl w:val="0"/>
                <w:numId w:val="4"/>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第3届举办得4分；</w:t>
            </w:r>
          </w:p>
          <w:p>
            <w:pPr>
              <w:numPr>
                <w:ilvl w:val="0"/>
                <w:numId w:val="4"/>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第2届举办得3分； </w:t>
            </w:r>
          </w:p>
          <w:p>
            <w:pPr>
              <w:numPr>
                <w:ilvl w:val="0"/>
                <w:numId w:val="4"/>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首届举办得2分;</w:t>
            </w:r>
          </w:p>
          <w:p>
            <w:pPr>
              <w:numPr>
                <w:ilvl w:val="0"/>
                <w:numId w:val="4"/>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附加项：</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对于一次书面签约并确定在我区连续举办5届以上的赛事，首届举办可附加1分；</w:t>
            </w:r>
          </w:p>
          <w:p>
            <w:pPr>
              <w:spacing w:line="240" w:lineRule="exact"/>
              <w:rPr>
                <w:rFonts w:ascii="宋体" w:hAnsi="宋体" w:cs="宋体"/>
                <w:color w:val="auto"/>
                <w:sz w:val="22"/>
              </w:rPr>
            </w:pPr>
            <w:r>
              <w:rPr>
                <w:rFonts w:ascii="仿宋_GB2312" w:hAnsi="宋体" w:eastAsia="仿宋_GB2312" w:cs="宋体"/>
                <w:color w:val="auto"/>
                <w:kern w:val="0"/>
                <w:sz w:val="22"/>
              </w:rPr>
              <w:t>对于一次书面签约并确定在我区连续举办3届以上的，首届举办可附加0.5分。</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.历届赛事活动举办的证明材料或签约书；</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2.累计不超过5分。</w:t>
            </w:r>
          </w:p>
          <w:p>
            <w:pPr>
              <w:spacing w:line="240" w:lineRule="exact"/>
              <w:rPr>
                <w:rFonts w:ascii="宋体" w:hAnsi="宋体" w:cs="宋体"/>
                <w:color w:val="auto"/>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经济效益，包括直接、间接经济效益，税收收入，第三产业（服务业）；</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拉动经济效益，包括 吃、住、行、游、购、娱 六要素等；</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 xml:space="preserve">奖金设置总额，赞助商（数量、赞助商中世界500强企业和上市公司数量、赞助总金额）。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6"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比赛过程中参赛人员有下列行为的，应视情况给予扣分，每违反一项扣1分。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w:t>
            </w:r>
            <w:r>
              <w:rPr>
                <w:rFonts w:hint="eastAsia" w:ascii="仿宋_GB2312" w:hAnsi="宋体" w:eastAsia="仿宋_GB2312" w:cs="宋体"/>
                <w:color w:val="auto"/>
                <w:kern w:val="0"/>
                <w:sz w:val="22"/>
              </w:rPr>
              <w:t>加</w:t>
            </w:r>
            <w:r>
              <w:rPr>
                <w:rFonts w:ascii="仿宋_GB2312" w:hAnsi="宋体" w:eastAsia="仿宋_GB2312" w:cs="宋体"/>
                <w:color w:val="auto"/>
                <w:kern w:val="0"/>
                <w:sz w:val="22"/>
              </w:rPr>
              <w:t>分不超过5分）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（4）协办方应当确保其提供的产品、设施或服务的质量和安全。场地空间、器材提供方或管理者应当尽到安全保障义务，遇有突发情况在力所能及的范围内协助承担应急救援等救助任务。</w:t>
            </w:r>
          </w:p>
          <w:p>
            <w:pPr>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（5）</w:t>
            </w:r>
            <w:r>
              <w:rPr>
                <w:rFonts w:ascii="仿宋_GB2312" w:hAnsi="宋体" w:eastAsia="仿宋_GB2312" w:cs="宋体"/>
                <w:color w:val="auto"/>
                <w:kern w:val="0"/>
                <w:sz w:val="22"/>
              </w:rPr>
              <w:t>赛事有创新举措或获评国际、国家、省、市级奖项。</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补充说明 </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如出现严重违规则一票否决：</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参赛人员包括运动员、裁判员、教练员。</w:t>
            </w:r>
          </w:p>
        </w:tc>
      </w:tr>
    </w:tbl>
    <w:p>
      <w:pPr>
        <w:pStyle w:val="8"/>
        <w:ind w:left="0" w:firstLine="0" w:firstLineChars="0"/>
        <w:rPr>
          <w:color w:val="auto"/>
        </w:rPr>
      </w:pPr>
    </w:p>
    <w:p>
      <w:pPr>
        <w:pStyle w:val="8"/>
        <w:ind w:left="0" w:firstLine="0" w:firstLineChars="0"/>
        <w:rPr>
          <w:color w:val="auto"/>
        </w:rPr>
      </w:pPr>
    </w:p>
    <w:p>
      <w:pPr>
        <w:pStyle w:val="8"/>
        <w:ind w:left="0" w:firstLine="0" w:firstLineChars="0"/>
        <w:rPr>
          <w:color w:val="auto"/>
        </w:rPr>
        <w:sectPr>
          <w:pgSz w:w="11906" w:h="16838"/>
          <w:pgMar w:top="1928" w:right="1588" w:bottom="1928" w:left="1588" w:header="851" w:footer="624" w:gutter="0"/>
          <w:cols w:space="720" w:num="1"/>
          <w:docGrid w:type="linesAndChars" w:linePitch="312" w:charSpace="-3850"/>
        </w:sectPr>
      </w:pPr>
    </w:p>
    <w:p>
      <w:pPr>
        <w:pStyle w:val="8"/>
        <w:ind w:left="0" w:firstLine="0" w:firstLineChars="0"/>
        <w:rPr>
          <w:color w:val="auto"/>
        </w:rPr>
      </w:pPr>
      <w:bookmarkStart w:id="143" w:name="_Toc167402278"/>
      <w:r>
        <w:rPr>
          <w:rFonts w:eastAsia="仿宋_GB2312" w:cs="仿宋_GB2312"/>
          <w:color w:val="auto"/>
        </w:rPr>
        <w:t>附件</w:t>
      </w:r>
      <w:bookmarkEnd w:id="140"/>
      <w:r>
        <w:rPr>
          <w:rFonts w:eastAsia="仿宋_GB2312" w:cs="仿宋_GB2312"/>
          <w:color w:val="auto"/>
        </w:rPr>
        <w:t>4</w:t>
      </w:r>
      <w:bookmarkEnd w:id="141"/>
      <w:bookmarkEnd w:id="142"/>
      <w:bookmarkEnd w:id="143"/>
    </w:p>
    <w:p>
      <w:pPr>
        <w:widowControl/>
        <w:ind w:firstLine="685"/>
        <w:jc w:val="center"/>
        <w:rPr>
          <w:rFonts w:ascii="宋体" w:hAnsi="宋体" w:cs="宋体"/>
          <w:b/>
          <w:color w:val="auto"/>
          <w:kern w:val="0"/>
          <w:sz w:val="24"/>
        </w:rPr>
      </w:pPr>
      <w:r>
        <w:rPr>
          <w:rFonts w:hint="eastAsia" w:ascii="FZXBSJW--GB1-0" w:hAnsi="FZXBSJW--GB1-0" w:cs="宋体"/>
          <w:b/>
          <w:color w:val="auto"/>
          <w:kern w:val="0"/>
          <w:sz w:val="36"/>
        </w:rPr>
        <w:t>海峡两岸体育</w:t>
      </w:r>
      <w:r>
        <w:rPr>
          <w:rFonts w:ascii="FZXBSJW--GB1-0" w:hAnsi="FZXBSJW--GB1-0" w:cs="宋体"/>
          <w:b/>
          <w:color w:val="auto"/>
          <w:kern w:val="0"/>
          <w:sz w:val="36"/>
        </w:rPr>
        <w:t>赛事评</w:t>
      </w:r>
      <w:r>
        <w:rPr>
          <w:rFonts w:hint="eastAsia" w:ascii="FZXBSJW--GB1-0" w:hAnsi="FZXBSJW--GB1-0" w:cs="宋体"/>
          <w:b/>
          <w:color w:val="auto"/>
          <w:kern w:val="0"/>
          <w:sz w:val="36"/>
        </w:rPr>
        <w:t>分</w:t>
      </w:r>
      <w:r>
        <w:rPr>
          <w:rFonts w:ascii="FZXBSJW--GB1-0" w:hAnsi="FZXBSJW--GB1-0" w:cs="宋体"/>
          <w:b/>
          <w:color w:val="auto"/>
          <w:kern w:val="0"/>
          <w:sz w:val="36"/>
        </w:rPr>
        <w:t>办法</w:t>
      </w:r>
    </w:p>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2"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参赛规模</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right w:val="single" w:color="auto" w:sz="4" w:space="0"/>
            </w:tcBorders>
            <w:noWrap w:val="0"/>
            <w:vAlign w:val="center"/>
          </w:tcPr>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一、个人赛：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10</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70名以上得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名以下或</w:t>
            </w:r>
            <w:r>
              <w:rPr>
                <w:rFonts w:hint="eastAsia" w:ascii="仿宋_GB2312" w:hAnsi="宋体" w:eastAsia="仿宋_GB2312" w:cs="宋体"/>
                <w:b w:val="0"/>
                <w:bCs/>
                <w:color w:val="auto"/>
                <w:kern w:val="0"/>
                <w:sz w:val="22"/>
              </w:rPr>
              <w:t>台湾地区参赛人员少于15名</w:t>
            </w:r>
            <w:r>
              <w:rPr>
                <w:rFonts w:hint="eastAsia" w:ascii="仿宋_GB2312" w:hAnsi="宋体" w:eastAsia="仿宋_GB2312" w:cs="宋体"/>
                <w:color w:val="auto"/>
                <w:kern w:val="0"/>
                <w:sz w:val="22"/>
              </w:rPr>
              <w:t>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二、团体赛：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14支以上得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支以上得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10支以上得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8支以上得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6支以上得</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4支以下或</w:t>
            </w:r>
            <w:r>
              <w:rPr>
                <w:rFonts w:hint="eastAsia" w:ascii="仿宋_GB2312" w:hAnsi="宋体" w:eastAsia="仿宋_GB2312" w:cs="宋体"/>
                <w:b w:val="0"/>
                <w:bCs/>
                <w:color w:val="auto"/>
                <w:kern w:val="0"/>
                <w:sz w:val="22"/>
              </w:rPr>
              <w:t>台湾地区队伍少于2支</w:t>
            </w:r>
            <w:r>
              <w:rPr>
                <w:rFonts w:hint="eastAsia" w:ascii="仿宋_GB2312" w:hAnsi="宋体" w:eastAsia="仿宋_GB2312" w:cs="宋体"/>
                <w:color w:val="auto"/>
                <w:kern w:val="0"/>
                <w:sz w:val="22"/>
              </w:rPr>
              <w:t>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三、多人赛</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1</w:t>
            </w:r>
            <w:r>
              <w:rPr>
                <w:rFonts w:ascii="仿宋_GB2312" w:hAnsi="宋体" w:eastAsia="仿宋_GB2312" w:cs="宋体"/>
                <w:b/>
                <w:color w:val="auto"/>
                <w:kern w:val="0"/>
                <w:sz w:val="22"/>
              </w:rPr>
              <w:t>.</w:t>
            </w:r>
            <w:r>
              <w:rPr>
                <w:rFonts w:hint="eastAsia" w:ascii="仿宋_GB2312" w:hAnsi="宋体" w:eastAsia="仿宋_GB2312" w:cs="宋体"/>
                <w:b/>
                <w:color w:val="auto"/>
                <w:kern w:val="0"/>
                <w:sz w:val="22"/>
              </w:rPr>
              <w:t>马拉松赛：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参赛人数9000人以上得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 xml:space="preserve">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参赛人数7000人以上得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参赛人数5000人以上得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参赛人数3000人以上得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参赛人数1000人以上得1分；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参赛人数1000人以下不得分。</w:t>
            </w:r>
          </w:p>
          <w:p>
            <w:pPr>
              <w:widowControl/>
              <w:jc w:val="left"/>
              <w:rPr>
                <w:rFonts w:ascii="仿宋_GB2312" w:hAnsi="TimesNewRomanPSMT" w:eastAsia="仿宋_GB2312" w:cs="宋体"/>
                <w:b/>
                <w:color w:val="auto"/>
                <w:spacing w:val="-20"/>
                <w:kern w:val="0"/>
                <w:sz w:val="22"/>
              </w:rPr>
            </w:pPr>
            <w:r>
              <w:rPr>
                <w:rFonts w:hint="eastAsia" w:ascii="仿宋_GB2312" w:hAnsi="TimesNewRomanPSMT" w:eastAsia="仿宋_GB2312" w:cs="宋体"/>
                <w:b/>
                <w:color w:val="auto"/>
                <w:spacing w:val="-20"/>
                <w:kern w:val="0"/>
                <w:sz w:val="22"/>
              </w:rPr>
              <w:t>2</w:t>
            </w:r>
            <w:r>
              <w:rPr>
                <w:rFonts w:ascii="仿宋_GB2312" w:hAnsi="TimesNewRomanPSMT" w:eastAsia="仿宋_GB2312" w:cs="宋体"/>
                <w:b/>
                <w:color w:val="auto"/>
                <w:spacing w:val="-20"/>
                <w:kern w:val="0"/>
                <w:sz w:val="22"/>
              </w:rPr>
              <w:t>.</w:t>
            </w:r>
            <w:r>
              <w:rPr>
                <w:rFonts w:hint="eastAsia" w:ascii="仿宋_GB2312" w:hAnsi="TimesNewRomanPSMT" w:eastAsia="仿宋_GB2312" w:cs="宋体"/>
                <w:b/>
                <w:color w:val="auto"/>
                <w:spacing w:val="-20"/>
                <w:kern w:val="0"/>
                <w:sz w:val="22"/>
              </w:rPr>
              <w:t>铁人三项、自行车、越野跑等比赛：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参赛人数500人以上得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 xml:space="preserve">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参赛人数400人以上得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参赛人数300人以上得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参赛人数200人以上得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参赛人数100人以上得</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分；</w:t>
            </w:r>
          </w:p>
          <w:p>
            <w:pPr>
              <w:widowControl/>
              <w:spacing w:line="240" w:lineRule="exact"/>
              <w:jc w:val="lef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参赛人数100人以下不得分。</w:t>
            </w:r>
          </w:p>
        </w:tc>
        <w:tc>
          <w:tcPr>
            <w:tcW w:w="1920" w:type="dxa"/>
            <w:tcBorders>
              <w:top w:val="single" w:color="auto" w:sz="4" w:space="0"/>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涉台比例</w:t>
            </w:r>
          </w:p>
          <w:p>
            <w:pPr>
              <w:widowControl/>
              <w:spacing w:line="24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b w:val="0"/>
                <w:bCs/>
                <w:color w:val="auto"/>
                <w:kern w:val="0"/>
                <w:sz w:val="22"/>
              </w:rPr>
            </w:pPr>
            <w:r>
              <w:rPr>
                <w:rFonts w:hint="eastAsia" w:ascii="仿宋_GB2312" w:hAnsi="宋体" w:eastAsia="仿宋_GB2312" w:cs="宋体"/>
                <w:bCs/>
                <w:color w:val="auto"/>
                <w:kern w:val="0"/>
                <w:sz w:val="22"/>
              </w:rPr>
              <w:t>台湾地区参赛</w:t>
            </w:r>
            <w:r>
              <w:rPr>
                <w:rFonts w:hint="eastAsia" w:ascii="仿宋_GB2312" w:hAnsi="宋体" w:eastAsia="仿宋_GB2312" w:cs="宋体"/>
                <w:b w:val="0"/>
                <w:bCs/>
                <w:color w:val="auto"/>
                <w:kern w:val="0"/>
                <w:sz w:val="22"/>
              </w:rPr>
              <w:t>人员占总参赛人员的比例：</w:t>
            </w:r>
          </w:p>
          <w:p>
            <w:pPr>
              <w:widowControl/>
              <w:spacing w:line="240" w:lineRule="exact"/>
              <w:rPr>
                <w:rFonts w:hint="eastAsia" w:ascii="仿宋_GB2312" w:hAnsi="宋体" w:eastAsia="仿宋_GB2312" w:cs="宋体"/>
                <w:b w:val="0"/>
                <w:bCs/>
                <w:color w:val="auto"/>
                <w:kern w:val="0"/>
                <w:sz w:val="22"/>
              </w:rPr>
            </w:pPr>
            <w:r>
              <w:rPr>
                <w:rFonts w:hint="eastAsia" w:ascii="仿宋_GB2312" w:hAnsi="宋体" w:eastAsia="仿宋_GB2312" w:cs="宋体"/>
                <w:b w:val="0"/>
                <w:bCs/>
                <w:color w:val="auto"/>
                <w:kern w:val="0"/>
                <w:sz w:val="22"/>
              </w:rPr>
              <w:t>占比</w:t>
            </w:r>
            <w:r>
              <w:rPr>
                <w:rFonts w:hint="eastAsia" w:ascii="仿宋_GB2312" w:hAnsi="宋体" w:eastAsia="仿宋_GB2312" w:cs="宋体"/>
                <w:bCs/>
                <w:color w:val="auto"/>
                <w:kern w:val="0"/>
                <w:sz w:val="22"/>
              </w:rPr>
              <w:t>6</w:t>
            </w:r>
            <w:r>
              <w:rPr>
                <w:rFonts w:ascii="仿宋_GB2312" w:hAnsi="宋体" w:eastAsia="仿宋_GB2312" w:cs="宋体"/>
                <w:bCs/>
                <w:color w:val="auto"/>
                <w:kern w:val="0"/>
                <w:sz w:val="22"/>
              </w:rPr>
              <w:t>0</w:t>
            </w:r>
            <w:r>
              <w:rPr>
                <w:rFonts w:hint="eastAsia" w:ascii="仿宋_GB2312" w:hAnsi="宋体" w:eastAsia="仿宋_GB2312" w:cs="宋体"/>
                <w:b w:val="0"/>
                <w:bCs/>
                <w:color w:val="auto"/>
                <w:kern w:val="0"/>
                <w:sz w:val="22"/>
              </w:rPr>
              <w:t>%以上的得5分；</w:t>
            </w:r>
          </w:p>
          <w:p>
            <w:pPr>
              <w:widowControl/>
              <w:spacing w:line="240" w:lineRule="exact"/>
              <w:rPr>
                <w:rFonts w:hint="eastAsia" w:ascii="仿宋_GB2312" w:hAnsi="宋体" w:eastAsia="仿宋_GB2312" w:cs="宋体"/>
                <w:b w:val="0"/>
                <w:bCs/>
                <w:color w:val="auto"/>
                <w:kern w:val="0"/>
                <w:sz w:val="22"/>
              </w:rPr>
            </w:pPr>
            <w:r>
              <w:rPr>
                <w:rFonts w:hint="eastAsia" w:ascii="仿宋_GB2312" w:hAnsi="宋体" w:eastAsia="仿宋_GB2312" w:cs="宋体"/>
                <w:b w:val="0"/>
                <w:bCs/>
                <w:color w:val="auto"/>
                <w:kern w:val="0"/>
                <w:sz w:val="22"/>
              </w:rPr>
              <w:t>占比</w:t>
            </w:r>
            <w:r>
              <w:rPr>
                <w:rFonts w:hint="eastAsia" w:ascii="仿宋_GB2312" w:hAnsi="宋体" w:eastAsia="仿宋_GB2312" w:cs="宋体"/>
                <w:bCs/>
                <w:color w:val="auto"/>
                <w:kern w:val="0"/>
                <w:sz w:val="22"/>
              </w:rPr>
              <w:t>5</w:t>
            </w:r>
            <w:r>
              <w:rPr>
                <w:rFonts w:ascii="仿宋_GB2312" w:hAnsi="宋体" w:eastAsia="仿宋_GB2312" w:cs="宋体"/>
                <w:bCs/>
                <w:color w:val="auto"/>
                <w:kern w:val="0"/>
                <w:sz w:val="22"/>
              </w:rPr>
              <w:t>0</w:t>
            </w:r>
            <w:r>
              <w:rPr>
                <w:rFonts w:hint="eastAsia" w:ascii="仿宋_GB2312" w:hAnsi="宋体" w:eastAsia="仿宋_GB2312" w:cs="宋体"/>
                <w:b w:val="0"/>
                <w:bCs/>
                <w:color w:val="auto"/>
                <w:kern w:val="0"/>
                <w:sz w:val="22"/>
              </w:rPr>
              <w:t>%以上的得4分；</w:t>
            </w:r>
          </w:p>
          <w:p>
            <w:pPr>
              <w:widowControl/>
              <w:spacing w:line="240" w:lineRule="exact"/>
              <w:rPr>
                <w:rFonts w:hint="eastAsia" w:ascii="仿宋_GB2312" w:hAnsi="宋体" w:eastAsia="仿宋_GB2312" w:cs="宋体"/>
                <w:b w:val="0"/>
                <w:bCs/>
                <w:color w:val="auto"/>
                <w:kern w:val="0"/>
                <w:sz w:val="22"/>
              </w:rPr>
            </w:pPr>
            <w:r>
              <w:rPr>
                <w:rFonts w:hint="eastAsia" w:ascii="仿宋_GB2312" w:hAnsi="宋体" w:eastAsia="仿宋_GB2312" w:cs="宋体"/>
                <w:b w:val="0"/>
                <w:bCs/>
                <w:color w:val="auto"/>
                <w:kern w:val="0"/>
                <w:sz w:val="22"/>
              </w:rPr>
              <w:t>占比</w:t>
            </w:r>
            <w:r>
              <w:rPr>
                <w:rFonts w:hint="eastAsia" w:ascii="仿宋_GB2312" w:hAnsi="宋体" w:eastAsia="仿宋_GB2312" w:cs="宋体"/>
                <w:bCs/>
                <w:color w:val="auto"/>
                <w:kern w:val="0"/>
                <w:sz w:val="22"/>
              </w:rPr>
              <w:t>4</w:t>
            </w:r>
            <w:r>
              <w:rPr>
                <w:rFonts w:ascii="仿宋_GB2312" w:hAnsi="宋体" w:eastAsia="仿宋_GB2312" w:cs="宋体"/>
                <w:bCs/>
                <w:color w:val="auto"/>
                <w:kern w:val="0"/>
                <w:sz w:val="22"/>
              </w:rPr>
              <w:t>0</w:t>
            </w:r>
            <w:r>
              <w:rPr>
                <w:rFonts w:hint="eastAsia" w:ascii="仿宋_GB2312" w:hAnsi="宋体" w:eastAsia="仿宋_GB2312" w:cs="宋体"/>
                <w:b w:val="0"/>
                <w:bCs/>
                <w:color w:val="auto"/>
                <w:kern w:val="0"/>
                <w:sz w:val="22"/>
              </w:rPr>
              <w:t>%以上的得3分；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 w:val="0"/>
                <w:bCs/>
                <w:color w:val="auto"/>
                <w:kern w:val="0"/>
                <w:sz w:val="22"/>
              </w:rPr>
              <w:t>占比</w:t>
            </w:r>
            <w:r>
              <w:rPr>
                <w:rFonts w:hint="eastAsia" w:ascii="仿宋_GB2312" w:hAnsi="宋体" w:eastAsia="仿宋_GB2312" w:cs="宋体"/>
                <w:bCs/>
                <w:color w:val="auto"/>
                <w:kern w:val="0"/>
                <w:sz w:val="22"/>
              </w:rPr>
              <w:t>3</w:t>
            </w:r>
            <w:r>
              <w:rPr>
                <w:rFonts w:hint="eastAsia" w:ascii="仿宋_GB2312" w:hAnsi="宋体" w:eastAsia="仿宋_GB2312" w:cs="宋体"/>
                <w:b w:val="0"/>
                <w:bCs/>
                <w:color w:val="auto"/>
                <w:kern w:val="0"/>
                <w:sz w:val="22"/>
              </w:rPr>
              <w:t>0%以上的得2分；</w:t>
            </w:r>
          </w:p>
          <w:p>
            <w:pPr>
              <w:widowControl/>
              <w:spacing w:line="240" w:lineRule="exact"/>
              <w:rPr>
                <w:rFonts w:hint="eastAsia" w:ascii="仿宋_GB2312" w:hAnsi="宋体" w:eastAsia="仿宋_GB2312" w:cs="宋体"/>
                <w:b w:val="0"/>
                <w:bCs/>
                <w:color w:val="auto"/>
                <w:kern w:val="0"/>
                <w:sz w:val="22"/>
              </w:rPr>
            </w:pPr>
            <w:r>
              <w:rPr>
                <w:rFonts w:hint="eastAsia" w:ascii="仿宋_GB2312" w:hAnsi="宋体" w:eastAsia="仿宋_GB2312" w:cs="宋体"/>
                <w:bCs/>
                <w:color w:val="auto"/>
                <w:kern w:val="0"/>
                <w:sz w:val="22"/>
              </w:rPr>
              <w:t>占比20%以上的得1分</w:t>
            </w:r>
          </w:p>
          <w:p>
            <w:pPr>
              <w:widowControl/>
              <w:spacing w:line="240" w:lineRule="exact"/>
              <w:rPr>
                <w:rFonts w:ascii="仿宋_GB2312" w:hAnsi="宋体" w:eastAsia="仿宋_GB2312" w:cs="宋体"/>
                <w:bCs/>
                <w:color w:val="auto"/>
                <w:kern w:val="0"/>
                <w:sz w:val="22"/>
              </w:rPr>
            </w:pPr>
            <w:r>
              <w:rPr>
                <w:rFonts w:hint="eastAsia" w:ascii="仿宋_GB2312" w:hAnsi="宋体" w:eastAsia="仿宋_GB2312" w:cs="宋体"/>
                <w:b w:val="0"/>
                <w:bCs/>
                <w:color w:val="auto"/>
                <w:kern w:val="0"/>
                <w:sz w:val="22"/>
              </w:rPr>
              <w:t>占比不满20%的不得分。</w:t>
            </w:r>
          </w:p>
          <w:p>
            <w:pPr>
              <w:widowControl/>
              <w:spacing w:line="240" w:lineRule="exact"/>
              <w:rPr>
                <w:rFonts w:hint="eastAsia" w:ascii="仿宋_GB2312" w:hAnsi="宋体" w:eastAsia="仿宋_GB2312" w:cs="宋体"/>
                <w:b w:val="0"/>
                <w:bCs/>
                <w:color w:val="auto"/>
                <w:kern w:val="0"/>
                <w:sz w:val="22"/>
              </w:rPr>
            </w:pPr>
          </w:p>
        </w:tc>
        <w:tc>
          <w:tcPr>
            <w:tcW w:w="1920"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提供实际参赛选手名单及台湾籍选手的身份证明材料。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w:t>
            </w:r>
            <w:r>
              <w:rPr>
                <w:rFonts w:hint="eastAsia" w:ascii="仿宋_GB2312" w:hAnsi="宋体" w:eastAsia="仿宋_GB2312" w:cs="宋体"/>
                <w:color w:val="auto"/>
                <w:kern w:val="0"/>
                <w:sz w:val="22"/>
              </w:rPr>
              <w:t>、</w:t>
            </w:r>
            <w:r>
              <w:rPr>
                <w:rFonts w:ascii="仿宋_GB2312" w:hAnsi="宋体" w:eastAsia="仿宋_GB2312" w:cs="宋体"/>
                <w:color w:val="auto"/>
                <w:kern w:val="0"/>
                <w:sz w:val="22"/>
              </w:rPr>
              <w:t>全国性单项体育协会主办或与</w:t>
            </w:r>
            <w:r>
              <w:rPr>
                <w:rFonts w:ascii="仿宋_GB2312" w:hAnsi="宋体" w:eastAsia="仿宋_GB2312" w:cs="宋体"/>
                <w:bCs/>
                <w:color w:val="auto"/>
                <w:kern w:val="0"/>
                <w:sz w:val="22"/>
              </w:rPr>
              <w:t>福建省体育局</w:t>
            </w:r>
            <w:r>
              <w:rPr>
                <w:rFonts w:ascii="仿宋_GB2312" w:hAnsi="宋体" w:eastAsia="仿宋_GB2312" w:cs="宋体"/>
                <w:color w:val="auto"/>
                <w:kern w:val="0"/>
                <w:sz w:val="22"/>
              </w:rPr>
              <w:t xml:space="preserve">共同主办的赛事得5分； </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w:t>
            </w:r>
            <w:r>
              <w:rPr>
                <w:rFonts w:ascii="仿宋_GB2312" w:hAnsi="宋体" w:eastAsia="仿宋_GB2312" w:cs="宋体"/>
                <w:bCs/>
                <w:color w:val="auto"/>
                <w:kern w:val="0"/>
                <w:sz w:val="22"/>
              </w:rPr>
              <w:t>厦门市政府共同主办</w:t>
            </w:r>
            <w:r>
              <w:rPr>
                <w:rFonts w:ascii="仿宋_GB2312" w:hAnsi="宋体" w:eastAsia="仿宋_GB2312" w:cs="宋体"/>
                <w:color w:val="auto"/>
                <w:kern w:val="0"/>
                <w:sz w:val="22"/>
              </w:rPr>
              <w:t>的赛事得4分；</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国家体育总局相关单位或全国性单项体育协会与厦门市体育局或厦门市湖里区政府</w:t>
            </w:r>
            <w:r>
              <w:rPr>
                <w:rFonts w:ascii="仿宋_GB2312" w:hAnsi="宋体" w:eastAsia="仿宋_GB2312" w:cs="宋体"/>
                <w:bCs/>
                <w:color w:val="auto"/>
                <w:kern w:val="0"/>
                <w:sz w:val="22"/>
              </w:rPr>
              <w:t>共同主办</w:t>
            </w:r>
            <w:r>
              <w:rPr>
                <w:rFonts w:ascii="仿宋_GB2312" w:hAnsi="宋体" w:eastAsia="仿宋_GB2312" w:cs="宋体"/>
                <w:color w:val="auto"/>
                <w:kern w:val="0"/>
                <w:sz w:val="22"/>
              </w:rPr>
              <w:t>的赛事得3分；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地方自行主办的赛事得2分。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ind w:firstLine="202" w:firstLineChars="100"/>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个人选手：</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国内前1-10名的选手，每一人得4分；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1-20名的选手，每一人得3分；</w:t>
            </w:r>
          </w:p>
          <w:p>
            <w:pPr>
              <w:widowControl/>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1-30名的选手，每一人得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省内前</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0名的选手，每一人得</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 xml:space="preserve">分；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二、参赛队伍：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国内前1-10名的运动队，每一队得</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国内前11-20名的运动队，每一队得</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1-30名的运动队，每一队得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 xml:space="preserve">分； </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中国</w:t>
            </w:r>
            <w:r>
              <w:rPr>
                <w:rFonts w:ascii="仿宋_GB2312" w:hAnsi="宋体" w:eastAsia="仿宋_GB2312" w:cs="宋体"/>
                <w:color w:val="auto"/>
                <w:kern w:val="0"/>
                <w:sz w:val="22"/>
              </w:rPr>
              <w:t>省队，每一队得1分，最高分不超过5分。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1.提供运动员或运动队近赛事举办日前三年认证的相关排名数据。</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2.以个人选手或参赛队伍计分，近三年内获得多次奖项，以最好的一次成绩为准。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3.仅记录一个人次或一个队伍的最高分，不重复计算，累计最高10分。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特色项目</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符合程度高得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符合程度较高得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符合程度一般得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符合程度较小得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不符合不得分。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央视体育频道直播（含现场直播）、转播、录播1次4分；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境外媒体直播（含现场直播）、转播、录播1次3分；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国际体育组织官网或门户网站直播、视频转播1次3分；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普通网站新闻1条0.5分。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w:t>
            </w:r>
            <w:r>
              <w:rPr>
                <w:rFonts w:ascii="仿宋_GB2312" w:hAnsi="Times New Roman" w:eastAsia="仿宋_GB2312"/>
                <w:color w:val="auto"/>
                <w:kern w:val="0"/>
                <w:sz w:val="22"/>
              </w:rPr>
              <w:t>15</w:t>
            </w:r>
            <w:r>
              <w:rPr>
                <w:rFonts w:hint="eastAsia" w:ascii="仿宋_GB2312" w:hAnsi="Times New Roman" w:eastAsia="仿宋_GB2312"/>
                <w:color w:val="auto"/>
                <w:kern w:val="0"/>
                <w:sz w:val="22"/>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35</w:t>
            </w:r>
            <w:r>
              <w:rPr>
                <w:rFonts w:hint="eastAsia" w:ascii="仿宋_GB2312" w:hAnsi="宋体" w:eastAsia="仿宋_GB2312" w:cs="宋体"/>
                <w:color w:val="auto"/>
                <w:kern w:val="0"/>
                <w:sz w:val="22"/>
              </w:rPr>
              <w:t>以上得9分；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25</w:t>
            </w:r>
            <w:r>
              <w:rPr>
                <w:rFonts w:hint="eastAsia" w:ascii="仿宋_GB2312" w:hAnsi="宋体" w:eastAsia="仿宋_GB2312" w:cs="宋体"/>
                <w:color w:val="auto"/>
                <w:kern w:val="0"/>
                <w:sz w:val="22"/>
              </w:rPr>
              <w:t>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以上得5分；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15</w:t>
            </w:r>
            <w:r>
              <w:rPr>
                <w:rFonts w:hint="eastAsia" w:ascii="仿宋_GB2312" w:hAnsi="宋体" w:eastAsia="仿宋_GB2312" w:cs="宋体"/>
                <w:color w:val="auto"/>
                <w:kern w:val="0"/>
                <w:sz w:val="22"/>
              </w:rPr>
              <w:t>以上得4分；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60</w:t>
            </w:r>
            <w:r>
              <w:rPr>
                <w:rFonts w:hint="eastAsia" w:ascii="仿宋_GB2312" w:hAnsi="宋体" w:eastAsia="仿宋_GB2312" w:cs="宋体"/>
                <w:color w:val="auto"/>
                <w:spacing w:val="-10"/>
                <w:kern w:val="0"/>
                <w:sz w:val="22"/>
              </w:rPr>
              <w:t>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40</w:t>
            </w:r>
            <w:r>
              <w:rPr>
                <w:rFonts w:hint="eastAsia" w:ascii="仿宋_GB2312" w:hAnsi="宋体" w:eastAsia="仿宋_GB2312" w:cs="宋体"/>
                <w:color w:val="auto"/>
                <w:spacing w:val="-10"/>
                <w:kern w:val="0"/>
                <w:sz w:val="22"/>
              </w:rPr>
              <w:t>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120</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w:t>
            </w:r>
            <w:r>
              <w:rPr>
                <w:rFonts w:ascii="仿宋_GB2312" w:hAnsi="宋体" w:eastAsia="仿宋_GB2312" w:cs="宋体"/>
                <w:color w:val="auto"/>
                <w:kern w:val="0"/>
                <w:sz w:val="22"/>
              </w:rPr>
              <w:t>（含天气、疾病、意外事故、不可抗力、突发事件等情形和“熔断机制”）</w:t>
            </w:r>
            <w:r>
              <w:rPr>
                <w:rFonts w:hint="eastAsia" w:ascii="仿宋_GB2312" w:hAnsi="宋体" w:eastAsia="仿宋_GB2312" w:cs="宋体"/>
                <w:color w:val="auto"/>
                <w:kern w:val="0"/>
                <w:sz w:val="22"/>
              </w:rPr>
              <w:t>；</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第4届及以上举办得5分；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第3届举办得4分；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第2届举办得3分；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首届举办得2分;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附加项：</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对于一次书面签约并确定在我区连续举办5届以上的赛事，首届举办可附加1分；</w:t>
            </w:r>
          </w:p>
          <w:p>
            <w:pPr>
              <w:spacing w:line="240" w:lineRule="exact"/>
              <w:rPr>
                <w:rFonts w:ascii="宋体" w:hAnsi="宋体" w:cs="宋体"/>
                <w:color w:val="auto"/>
                <w:sz w:val="22"/>
              </w:rPr>
            </w:pPr>
            <w:r>
              <w:rPr>
                <w:rFonts w:ascii="仿宋_GB2312" w:hAnsi="宋体" w:eastAsia="仿宋_GB2312" w:cs="宋体"/>
                <w:color w:val="auto"/>
                <w:kern w:val="0"/>
                <w:sz w:val="22"/>
              </w:rPr>
              <w:t>对于一次书面签约并确定在我区连续举办3届以上的，首届举办可附加0.5分。</w:t>
            </w:r>
          </w:p>
        </w:tc>
        <w:tc>
          <w:tcPr>
            <w:tcW w:w="1920" w:type="dxa"/>
            <w:noWrap w:val="0"/>
            <w:vAlign w:val="center"/>
          </w:tcPr>
          <w:p>
            <w:pPr>
              <w:spacing w:line="240" w:lineRule="exact"/>
              <w:rPr>
                <w:rFonts w:ascii="宋体" w:hAnsi="宋体" w:cs="宋体"/>
                <w:color w:val="auto"/>
                <w:sz w:val="22"/>
              </w:rPr>
            </w:pPr>
            <w:r>
              <w:rPr>
                <w:rFonts w:ascii="仿宋_GB2312" w:hAnsi="宋体" w:eastAsia="仿宋_GB2312" w:cs="宋体"/>
                <w:color w:val="auto"/>
                <w:kern w:val="0"/>
                <w:sz w:val="22"/>
              </w:rPr>
              <w:t>历届赛事活动举办的证明材料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经济效益，包括直接、间接经济效益，税收收入，第三产业（服务业）；</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拉动经济效益，包括 吃、住、行、游、购、娱 六要素等；</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w:t>
            </w:r>
            <w:r>
              <w:rPr>
                <w:rFonts w:hint="eastAsia" w:ascii="仿宋_GB2312" w:hAnsi="宋体" w:eastAsia="仿宋_GB2312" w:cs="宋体"/>
                <w:color w:val="auto"/>
                <w:kern w:val="0"/>
                <w:sz w:val="22"/>
              </w:rPr>
              <w:t>奖金设置总额，赞助商（数量、赞助商中世界500强企业和上市公司数量、赞助总金额）。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比赛过程中参赛人员有下列行为的，应视情况给予扣分，每违反一条扣1分。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w:t>
            </w:r>
            <w:r>
              <w:rPr>
                <w:rFonts w:hint="eastAsia" w:ascii="仿宋_GB2312" w:hAnsi="宋体" w:eastAsia="仿宋_GB2312" w:cs="宋体"/>
                <w:color w:val="auto"/>
                <w:kern w:val="0"/>
                <w:sz w:val="22"/>
              </w:rPr>
              <w:t>加</w:t>
            </w:r>
            <w:r>
              <w:rPr>
                <w:rFonts w:ascii="仿宋_GB2312" w:hAnsi="宋体" w:eastAsia="仿宋_GB2312" w:cs="宋体"/>
                <w:color w:val="auto"/>
                <w:kern w:val="0"/>
                <w:sz w:val="22"/>
              </w:rPr>
              <w:t>分不超过5分）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（4）协办方应当确保其提供的产品、设施或服务的质量和安全。场地空间、器材提供方或管理者应当尽到安全保障义务，遇有突发情况在力所能及的范围内协助承担应急救援等救助任务。</w:t>
            </w:r>
          </w:p>
          <w:p>
            <w:pPr>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（5）赛事有创新举措或获评国际、国家、省、市级奖项。</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补充说明 </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1.如出现严重违规则一票否决：</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2.参赛人员包括运动员、裁判员、教练员。</w:t>
            </w:r>
          </w:p>
        </w:tc>
      </w:tr>
    </w:tbl>
    <w:p>
      <w:pPr>
        <w:spacing w:line="560" w:lineRule="exact"/>
        <w:ind w:firstLine="602"/>
        <w:rPr>
          <w:rFonts w:ascii="黑体" w:hAnsi="黑体" w:eastAsia="黑体" w:cs="黑体"/>
          <w:color w:val="auto"/>
          <w:sz w:val="32"/>
          <w:szCs w:val="32"/>
        </w:rPr>
      </w:pPr>
    </w:p>
    <w:p>
      <w:pPr>
        <w:ind w:firstLine="602"/>
        <w:rPr>
          <w:rFonts w:ascii="黑体" w:hAnsi="黑体" w:eastAsia="黑体" w:cs="宋体"/>
          <w:color w:val="auto"/>
          <w:kern w:val="0"/>
          <w:sz w:val="32"/>
        </w:rPr>
      </w:pPr>
      <w:r>
        <w:rPr>
          <w:rFonts w:ascii="黑体" w:hAnsi="黑体" w:eastAsia="黑体" w:cs="宋体"/>
          <w:color w:val="auto"/>
          <w:kern w:val="0"/>
          <w:sz w:val="32"/>
        </w:rPr>
        <w:br w:type="page"/>
      </w:r>
    </w:p>
    <w:p>
      <w:pPr>
        <w:pStyle w:val="8"/>
        <w:ind w:left="0" w:firstLine="0" w:firstLineChars="0"/>
        <w:rPr>
          <w:color w:val="auto"/>
        </w:rPr>
      </w:pPr>
      <w:bookmarkStart w:id="144" w:name="_Toc16458"/>
      <w:bookmarkStart w:id="145" w:name="_Toc10341"/>
      <w:bookmarkStart w:id="146" w:name="_Toc16564"/>
      <w:bookmarkStart w:id="147" w:name="_Toc167402279"/>
      <w:r>
        <w:rPr>
          <w:rFonts w:eastAsia="仿宋_GB2312" w:cs="仿宋_GB2312"/>
          <w:color w:val="auto"/>
        </w:rPr>
        <w:t>附件</w:t>
      </w:r>
      <w:bookmarkEnd w:id="144"/>
      <w:r>
        <w:rPr>
          <w:rFonts w:eastAsia="仿宋_GB2312" w:cs="仿宋_GB2312"/>
          <w:color w:val="auto"/>
        </w:rPr>
        <w:t>5</w:t>
      </w:r>
      <w:bookmarkEnd w:id="145"/>
      <w:bookmarkEnd w:id="146"/>
      <w:bookmarkEnd w:id="147"/>
    </w:p>
    <w:p>
      <w:pPr>
        <w:widowControl/>
        <w:ind w:firstLine="685"/>
        <w:jc w:val="center"/>
        <w:rPr>
          <w:rFonts w:ascii="宋体" w:hAnsi="宋体" w:cs="宋体"/>
          <w:b/>
          <w:color w:val="auto"/>
          <w:kern w:val="0"/>
          <w:sz w:val="24"/>
        </w:rPr>
      </w:pPr>
      <w:r>
        <w:rPr>
          <w:rFonts w:hint="eastAsia" w:ascii="FZXBSJW--GB1-0" w:hAnsi="FZXBSJW--GB1-0" w:cs="宋体"/>
          <w:b/>
          <w:color w:val="auto"/>
          <w:kern w:val="0"/>
          <w:sz w:val="36"/>
        </w:rPr>
        <w:t>自主品牌特色体育</w:t>
      </w:r>
      <w:r>
        <w:rPr>
          <w:rFonts w:ascii="FZXBSJW--GB1-0" w:hAnsi="FZXBSJW--GB1-0" w:cs="宋体"/>
          <w:b/>
          <w:color w:val="auto"/>
          <w:kern w:val="0"/>
          <w:sz w:val="36"/>
        </w:rPr>
        <w:t>赛事评</w:t>
      </w:r>
      <w:r>
        <w:rPr>
          <w:rFonts w:hint="eastAsia" w:ascii="FZXBSJW--GB1-0" w:hAnsi="FZXBSJW--GB1-0" w:cs="宋体"/>
          <w:b/>
          <w:color w:val="auto"/>
          <w:kern w:val="0"/>
          <w:sz w:val="36"/>
        </w:rPr>
        <w:t>分</w:t>
      </w:r>
      <w:r>
        <w:rPr>
          <w:rFonts w:ascii="FZXBSJW--GB1-0" w:hAnsi="FZXBSJW--GB1-0" w:cs="宋体"/>
          <w:b/>
          <w:color w:val="auto"/>
          <w:kern w:val="0"/>
          <w:sz w:val="36"/>
        </w:rPr>
        <w:t>办法</w:t>
      </w:r>
    </w:p>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参赛规模</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一、个人赛：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10</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70名以上得4分；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名以上得2分；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二、团体赛：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14支以上得10分；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支以上得8分；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10支以上得6分；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8支以上得4分；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6支以上得2分；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4支以下不得分。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三、多人赛</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1</w:t>
            </w:r>
            <w:r>
              <w:rPr>
                <w:rFonts w:ascii="仿宋_GB2312" w:hAnsi="宋体" w:eastAsia="仿宋_GB2312" w:cs="宋体"/>
                <w:b/>
                <w:color w:val="auto"/>
                <w:kern w:val="0"/>
                <w:sz w:val="22"/>
              </w:rPr>
              <w:t>.</w:t>
            </w:r>
            <w:r>
              <w:rPr>
                <w:rFonts w:hint="eastAsia" w:ascii="仿宋_GB2312" w:hAnsi="宋体" w:eastAsia="仿宋_GB2312" w:cs="宋体"/>
                <w:b/>
                <w:color w:val="auto"/>
                <w:kern w:val="0"/>
                <w:sz w:val="22"/>
              </w:rPr>
              <w:t>马拉松赛：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参赛人数9000人以上得9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参赛人数8000人以上得8分；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参赛人数7000人以上得7分；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参赛人数6000人以上得6分；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参赛人数5000人以上得5分；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参赛人数3000人以上得3分；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参赛人数2000人以上得2分；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参赛人数1000人以上得1分；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参赛人数1000人以下不得分。</w:t>
            </w:r>
          </w:p>
          <w:p>
            <w:pPr>
              <w:widowControl/>
              <w:jc w:val="left"/>
              <w:rPr>
                <w:rFonts w:ascii="仿宋_GB2312" w:hAnsi="TimesNewRomanPSMT" w:eastAsia="仿宋_GB2312" w:cs="宋体"/>
                <w:b/>
                <w:color w:val="auto"/>
                <w:spacing w:val="-20"/>
                <w:kern w:val="0"/>
                <w:sz w:val="22"/>
              </w:rPr>
            </w:pPr>
            <w:r>
              <w:rPr>
                <w:rFonts w:hint="eastAsia" w:ascii="仿宋_GB2312" w:hAnsi="TimesNewRomanPSMT" w:eastAsia="仿宋_GB2312" w:cs="宋体"/>
                <w:b/>
                <w:color w:val="auto"/>
                <w:spacing w:val="-20"/>
                <w:kern w:val="0"/>
                <w:sz w:val="22"/>
              </w:rPr>
              <w:t>2</w:t>
            </w:r>
            <w:r>
              <w:rPr>
                <w:rFonts w:ascii="仿宋_GB2312" w:hAnsi="TimesNewRomanPSMT" w:eastAsia="仿宋_GB2312" w:cs="宋体"/>
                <w:b/>
                <w:color w:val="auto"/>
                <w:spacing w:val="-20"/>
                <w:kern w:val="0"/>
                <w:sz w:val="22"/>
              </w:rPr>
              <w:t>.</w:t>
            </w:r>
            <w:r>
              <w:rPr>
                <w:rFonts w:hint="eastAsia" w:ascii="仿宋_GB2312" w:hAnsi="TimesNewRomanPSMT" w:eastAsia="仿宋_GB2312" w:cs="宋体"/>
                <w:b/>
                <w:color w:val="auto"/>
                <w:spacing w:val="-20"/>
                <w:kern w:val="0"/>
                <w:sz w:val="22"/>
              </w:rPr>
              <w:t>铁人三项、自行车、越野跑等比赛：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参赛人数500人以上得10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参赛人数300人以上得6分；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参赛人数200人以上得4分；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参赛人数100人以上得2分；</w:t>
            </w:r>
          </w:p>
          <w:p>
            <w:pPr>
              <w:widowControl/>
              <w:spacing w:line="240" w:lineRule="exact"/>
              <w:jc w:val="lef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参赛人数100人以下不得分。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8"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国家体育总局相关单位、全国性单项体育协会主办或与</w:t>
            </w:r>
            <w:r>
              <w:rPr>
                <w:rFonts w:ascii="仿宋_GB2312" w:hAnsi="宋体" w:eastAsia="仿宋_GB2312" w:cs="宋体"/>
                <w:bCs/>
                <w:color w:val="auto"/>
                <w:kern w:val="0"/>
                <w:sz w:val="22"/>
              </w:rPr>
              <w:t>福建省体育局</w:t>
            </w:r>
            <w:r>
              <w:rPr>
                <w:rFonts w:ascii="仿宋_GB2312" w:hAnsi="宋体" w:eastAsia="仿宋_GB2312" w:cs="宋体"/>
                <w:color w:val="auto"/>
                <w:kern w:val="0"/>
                <w:sz w:val="22"/>
              </w:rPr>
              <w:t xml:space="preserve">共同主办的赛事得5分； </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w:t>
            </w:r>
            <w:r>
              <w:rPr>
                <w:rFonts w:ascii="仿宋_GB2312" w:hAnsi="宋体" w:eastAsia="仿宋_GB2312" w:cs="宋体"/>
                <w:bCs/>
                <w:color w:val="auto"/>
                <w:kern w:val="0"/>
                <w:sz w:val="22"/>
              </w:rPr>
              <w:t>厦门市政府共同主办</w:t>
            </w:r>
            <w:r>
              <w:rPr>
                <w:rFonts w:ascii="仿宋_GB2312" w:hAnsi="宋体" w:eastAsia="仿宋_GB2312" w:cs="宋体"/>
                <w:color w:val="auto"/>
                <w:kern w:val="0"/>
                <w:sz w:val="22"/>
              </w:rPr>
              <w:t>的赛事得4分；</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w:t>
            </w:r>
            <w:r>
              <w:rPr>
                <w:rFonts w:hint="eastAsia" w:ascii="仿宋_GB2312" w:hAnsi="宋体" w:eastAsia="仿宋_GB2312" w:cs="宋体"/>
                <w:color w:val="auto"/>
                <w:kern w:val="0"/>
                <w:sz w:val="22"/>
              </w:rPr>
              <w:t>厦门市体育局</w:t>
            </w:r>
            <w:r>
              <w:rPr>
                <w:rFonts w:ascii="仿宋_GB2312" w:hAnsi="宋体" w:eastAsia="仿宋_GB2312" w:cs="宋体"/>
                <w:color w:val="auto"/>
                <w:kern w:val="0"/>
                <w:sz w:val="22"/>
              </w:rPr>
              <w:t>或</w:t>
            </w:r>
            <w:r>
              <w:rPr>
                <w:rFonts w:hint="eastAsia" w:ascii="仿宋_GB2312" w:hAnsi="宋体" w:eastAsia="仿宋_GB2312" w:cs="宋体"/>
                <w:color w:val="auto"/>
                <w:kern w:val="0"/>
                <w:sz w:val="22"/>
              </w:rPr>
              <w:t>厦门市湖里区政府</w:t>
            </w:r>
            <w:r>
              <w:rPr>
                <w:rFonts w:ascii="仿宋_GB2312" w:hAnsi="宋体" w:eastAsia="仿宋_GB2312" w:cs="宋体"/>
                <w:bCs/>
                <w:color w:val="auto"/>
                <w:kern w:val="0"/>
                <w:sz w:val="22"/>
              </w:rPr>
              <w:t>共同主办</w:t>
            </w:r>
            <w:r>
              <w:rPr>
                <w:rFonts w:ascii="仿宋_GB2312" w:hAnsi="宋体" w:eastAsia="仿宋_GB2312" w:cs="宋体"/>
                <w:color w:val="auto"/>
                <w:kern w:val="0"/>
                <w:sz w:val="22"/>
              </w:rPr>
              <w:t>的赛事得3分；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w:t>
            </w:r>
            <w:r>
              <w:rPr>
                <w:rFonts w:ascii="仿宋_GB2312" w:hAnsi="宋体" w:eastAsia="仿宋_GB2312" w:cs="宋体"/>
                <w:color w:val="auto"/>
                <w:kern w:val="0"/>
                <w:sz w:val="22"/>
              </w:rPr>
              <w:t>自行主办的赛事得2分。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ind w:firstLine="202" w:firstLineChars="100"/>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w:t>
            </w:r>
            <w:r>
              <w:rPr>
                <w:rFonts w:ascii="仿宋_GB2312" w:hAnsi="宋体" w:eastAsia="仿宋_GB2312" w:cs="宋体"/>
                <w:color w:val="auto"/>
                <w:kern w:val="0"/>
                <w:sz w:val="22"/>
              </w:rPr>
              <w:t>个人选手：</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国内前1-10名的选手，每一人得4分；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1-21名的选手，每一人得3分；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1-30名的选手，每一人得2分；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省内前</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 xml:space="preserve">0名的选手，每一人得1分；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二、参赛队伍：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国内前1-10名的运动队，每一队得</w:t>
            </w:r>
            <w:r>
              <w:rPr>
                <w:rFonts w:hint="eastAsia" w:ascii="仿宋_GB2312" w:hAnsi="宋体" w:eastAsia="仿宋_GB2312" w:cs="宋体"/>
                <w:color w:val="auto"/>
                <w:kern w:val="0"/>
                <w:sz w:val="22"/>
              </w:rPr>
              <w:t>4</w:t>
            </w:r>
            <w:r>
              <w:rPr>
                <w:rFonts w:ascii="仿宋_GB2312" w:hAnsi="宋体" w:eastAsia="仿宋_GB2312" w:cs="宋体"/>
                <w:color w:val="auto"/>
                <w:kern w:val="0"/>
                <w:sz w:val="22"/>
              </w:rPr>
              <w:t>分；</w:t>
            </w:r>
          </w:p>
          <w:p>
            <w:pPr>
              <w:widowControl/>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国内前11-20名的运动队，每一队得3分；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 xml:space="preserve">1-30名的运动队，每一队得2分； </w:t>
            </w:r>
          </w:p>
          <w:p>
            <w:pPr>
              <w:widowControl/>
              <w:spacing w:line="240" w:lineRule="exact"/>
              <w:rPr>
                <w:rFonts w:ascii="仿宋" w:hAnsi="仿宋" w:eastAsia="仿宋" w:cs="宋体"/>
                <w:color w:val="auto"/>
                <w:kern w:val="0"/>
                <w:sz w:val="22"/>
              </w:rPr>
            </w:pPr>
            <w:r>
              <w:rPr>
                <w:rFonts w:hint="eastAsia" w:ascii="仿宋_GB2312" w:hAnsi="宋体" w:eastAsia="仿宋_GB2312" w:cs="宋体"/>
                <w:color w:val="auto"/>
                <w:kern w:val="0"/>
                <w:sz w:val="22"/>
              </w:rPr>
              <w:t>中国</w:t>
            </w:r>
            <w:r>
              <w:rPr>
                <w:rFonts w:ascii="仿宋_GB2312" w:hAnsi="宋体" w:eastAsia="仿宋_GB2312" w:cs="宋体"/>
                <w:color w:val="auto"/>
                <w:kern w:val="0"/>
                <w:sz w:val="22"/>
              </w:rPr>
              <w:t>省队，每一队得1分，最高分不超过5分。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1.提供运动员或运动队近赛事举办日前三年认证的相关排名数据。</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2.以个人选手或参赛队伍计分，近三年内获得多次奖项，以最好的一次成绩为准。</w:t>
            </w:r>
          </w:p>
          <w:p>
            <w:pPr>
              <w:widowControl/>
              <w:spacing w:line="240" w:lineRule="exact"/>
              <w:rPr>
                <w:rFonts w:ascii="仿宋" w:hAnsi="仿宋" w:eastAsia="仿宋" w:cs="宋体"/>
                <w:color w:val="auto"/>
                <w:kern w:val="0"/>
                <w:sz w:val="22"/>
              </w:rPr>
            </w:pPr>
            <w:r>
              <w:rPr>
                <w:rFonts w:hint="eastAsia" w:ascii="仿宋_GB2312" w:hAnsi="宋体" w:eastAsia="仿宋_GB2312" w:cs="宋体"/>
                <w:color w:val="auto"/>
                <w:kern w:val="0"/>
                <w:sz w:val="22"/>
              </w:rPr>
              <w:t>3.仅记录一个人次或一个队伍的最高分，不重复计算，累计最高10分。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特色项目</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符合程度高得</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符合程度较高得</w:t>
            </w:r>
            <w:r>
              <w:rPr>
                <w:rFonts w:ascii="仿宋_GB2312" w:hAnsi="宋体" w:eastAsia="仿宋_GB2312" w:cs="宋体"/>
                <w:color w:val="auto"/>
                <w:kern w:val="0"/>
                <w:sz w:val="22"/>
              </w:rPr>
              <w:t>4</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符合程度一般得</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符合程度较小得</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不符合不得分。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hint="eastAsia"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央视体育频道直播（含现场直播）、转播、录播1次4分；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境外媒体直播（含现场直播）、转播、录播1次3分；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国际体育组织官网或门户网站直播、视频转播1次3分；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普通网站新闻1条0.5分。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w:t>
            </w:r>
            <w:r>
              <w:rPr>
                <w:rFonts w:ascii="仿宋_GB2312" w:hAnsi="Times New Roman" w:eastAsia="仿宋_GB2312"/>
                <w:color w:val="auto"/>
                <w:kern w:val="0"/>
                <w:sz w:val="22"/>
              </w:rPr>
              <w:t>15</w:t>
            </w:r>
            <w:r>
              <w:rPr>
                <w:rFonts w:hint="eastAsia" w:ascii="仿宋_GB2312" w:hAnsi="Times New Roman" w:eastAsia="仿宋_GB2312"/>
                <w:color w:val="auto"/>
                <w:kern w:val="0"/>
                <w:sz w:val="22"/>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25</w:t>
            </w:r>
            <w:r>
              <w:rPr>
                <w:rFonts w:hint="eastAsia" w:ascii="仿宋_GB2312" w:hAnsi="宋体" w:eastAsia="仿宋_GB2312" w:cs="宋体"/>
                <w:color w:val="auto"/>
                <w:kern w:val="0"/>
                <w:sz w:val="22"/>
              </w:rPr>
              <w:t>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15</w:t>
            </w:r>
            <w:r>
              <w:rPr>
                <w:rFonts w:hint="eastAsia" w:ascii="仿宋_GB2312" w:hAnsi="宋体" w:eastAsia="仿宋_GB2312" w:cs="宋体"/>
                <w:color w:val="auto"/>
                <w:kern w:val="0"/>
                <w:sz w:val="22"/>
              </w:rPr>
              <w:t>以上得5分；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以上得3分；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60</w:t>
            </w:r>
            <w:r>
              <w:rPr>
                <w:rFonts w:hint="eastAsia" w:ascii="仿宋_GB2312" w:hAnsi="宋体" w:eastAsia="仿宋_GB2312" w:cs="宋体"/>
                <w:color w:val="auto"/>
                <w:spacing w:val="-10"/>
                <w:kern w:val="0"/>
                <w:sz w:val="22"/>
              </w:rPr>
              <w:t>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40</w:t>
            </w:r>
            <w:r>
              <w:rPr>
                <w:rFonts w:hint="eastAsia" w:ascii="仿宋_GB2312" w:hAnsi="宋体" w:eastAsia="仿宋_GB2312" w:cs="宋体"/>
                <w:color w:val="auto"/>
                <w:spacing w:val="-10"/>
                <w:kern w:val="0"/>
                <w:sz w:val="22"/>
              </w:rPr>
              <w:t>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120</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不满8</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w:t>
            </w:r>
            <w:r>
              <w:rPr>
                <w:rFonts w:ascii="仿宋_GB2312" w:hAnsi="宋体" w:eastAsia="仿宋_GB2312" w:cs="宋体"/>
                <w:color w:val="auto"/>
                <w:kern w:val="0"/>
                <w:sz w:val="22"/>
              </w:rPr>
              <w:t>含天气、疾病、意外事故、不可抗力、突发事件等情形和“熔断机制”）</w:t>
            </w:r>
            <w:r>
              <w:rPr>
                <w:rFonts w:hint="eastAsia" w:ascii="仿宋_GB2312" w:hAnsi="宋体" w:eastAsia="仿宋_GB2312" w:cs="宋体"/>
                <w:color w:val="auto"/>
                <w:kern w:val="0"/>
                <w:sz w:val="22"/>
              </w:rPr>
              <w:t>；</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第4届及以上举办得5分；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第3届举办得4分；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第2届举办得3分；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首届举办得2分;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附加项：</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对于一次书面签约并确定在我区连续举办5届以上的赛事，首届举办可附加，即1分；</w:t>
            </w:r>
          </w:p>
          <w:p>
            <w:pPr>
              <w:spacing w:line="240" w:lineRule="exact"/>
              <w:rPr>
                <w:rFonts w:ascii="宋体" w:hAnsi="宋体" w:cs="宋体"/>
                <w:color w:val="auto"/>
                <w:sz w:val="22"/>
              </w:rPr>
            </w:pPr>
            <w:r>
              <w:rPr>
                <w:rFonts w:ascii="仿宋_GB2312" w:hAnsi="宋体" w:eastAsia="仿宋_GB2312" w:cs="宋体"/>
                <w:color w:val="auto"/>
                <w:kern w:val="0"/>
                <w:sz w:val="22"/>
              </w:rPr>
              <w:t>对于一次书面签约并确定在我区连续举办3届以上的，首届举办可附加0.5分。</w:t>
            </w:r>
          </w:p>
        </w:tc>
        <w:tc>
          <w:tcPr>
            <w:tcW w:w="1920"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1.历届赛事活动举办的证明材料或签约书；</w:t>
            </w:r>
          </w:p>
          <w:p>
            <w:pPr>
              <w:spacing w:line="240" w:lineRule="exact"/>
              <w:rPr>
                <w:rFonts w:ascii="宋体" w:hAnsi="宋体" w:cs="宋体"/>
                <w:color w:val="auto"/>
                <w:sz w:val="22"/>
              </w:rPr>
            </w:pPr>
            <w:r>
              <w:rPr>
                <w:rFonts w:ascii="仿宋_GB2312" w:hAnsi="宋体" w:eastAsia="仿宋_GB2312" w:cs="宋体"/>
                <w:color w:val="auto"/>
                <w:kern w:val="0"/>
                <w:sz w:val="22"/>
              </w:rPr>
              <w:t>2.累计不超过5分。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1.经济效益，包括直接、间接经济效益，税收收入，第三产业（服务业）；</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2.拉动经济效益，包括 吃、住、行、游、购、娱 六要素等；</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3.奖金设置总额，赞助商（数量、赞助商中世界500强企业和上市公司数量、赞助总金额）。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比赛过程中参赛人员有下列行为的，应视情况给予扣分，每违反一条扣1分。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w:t>
            </w:r>
            <w:r>
              <w:rPr>
                <w:rFonts w:hint="eastAsia" w:ascii="仿宋_GB2312" w:hAnsi="宋体" w:eastAsia="仿宋_GB2312" w:cs="宋体"/>
                <w:color w:val="auto"/>
                <w:kern w:val="0"/>
                <w:sz w:val="22"/>
              </w:rPr>
              <w:t>加</w:t>
            </w:r>
            <w:r>
              <w:rPr>
                <w:rFonts w:ascii="仿宋_GB2312" w:hAnsi="宋体" w:eastAsia="仿宋_GB2312" w:cs="宋体"/>
                <w:color w:val="auto"/>
                <w:kern w:val="0"/>
                <w:sz w:val="22"/>
              </w:rPr>
              <w:t>分不超过</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w:t>
            </w:r>
            <w:r>
              <w:rPr>
                <w:rFonts w:ascii="仿宋_GB2312" w:hAnsi="宋体" w:eastAsia="仿宋_GB2312" w:cs="宋体"/>
                <w:color w:val="auto"/>
                <w:kern w:val="0"/>
                <w:sz w:val="22"/>
              </w:rPr>
              <w:t>场地空间、器材提供方或管理者应当尽到安全保障义务，遇有突发情况在力所能及的范围内协助承担应急救援等救助任务。</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（5）赛事有创新举措或获评国际、国家、省、市级奖项。</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补充说明 </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1.如出现严重违规则一票否决：</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2.参赛人员包括运动员、裁判员、教练员。</w:t>
            </w:r>
          </w:p>
        </w:tc>
      </w:tr>
    </w:tbl>
    <w:p>
      <w:pPr>
        <w:spacing w:line="560" w:lineRule="exact"/>
        <w:ind w:firstLine="602"/>
        <w:rPr>
          <w:rFonts w:ascii="黑体" w:hAnsi="黑体" w:eastAsia="黑体" w:cs="黑体"/>
          <w:color w:val="auto"/>
          <w:sz w:val="32"/>
          <w:szCs w:val="32"/>
        </w:rPr>
      </w:pPr>
    </w:p>
    <w:p>
      <w:pPr>
        <w:ind w:firstLine="602"/>
        <w:rPr>
          <w:rFonts w:ascii="黑体" w:hAnsi="黑体" w:eastAsia="黑体" w:cs="宋体"/>
          <w:color w:val="auto"/>
          <w:kern w:val="0"/>
          <w:sz w:val="32"/>
        </w:rPr>
      </w:pPr>
      <w:r>
        <w:rPr>
          <w:rFonts w:ascii="黑体" w:hAnsi="黑体" w:eastAsia="黑体" w:cs="宋体"/>
          <w:color w:val="auto"/>
          <w:kern w:val="0"/>
          <w:sz w:val="32"/>
        </w:rPr>
        <w:br w:type="page"/>
      </w:r>
    </w:p>
    <w:p>
      <w:pPr>
        <w:pStyle w:val="8"/>
        <w:ind w:left="0" w:firstLine="0" w:firstLineChars="0"/>
        <w:rPr>
          <w:color w:val="auto"/>
        </w:rPr>
      </w:pPr>
      <w:bookmarkStart w:id="148" w:name="_Toc28802"/>
      <w:bookmarkStart w:id="149" w:name="_Toc4555"/>
      <w:bookmarkStart w:id="150" w:name="_Toc167402280"/>
      <w:bookmarkStart w:id="151" w:name="_Toc18782"/>
      <w:r>
        <w:rPr>
          <w:rFonts w:eastAsia="仿宋_GB2312" w:cs="仿宋_GB2312"/>
          <w:color w:val="auto"/>
        </w:rPr>
        <w:t>附件</w:t>
      </w:r>
      <w:bookmarkEnd w:id="148"/>
      <w:r>
        <w:rPr>
          <w:rFonts w:eastAsia="仿宋_GB2312" w:cs="仿宋_GB2312"/>
          <w:color w:val="auto"/>
        </w:rPr>
        <w:t>6</w:t>
      </w:r>
      <w:bookmarkEnd w:id="149"/>
      <w:bookmarkEnd w:id="150"/>
      <w:bookmarkEnd w:id="151"/>
    </w:p>
    <w:p>
      <w:pPr>
        <w:widowControl/>
        <w:ind w:firstLine="685"/>
        <w:jc w:val="center"/>
        <w:rPr>
          <w:rFonts w:ascii="宋体" w:hAnsi="宋体" w:cs="宋体"/>
          <w:b/>
          <w:color w:val="auto"/>
          <w:kern w:val="0"/>
          <w:sz w:val="24"/>
        </w:rPr>
      </w:pPr>
      <w:r>
        <w:rPr>
          <w:rFonts w:hint="eastAsia" w:ascii="FZXBSJW--GB1-0" w:hAnsi="FZXBSJW--GB1-0" w:cs="宋体"/>
          <w:b/>
          <w:color w:val="auto"/>
          <w:kern w:val="0"/>
          <w:sz w:val="36"/>
        </w:rPr>
        <w:t>群众性体育</w:t>
      </w:r>
      <w:r>
        <w:rPr>
          <w:rFonts w:ascii="FZXBSJW--GB1-0" w:hAnsi="FZXBSJW--GB1-0" w:cs="宋体"/>
          <w:b/>
          <w:color w:val="auto"/>
          <w:kern w:val="0"/>
          <w:sz w:val="36"/>
        </w:rPr>
        <w:t>赛事评</w:t>
      </w:r>
      <w:r>
        <w:rPr>
          <w:rFonts w:hint="eastAsia" w:ascii="FZXBSJW--GB1-0" w:hAnsi="FZXBSJW--GB1-0" w:cs="宋体"/>
          <w:b/>
          <w:color w:val="auto"/>
          <w:kern w:val="0"/>
          <w:sz w:val="36"/>
        </w:rPr>
        <w:t>分</w:t>
      </w:r>
      <w:r>
        <w:rPr>
          <w:rFonts w:ascii="FZXBSJW--GB1-0" w:hAnsi="FZXBSJW--GB1-0" w:cs="宋体"/>
          <w:b/>
          <w:color w:val="auto"/>
          <w:kern w:val="0"/>
          <w:sz w:val="36"/>
        </w:rPr>
        <w:t>办法</w:t>
      </w:r>
    </w:p>
    <w:tbl>
      <w:tblPr>
        <w:tblStyle w:val="5"/>
        <w:tblW w:w="92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1308"/>
        <w:gridCol w:w="1457"/>
        <w:gridCol w:w="3402"/>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序号</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楷体" w:eastAsia="仿宋_GB2312" w:cs="宋体"/>
                <w:b/>
                <w:bCs/>
                <w:color w:val="auto"/>
                <w:kern w:val="0"/>
                <w:sz w:val="24"/>
              </w:rPr>
            </w:pPr>
            <w:r>
              <w:rPr>
                <w:rFonts w:hint="eastAsia" w:ascii="仿宋_GB2312" w:hAnsi="楷体" w:eastAsia="仿宋_GB2312" w:cs="宋体"/>
                <w:b/>
                <w:bCs/>
                <w:color w:val="auto"/>
                <w:kern w:val="0"/>
                <w:sz w:val="24"/>
              </w:rPr>
              <w:t>分　值</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评分标准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楷体" w:eastAsia="仿宋_GB2312" w:cs="宋体"/>
                <w:b/>
                <w:bCs/>
                <w:color w:val="auto"/>
                <w:kern w:val="0"/>
                <w:sz w:val="24"/>
              </w:rPr>
              <w:t>需提交材料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1</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赛事规模与水平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30</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参赛规模</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b/>
                <w:color w:val="auto"/>
                <w:kern w:val="0"/>
                <w:sz w:val="22"/>
              </w:rPr>
            </w:pP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一、个人赛：</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80</w:t>
            </w:r>
            <w:r>
              <w:rPr>
                <w:rFonts w:hint="eastAsia" w:ascii="仿宋_GB2312" w:hAnsi="宋体" w:eastAsia="仿宋_GB2312" w:cs="宋体"/>
                <w:color w:val="auto"/>
                <w:kern w:val="0"/>
                <w:sz w:val="22"/>
              </w:rPr>
              <w:t>名以上得10分；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70</w:t>
            </w:r>
            <w:r>
              <w:rPr>
                <w:rFonts w:hint="eastAsia" w:ascii="仿宋_GB2312" w:hAnsi="宋体" w:eastAsia="仿宋_GB2312" w:cs="宋体"/>
                <w:color w:val="auto"/>
                <w:kern w:val="0"/>
                <w:sz w:val="22"/>
              </w:rPr>
              <w:t>名以上得8分；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名以上得2分；</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名以下不得分。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二、团体赛：</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9支以上得10分；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8支以上得8分；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7支以上得6分；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6支以上得4分；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5支以上得2分；</w:t>
            </w:r>
          </w:p>
          <w:p>
            <w:pPr>
              <w:widowControl/>
              <w:spacing w:line="240" w:lineRule="exact"/>
              <w:rPr>
                <w:rFonts w:hint="eastAsia" w:ascii="仿宋_GB2312" w:hAnsi="宋体" w:eastAsia="仿宋_GB2312" w:cs="宋体"/>
                <w:color w:val="auto"/>
                <w:kern w:val="0"/>
                <w:sz w:val="22"/>
              </w:rPr>
            </w:pPr>
            <w:r>
              <w:rPr>
                <w:rFonts w:ascii="仿宋_GB2312" w:hAnsi="宋体" w:eastAsia="仿宋_GB2312" w:cs="宋体"/>
                <w:color w:val="auto"/>
                <w:kern w:val="0"/>
                <w:sz w:val="22"/>
              </w:rPr>
              <w:t>4</w:t>
            </w:r>
            <w:r>
              <w:rPr>
                <w:rFonts w:hint="eastAsia" w:ascii="仿宋_GB2312" w:hAnsi="宋体" w:eastAsia="仿宋_GB2312" w:cs="宋体"/>
                <w:color w:val="auto"/>
                <w:kern w:val="0"/>
                <w:sz w:val="22"/>
              </w:rPr>
              <w:t>支以下不得分。</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三、多人赛</w:t>
            </w:r>
          </w:p>
          <w:p>
            <w:pPr>
              <w:widowControl/>
              <w:spacing w:line="240" w:lineRule="exact"/>
              <w:rPr>
                <w:rFonts w:ascii="仿宋_GB2312" w:hAnsi="宋体" w:eastAsia="仿宋_GB2312" w:cs="宋体"/>
                <w:b/>
                <w:color w:val="auto"/>
                <w:kern w:val="0"/>
                <w:sz w:val="22"/>
              </w:rPr>
            </w:pPr>
            <w:r>
              <w:rPr>
                <w:rFonts w:hint="eastAsia" w:ascii="仿宋_GB2312" w:hAnsi="宋体" w:eastAsia="仿宋_GB2312" w:cs="宋体"/>
                <w:b/>
                <w:color w:val="auto"/>
                <w:kern w:val="0"/>
                <w:sz w:val="22"/>
              </w:rPr>
              <w:t>1</w:t>
            </w:r>
            <w:r>
              <w:rPr>
                <w:rFonts w:ascii="仿宋_GB2312" w:hAnsi="宋体" w:eastAsia="仿宋_GB2312" w:cs="宋体"/>
                <w:b/>
                <w:color w:val="auto"/>
                <w:kern w:val="0"/>
                <w:sz w:val="22"/>
              </w:rPr>
              <w:t>.</w:t>
            </w:r>
            <w:r>
              <w:rPr>
                <w:rFonts w:hint="eastAsia" w:ascii="仿宋_GB2312" w:hAnsi="宋体" w:eastAsia="仿宋_GB2312" w:cs="宋体"/>
                <w:b/>
                <w:color w:val="auto"/>
                <w:kern w:val="0"/>
                <w:sz w:val="22"/>
              </w:rPr>
              <w:t>马拉松赛：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00人以上得10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00人以上得9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00人以上得8分；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00人以上得7分；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w:t>
            </w:r>
            <w:r>
              <w:rPr>
                <w:rFonts w:ascii="仿宋_GB2312" w:hAnsi="宋体" w:eastAsia="仿宋_GB2312" w:cs="宋体"/>
                <w:color w:val="auto"/>
                <w:kern w:val="0"/>
                <w:sz w:val="22"/>
              </w:rPr>
              <w:t>7</w:t>
            </w:r>
            <w:r>
              <w:rPr>
                <w:rFonts w:hint="eastAsia" w:ascii="仿宋_GB2312" w:hAnsi="宋体" w:eastAsia="仿宋_GB2312" w:cs="宋体"/>
                <w:color w:val="auto"/>
                <w:kern w:val="0"/>
                <w:sz w:val="22"/>
              </w:rPr>
              <w:t>00人以上得6分；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00人以上得5分；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参赛人数800人以上得3分；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参赛人数600人以上得2分；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参赛人数400人以上得1分；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0人以下不得分。</w:t>
            </w:r>
          </w:p>
          <w:p>
            <w:pPr>
              <w:widowControl/>
              <w:jc w:val="left"/>
              <w:rPr>
                <w:rFonts w:ascii="仿宋_GB2312" w:hAnsi="TimesNewRomanPSMT" w:eastAsia="仿宋_GB2312" w:cs="宋体"/>
                <w:b/>
                <w:color w:val="auto"/>
                <w:spacing w:val="-20"/>
                <w:kern w:val="0"/>
                <w:sz w:val="22"/>
              </w:rPr>
            </w:pPr>
            <w:r>
              <w:rPr>
                <w:rFonts w:hint="eastAsia" w:ascii="仿宋_GB2312" w:hAnsi="TimesNewRomanPSMT" w:eastAsia="仿宋_GB2312" w:cs="宋体"/>
                <w:b/>
                <w:color w:val="auto"/>
                <w:spacing w:val="-20"/>
                <w:kern w:val="0"/>
                <w:sz w:val="22"/>
              </w:rPr>
              <w:t>2</w:t>
            </w:r>
            <w:r>
              <w:rPr>
                <w:rFonts w:ascii="仿宋_GB2312" w:hAnsi="TimesNewRomanPSMT" w:eastAsia="仿宋_GB2312" w:cs="宋体"/>
                <w:b/>
                <w:color w:val="auto"/>
                <w:spacing w:val="-20"/>
                <w:kern w:val="0"/>
                <w:sz w:val="22"/>
              </w:rPr>
              <w:t>.</w:t>
            </w:r>
            <w:r>
              <w:rPr>
                <w:rFonts w:hint="eastAsia" w:ascii="仿宋_GB2312" w:hAnsi="TimesNewRomanPSMT" w:eastAsia="仿宋_GB2312" w:cs="宋体"/>
                <w:b/>
                <w:color w:val="auto"/>
                <w:spacing w:val="-20"/>
                <w:kern w:val="0"/>
                <w:sz w:val="22"/>
              </w:rPr>
              <w:t>铁人三项、自行车、越野跑等比赛：</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参赛人数3</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0人以上得10 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0人以上得8分；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参赛人数2</w:t>
            </w:r>
            <w:r>
              <w:rPr>
                <w:rFonts w:ascii="仿宋_GB2312" w:hAnsi="宋体" w:eastAsia="仿宋_GB2312" w:cs="宋体"/>
                <w:color w:val="auto"/>
                <w:kern w:val="0"/>
                <w:sz w:val="22"/>
              </w:rPr>
              <w:t>0</w:t>
            </w:r>
            <w:r>
              <w:rPr>
                <w:rFonts w:hint="eastAsia" w:ascii="仿宋_GB2312" w:hAnsi="宋体" w:eastAsia="仿宋_GB2312" w:cs="宋体"/>
                <w:color w:val="auto"/>
                <w:kern w:val="0"/>
                <w:sz w:val="22"/>
              </w:rPr>
              <w:t>0人以上得6分；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0人以上得4分；</w:t>
            </w:r>
          </w:p>
          <w:p>
            <w:pPr>
              <w:widowControl/>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参赛人数100人以上得2分；</w:t>
            </w:r>
          </w:p>
          <w:p>
            <w:pPr>
              <w:widowControl/>
              <w:spacing w:line="240" w:lineRule="exact"/>
              <w:jc w:val="lef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参赛人数50人以下不得分。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运动员报名注册系统数据截图或新闻报道数据。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8"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赛事类别</w:t>
            </w:r>
          </w:p>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国家体育总局相关单位、全国性单项体育协会主办或与</w:t>
            </w:r>
            <w:r>
              <w:rPr>
                <w:rFonts w:ascii="仿宋_GB2312" w:hAnsi="宋体" w:eastAsia="仿宋_GB2312" w:cs="宋体"/>
                <w:bCs/>
                <w:color w:val="auto"/>
                <w:kern w:val="0"/>
                <w:sz w:val="22"/>
              </w:rPr>
              <w:t>福建省体育局</w:t>
            </w:r>
            <w:r>
              <w:rPr>
                <w:rFonts w:ascii="仿宋_GB2312" w:hAnsi="宋体" w:eastAsia="仿宋_GB2312" w:cs="宋体"/>
                <w:color w:val="auto"/>
                <w:kern w:val="0"/>
                <w:sz w:val="22"/>
              </w:rPr>
              <w:t xml:space="preserve">共同主办的赛事得5分； </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w:t>
            </w:r>
            <w:r>
              <w:rPr>
                <w:rFonts w:ascii="仿宋_GB2312" w:hAnsi="宋体" w:eastAsia="仿宋_GB2312" w:cs="宋体"/>
                <w:bCs/>
                <w:color w:val="auto"/>
                <w:kern w:val="0"/>
                <w:sz w:val="22"/>
              </w:rPr>
              <w:t>厦门市政府共同主办</w:t>
            </w:r>
            <w:r>
              <w:rPr>
                <w:rFonts w:ascii="仿宋_GB2312" w:hAnsi="宋体" w:eastAsia="仿宋_GB2312" w:cs="宋体"/>
                <w:color w:val="auto"/>
                <w:kern w:val="0"/>
                <w:sz w:val="22"/>
              </w:rPr>
              <w:t>的赛事得4分；</w:t>
            </w:r>
          </w:p>
          <w:p>
            <w:pPr>
              <w:widowControl/>
              <w:spacing w:line="240" w:lineRule="exact"/>
              <w:jc w:val="left"/>
              <w:rPr>
                <w:rFonts w:ascii="仿宋_GB2312" w:hAnsi="宋体" w:eastAsia="仿宋_GB2312" w:cs="宋体"/>
                <w:color w:val="auto"/>
                <w:kern w:val="0"/>
                <w:sz w:val="22"/>
              </w:rPr>
            </w:pPr>
            <w:r>
              <w:rPr>
                <w:rFonts w:ascii="仿宋_GB2312" w:hAnsi="宋体" w:eastAsia="仿宋_GB2312" w:cs="宋体"/>
                <w:color w:val="auto"/>
                <w:kern w:val="0"/>
                <w:sz w:val="22"/>
              </w:rPr>
              <w:t>国家体育总局相关单位或全国性单项体育协会与</w:t>
            </w:r>
            <w:r>
              <w:rPr>
                <w:rFonts w:hint="eastAsia" w:ascii="仿宋_GB2312" w:hAnsi="宋体" w:eastAsia="仿宋_GB2312" w:cs="宋体"/>
                <w:color w:val="auto"/>
                <w:kern w:val="0"/>
                <w:sz w:val="22"/>
              </w:rPr>
              <w:t>厦门市体育局</w:t>
            </w:r>
            <w:r>
              <w:rPr>
                <w:rFonts w:ascii="仿宋_GB2312" w:hAnsi="宋体" w:eastAsia="仿宋_GB2312" w:cs="宋体"/>
                <w:color w:val="auto"/>
                <w:kern w:val="0"/>
                <w:sz w:val="22"/>
              </w:rPr>
              <w:t>或</w:t>
            </w:r>
            <w:r>
              <w:rPr>
                <w:rFonts w:hint="eastAsia" w:ascii="仿宋_GB2312" w:hAnsi="宋体" w:eastAsia="仿宋_GB2312" w:cs="宋体"/>
                <w:color w:val="auto"/>
                <w:kern w:val="0"/>
                <w:sz w:val="22"/>
              </w:rPr>
              <w:t>厦门市湖里区政府</w:t>
            </w:r>
            <w:r>
              <w:rPr>
                <w:rFonts w:ascii="仿宋_GB2312" w:hAnsi="宋体" w:eastAsia="仿宋_GB2312" w:cs="宋体"/>
                <w:bCs/>
                <w:color w:val="auto"/>
                <w:kern w:val="0"/>
                <w:sz w:val="22"/>
              </w:rPr>
              <w:t>共同主办</w:t>
            </w:r>
            <w:r>
              <w:rPr>
                <w:rFonts w:ascii="仿宋_GB2312" w:hAnsi="宋体" w:eastAsia="仿宋_GB2312" w:cs="宋体"/>
                <w:color w:val="auto"/>
                <w:kern w:val="0"/>
                <w:sz w:val="22"/>
              </w:rPr>
              <w:t>的赛事得3分；</w:t>
            </w:r>
          </w:p>
          <w:p>
            <w:pPr>
              <w:widowControl/>
              <w:spacing w:line="240" w:lineRule="exact"/>
              <w:rPr>
                <w:rFonts w:hint="eastAsia" w:hAnsi="宋体" w:eastAsia="仿宋_GB2312"/>
                <w:color w:val="auto"/>
                <w:sz w:val="22"/>
              </w:rPr>
            </w:pPr>
            <w:r>
              <w:rPr>
                <w:rFonts w:hint="eastAsia" w:ascii="仿宋_GB2312" w:hAnsi="宋体" w:eastAsia="仿宋_GB2312" w:cs="宋体"/>
                <w:color w:val="auto"/>
                <w:kern w:val="0"/>
                <w:sz w:val="22"/>
              </w:rPr>
              <w:t>地方</w:t>
            </w:r>
            <w:r>
              <w:rPr>
                <w:rFonts w:ascii="仿宋_GB2312" w:hAnsi="宋体" w:eastAsia="仿宋_GB2312" w:cs="宋体"/>
                <w:color w:val="auto"/>
                <w:kern w:val="0"/>
                <w:sz w:val="22"/>
              </w:rPr>
              <w:t>自行主办的赛事得2分。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提供相关文件或证明材料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近三年</w:t>
            </w:r>
          </w:p>
          <w:p>
            <w:pPr>
              <w:widowControl/>
              <w:spacing w:line="240" w:lineRule="exact"/>
              <w:ind w:firstLine="202" w:firstLineChars="100"/>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比赛成绩</w:t>
            </w:r>
          </w:p>
          <w:p>
            <w:pPr>
              <w:widowControl/>
              <w:spacing w:line="240" w:lineRule="exact"/>
              <w:ind w:firstLine="202" w:firstLineChars="100"/>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w:t>
            </w:r>
            <w:r>
              <w:rPr>
                <w:rFonts w:ascii="仿宋_GB2312" w:hAnsi="宋体" w:eastAsia="仿宋_GB2312" w:cs="宋体"/>
                <w:color w:val="auto"/>
                <w:kern w:val="0"/>
                <w:sz w:val="22"/>
              </w:rPr>
              <w:t>个人选手：</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国内前1-15名的选手，每一人得4分；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w:t>
            </w:r>
            <w:r>
              <w:rPr>
                <w:rFonts w:hint="eastAsia" w:ascii="仿宋_GB2312" w:hAnsi="宋体" w:eastAsia="仿宋_GB2312" w:cs="宋体"/>
                <w:color w:val="auto"/>
                <w:kern w:val="0"/>
                <w:sz w:val="22"/>
              </w:rPr>
              <w:t>1</w:t>
            </w:r>
            <w:r>
              <w:rPr>
                <w:rFonts w:ascii="仿宋_GB2312" w:hAnsi="宋体" w:eastAsia="仿宋_GB2312" w:cs="宋体"/>
                <w:color w:val="auto"/>
                <w:kern w:val="0"/>
                <w:sz w:val="22"/>
              </w:rPr>
              <w:t>6-30名的选手，每一人得3分；</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省内前</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0名的选手，每一人得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 xml:space="preserve">分；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二、参赛队伍： </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国内前30名的运动队，每一队得3分；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省</w:t>
            </w:r>
            <w:r>
              <w:rPr>
                <w:rFonts w:ascii="仿宋_GB2312" w:hAnsi="宋体" w:eastAsia="仿宋_GB2312" w:cs="宋体"/>
                <w:color w:val="auto"/>
                <w:kern w:val="0"/>
                <w:sz w:val="22"/>
              </w:rPr>
              <w:t>内前</w:t>
            </w:r>
            <w:r>
              <w:rPr>
                <w:rFonts w:hint="eastAsia" w:ascii="仿宋_GB2312" w:hAnsi="宋体" w:eastAsia="仿宋_GB2312" w:cs="宋体"/>
                <w:color w:val="auto"/>
                <w:kern w:val="0"/>
                <w:sz w:val="22"/>
              </w:rPr>
              <w:t>3</w:t>
            </w:r>
            <w:r>
              <w:rPr>
                <w:rFonts w:ascii="仿宋_GB2312" w:hAnsi="宋体" w:eastAsia="仿宋_GB2312" w:cs="宋体"/>
                <w:color w:val="auto"/>
                <w:kern w:val="0"/>
                <w:sz w:val="22"/>
              </w:rPr>
              <w:t xml:space="preserve">0名的运动队，每一队得2分； </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中国</w:t>
            </w:r>
            <w:r>
              <w:rPr>
                <w:rFonts w:ascii="仿宋_GB2312" w:hAnsi="宋体" w:eastAsia="仿宋_GB2312" w:cs="宋体"/>
                <w:color w:val="auto"/>
                <w:kern w:val="0"/>
                <w:sz w:val="22"/>
              </w:rPr>
              <w:t>省队，每一队得</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分，最高分不超过5分。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1.提供运动员或运动队近赛事举办日前三年认证的相关排名数据。</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2.以个人选手或参赛队伍计分，近三年内获得多次奖项，以最好的一次成绩为准。</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3.仅记录一个人次或一个队伍的，最高分，不重复计算，累计最高10分。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auto"/>
                <w:kern w:val="0"/>
                <w:sz w:val="22"/>
              </w:rPr>
            </w:pPr>
            <w:r>
              <w:rPr>
                <w:rFonts w:ascii="仿宋" w:hAnsi="仿宋" w:eastAsia="仿宋" w:cs="宋体"/>
                <w:color w:val="auto"/>
                <w:kern w:val="0"/>
                <w:sz w:val="22"/>
              </w:rPr>
              <w:t>特色项目</w:t>
            </w:r>
          </w:p>
          <w:p>
            <w:pPr>
              <w:widowControl/>
              <w:spacing w:line="240" w:lineRule="exact"/>
              <w:jc w:val="center"/>
              <w:rPr>
                <w:rFonts w:ascii="仿宋" w:hAnsi="仿宋" w:eastAsia="仿宋" w:cs="宋体"/>
                <w:color w:val="auto"/>
                <w:kern w:val="0"/>
                <w:sz w:val="22"/>
              </w:rPr>
            </w:pPr>
            <w:r>
              <w:rPr>
                <w:rFonts w:ascii="仿宋" w:hAnsi="仿宋" w:eastAsia="仿宋" w:cs="宋体"/>
                <w:color w:val="auto"/>
                <w:kern w:val="0"/>
                <w:sz w:val="22"/>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对于符合湖里区发展定位、地域文化特色和体育产业发展特点与需要的体育赛事项目可以认定特色项目。</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符合程度高</w:t>
            </w:r>
            <w:r>
              <w:rPr>
                <w:rFonts w:hint="eastAsia" w:ascii="仿宋_GB2312" w:hAnsi="宋体" w:eastAsia="仿宋_GB2312" w:cs="宋体"/>
                <w:color w:val="auto"/>
                <w:kern w:val="0"/>
                <w:sz w:val="22"/>
              </w:rPr>
              <w:t>得</w:t>
            </w:r>
            <w:r>
              <w:rPr>
                <w:rFonts w:ascii="仿宋_GB2312" w:hAnsi="宋体" w:eastAsia="仿宋_GB2312" w:cs="宋体"/>
                <w:color w:val="auto"/>
                <w:kern w:val="0"/>
                <w:sz w:val="22"/>
              </w:rPr>
              <w:t>5分</w:t>
            </w:r>
            <w:r>
              <w:rPr>
                <w:rFonts w:hint="eastAsia" w:ascii="仿宋_GB2312" w:hAnsi="宋体" w:eastAsia="仿宋_GB2312" w:cs="宋体"/>
                <w:color w:val="auto"/>
                <w:kern w:val="0"/>
                <w:sz w:val="22"/>
              </w:rPr>
              <w:t>；</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符合程度较高</w:t>
            </w:r>
            <w:r>
              <w:rPr>
                <w:rFonts w:hint="eastAsia" w:ascii="仿宋_GB2312" w:hAnsi="宋体" w:eastAsia="仿宋_GB2312" w:cs="宋体"/>
                <w:color w:val="auto"/>
                <w:kern w:val="0"/>
                <w:sz w:val="22"/>
              </w:rPr>
              <w:t>得</w:t>
            </w:r>
            <w:r>
              <w:rPr>
                <w:rFonts w:ascii="仿宋_GB2312" w:hAnsi="宋体" w:eastAsia="仿宋_GB2312" w:cs="宋体"/>
                <w:color w:val="auto"/>
                <w:kern w:val="0"/>
                <w:sz w:val="22"/>
              </w:rPr>
              <w:t>4分</w:t>
            </w:r>
            <w:r>
              <w:rPr>
                <w:rFonts w:hint="eastAsia" w:ascii="仿宋_GB2312" w:hAnsi="宋体" w:eastAsia="仿宋_GB2312" w:cs="宋体"/>
                <w:color w:val="auto"/>
                <w:kern w:val="0"/>
                <w:sz w:val="22"/>
              </w:rPr>
              <w:t>；</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符合程度一般</w:t>
            </w:r>
            <w:r>
              <w:rPr>
                <w:rFonts w:hint="eastAsia" w:ascii="仿宋_GB2312" w:hAnsi="宋体" w:eastAsia="仿宋_GB2312" w:cs="宋体"/>
                <w:color w:val="auto"/>
                <w:kern w:val="0"/>
                <w:sz w:val="22"/>
              </w:rPr>
              <w:t>得</w:t>
            </w:r>
            <w:r>
              <w:rPr>
                <w:rFonts w:ascii="仿宋_GB2312" w:hAnsi="宋体" w:eastAsia="仿宋_GB2312" w:cs="宋体"/>
                <w:color w:val="auto"/>
                <w:kern w:val="0"/>
                <w:sz w:val="22"/>
              </w:rPr>
              <w:t>3分</w:t>
            </w:r>
            <w:r>
              <w:rPr>
                <w:rFonts w:hint="eastAsia" w:ascii="仿宋_GB2312" w:hAnsi="宋体" w:eastAsia="仿宋_GB2312" w:cs="宋体"/>
                <w:color w:val="auto"/>
                <w:kern w:val="0"/>
                <w:sz w:val="22"/>
              </w:rPr>
              <w:t>；</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符合程度较小</w:t>
            </w:r>
            <w:r>
              <w:rPr>
                <w:rFonts w:hint="eastAsia" w:ascii="仿宋_GB2312" w:hAnsi="宋体" w:eastAsia="仿宋_GB2312" w:cs="宋体"/>
                <w:color w:val="auto"/>
                <w:kern w:val="0"/>
                <w:sz w:val="22"/>
              </w:rPr>
              <w:t>得</w:t>
            </w:r>
            <w:r>
              <w:rPr>
                <w:rFonts w:ascii="仿宋_GB2312" w:hAnsi="宋体" w:eastAsia="仿宋_GB2312" w:cs="宋体"/>
                <w:color w:val="auto"/>
                <w:kern w:val="0"/>
                <w:sz w:val="22"/>
              </w:rPr>
              <w:t>2分</w:t>
            </w:r>
            <w:r>
              <w:rPr>
                <w:rFonts w:hint="eastAsia" w:ascii="仿宋_GB2312" w:hAnsi="宋体" w:eastAsia="仿宋_GB2312" w:cs="宋体"/>
                <w:color w:val="auto"/>
                <w:kern w:val="0"/>
                <w:sz w:val="22"/>
              </w:rPr>
              <w:t>；</w:t>
            </w:r>
          </w:p>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不符合</w:t>
            </w:r>
            <w:r>
              <w:rPr>
                <w:rFonts w:hint="eastAsia" w:ascii="仿宋_GB2312" w:hAnsi="宋体" w:eastAsia="仿宋_GB2312" w:cs="宋体"/>
                <w:color w:val="auto"/>
                <w:kern w:val="0"/>
                <w:sz w:val="22"/>
              </w:rPr>
              <w:t>不得分。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项目特色介绍书内容包含：发展定位、地域文化特色、体育产业发展特点三部分。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2</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赛事影响力</w:t>
            </w:r>
          </w:p>
          <w:p>
            <w:pPr>
              <w:widowControl/>
              <w:spacing w:line="240" w:lineRule="exact"/>
              <w:jc w:val="center"/>
              <w:rPr>
                <w:rFonts w:hint="eastAsia" w:ascii="宋体" w:hAnsi="宋体" w:cs="宋体"/>
                <w:color w:val="auto"/>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2</w:t>
            </w:r>
            <w:r>
              <w:rPr>
                <w:rFonts w:ascii="仿宋_GB2312" w:hAnsi="宋体" w:eastAsia="仿宋_GB2312" w:cs="宋体"/>
                <w:color w:val="auto"/>
                <w:kern w:val="0"/>
                <w:sz w:val="22"/>
              </w:rPr>
              <w:t>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媒体播报</w:t>
            </w:r>
          </w:p>
          <w:p>
            <w:pPr>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地方省、市体育频道直播（含现场直播）、转播、录播1次5分；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其他网络媒体直播、视频转播1家4分；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知名网站新闻（新华网、人民网、厦门日报）1条3分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普通网站新闻1条2分。</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Times New Roman" w:eastAsia="仿宋_GB2312"/>
                <w:color w:val="auto"/>
                <w:kern w:val="0"/>
                <w:sz w:val="22"/>
              </w:rPr>
              <w:t>网站链接、截图提供相关播报资料累计最高</w:t>
            </w:r>
            <w:r>
              <w:rPr>
                <w:rFonts w:ascii="仿宋_GB2312" w:hAnsi="Times New Roman" w:eastAsia="仿宋_GB2312"/>
                <w:color w:val="auto"/>
                <w:kern w:val="0"/>
                <w:sz w:val="22"/>
              </w:rPr>
              <w:t>15</w:t>
            </w:r>
            <w:r>
              <w:rPr>
                <w:rFonts w:hint="eastAsia" w:ascii="仿宋_GB2312" w:hAnsi="Times New Roman" w:eastAsia="仿宋_GB2312"/>
                <w:color w:val="auto"/>
                <w:kern w:val="0"/>
                <w:sz w:val="22"/>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无负面新闻</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或投诉</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无</w:t>
            </w:r>
            <w:r>
              <w:rPr>
                <w:rFonts w:hint="eastAsia" w:ascii="仿宋_GB2312" w:hAnsi="宋体" w:eastAsia="仿宋_GB2312" w:cs="宋体"/>
                <w:color w:val="auto"/>
                <w:kern w:val="0"/>
                <w:sz w:val="22"/>
              </w:rPr>
              <w:t>负面新闻或投诉得5</w:t>
            </w:r>
            <w:r>
              <w:rPr>
                <w:rFonts w:ascii="仿宋_GB2312" w:hAnsi="宋体" w:eastAsia="仿宋_GB2312" w:cs="宋体"/>
                <w:color w:val="auto"/>
                <w:kern w:val="0"/>
                <w:sz w:val="22"/>
              </w:rPr>
              <w:t>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1条负面新闻或投诉扣2分；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2条负面新闻或投诉扣4分;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3条负面新闻或投诉不得分</w:t>
            </w:r>
            <w:r>
              <w:rPr>
                <w:rFonts w:ascii="仿宋_GB2312" w:hAnsi="宋体" w:eastAsia="仿宋_GB2312" w:cs="宋体"/>
                <w:color w:val="auto"/>
                <w:kern w:val="0"/>
                <w:sz w:val="22"/>
              </w:rPr>
              <w:t>。</w:t>
            </w:r>
          </w:p>
        </w:tc>
        <w:tc>
          <w:tcPr>
            <w:tcW w:w="1920" w:type="dxa"/>
            <w:noWrap w:val="0"/>
            <w:vAlign w:val="center"/>
          </w:tcPr>
          <w:p>
            <w:pPr>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确无负面新闻，提供</w:t>
            </w:r>
            <w:r>
              <w:rPr>
                <w:rFonts w:ascii="仿宋_GB2312" w:hAnsi="宋体" w:eastAsia="仿宋_GB2312" w:cs="宋体"/>
                <w:color w:val="auto"/>
                <w:kern w:val="0"/>
                <w:sz w:val="22"/>
              </w:rPr>
              <w:t>无投诉</w:t>
            </w:r>
            <w:r>
              <w:rPr>
                <w:rFonts w:hint="eastAsia" w:ascii="仿宋_GB2312" w:hAnsi="宋体" w:eastAsia="仿宋_GB2312" w:cs="宋体"/>
                <w:color w:val="auto"/>
                <w:kern w:val="0"/>
                <w:sz w:val="22"/>
              </w:rPr>
              <w:t>或负面新闻</w:t>
            </w:r>
            <w:r>
              <w:rPr>
                <w:rFonts w:ascii="仿宋_GB2312" w:hAnsi="宋体" w:eastAsia="仿宋_GB2312" w:cs="宋体"/>
                <w:color w:val="auto"/>
                <w:kern w:val="0"/>
                <w:sz w:val="22"/>
              </w:rPr>
              <w:t>确认书</w:t>
            </w:r>
            <w:r>
              <w:rPr>
                <w:rFonts w:hint="eastAsia" w:ascii="仿宋_GB2312" w:hAnsi="宋体" w:eastAsia="仿宋_GB2312" w:cs="宋体"/>
                <w:color w:val="auto"/>
                <w:kern w:val="0"/>
                <w:sz w:val="22"/>
              </w:rPr>
              <w:t>或承诺书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r>
              <w:rPr>
                <w:rFonts w:hint="eastAsia" w:ascii="仿宋_GB2312" w:hAnsi="TimesNewRomanPSMT" w:eastAsia="仿宋_GB2312" w:cs="宋体"/>
                <w:color w:val="auto"/>
                <w:kern w:val="0"/>
                <w:sz w:val="22"/>
              </w:rPr>
              <w:t>3</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赛事市场化水平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20分</w:t>
            </w:r>
            <w:r>
              <w:rPr>
                <w:rFonts w:hint="eastAsia" w:ascii="仿宋_GB2312" w:hAnsi="宋体" w:eastAsia="仿宋_GB2312" w:cs="宋体"/>
                <w:color w:val="auto"/>
                <w:kern w:val="0"/>
                <w:sz w:val="22"/>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赛事收入与</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支出的比值</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10</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3</w:t>
            </w:r>
            <w:r>
              <w:rPr>
                <w:rFonts w:hint="eastAsia" w:ascii="仿宋_GB2312" w:hAnsi="宋体" w:eastAsia="仿宋_GB2312" w:cs="宋体"/>
                <w:color w:val="auto"/>
                <w:kern w:val="0"/>
                <w:sz w:val="22"/>
              </w:rPr>
              <w:t>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25</w:t>
            </w:r>
            <w:r>
              <w:rPr>
                <w:rFonts w:hint="eastAsia" w:ascii="仿宋_GB2312" w:hAnsi="宋体" w:eastAsia="仿宋_GB2312" w:cs="宋体"/>
                <w:color w:val="auto"/>
                <w:kern w:val="0"/>
                <w:sz w:val="22"/>
              </w:rPr>
              <w:t>以上得8分；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2</w:t>
            </w:r>
            <w:r>
              <w:rPr>
                <w:rFonts w:hint="eastAsia" w:ascii="仿宋_GB2312" w:hAnsi="宋体" w:eastAsia="仿宋_GB2312" w:cs="宋体"/>
                <w:color w:val="auto"/>
                <w:kern w:val="0"/>
                <w:sz w:val="22"/>
              </w:rPr>
              <w:t>以上得6分；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15</w:t>
            </w:r>
            <w:r>
              <w:rPr>
                <w:rFonts w:hint="eastAsia" w:ascii="仿宋_GB2312" w:hAnsi="宋体" w:eastAsia="仿宋_GB2312" w:cs="宋体"/>
                <w:color w:val="auto"/>
                <w:kern w:val="0"/>
                <w:sz w:val="22"/>
              </w:rPr>
              <w:t>以上得5分；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1</w:t>
            </w:r>
            <w:r>
              <w:rPr>
                <w:rFonts w:hint="eastAsia" w:ascii="仿宋_GB2312" w:hAnsi="宋体" w:eastAsia="仿宋_GB2312" w:cs="宋体"/>
                <w:color w:val="auto"/>
                <w:kern w:val="0"/>
                <w:sz w:val="22"/>
              </w:rPr>
              <w:t>以上得3分；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w:t>
            </w:r>
            <w:r>
              <w:rPr>
                <w:rFonts w:ascii="仿宋_GB2312" w:hAnsi="宋体" w:eastAsia="仿宋_GB2312" w:cs="宋体"/>
                <w:color w:val="auto"/>
                <w:kern w:val="0"/>
                <w:sz w:val="22"/>
              </w:rPr>
              <w:t>05</w:t>
            </w:r>
            <w:r>
              <w:rPr>
                <w:rFonts w:hint="eastAsia" w:ascii="仿宋_GB2312" w:hAnsi="宋体" w:eastAsia="仿宋_GB2312" w:cs="宋体"/>
                <w:color w:val="auto"/>
                <w:kern w:val="0"/>
                <w:sz w:val="22"/>
              </w:rPr>
              <w:t>以上得2分；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不满0.</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办赛支出</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ascii="仿宋_GB2312" w:hAnsi="宋体" w:eastAsia="仿宋_GB2312" w:cs="宋体"/>
                <w:color w:val="auto"/>
                <w:kern w:val="0"/>
                <w:sz w:val="22"/>
              </w:rPr>
              <w:t>5</w:t>
            </w:r>
            <w:r>
              <w:rPr>
                <w:rFonts w:hint="eastAsia" w:ascii="仿宋_GB2312" w:hAnsi="宋体" w:eastAsia="仿宋_GB2312" w:cs="宋体"/>
                <w:color w:val="auto"/>
                <w:kern w:val="0"/>
                <w:sz w:val="22"/>
              </w:rPr>
              <w:t>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万以上得</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1</w:t>
            </w:r>
            <w:r>
              <w:rPr>
                <w:rFonts w:ascii="仿宋_GB2312" w:hAnsi="宋体" w:eastAsia="仿宋_GB2312" w:cs="宋体"/>
                <w:color w:val="auto"/>
                <w:spacing w:val="-10"/>
                <w:kern w:val="0"/>
                <w:sz w:val="22"/>
              </w:rPr>
              <w:t>5</w:t>
            </w:r>
            <w:r>
              <w:rPr>
                <w:rFonts w:hint="eastAsia" w:ascii="仿宋_GB2312" w:hAnsi="宋体" w:eastAsia="仿宋_GB2312" w:cs="宋体"/>
                <w:color w:val="auto"/>
                <w:spacing w:val="-10"/>
                <w:kern w:val="0"/>
                <w:sz w:val="22"/>
              </w:rPr>
              <w:t>万以上得4分；</w:t>
            </w:r>
          </w:p>
          <w:p>
            <w:pPr>
              <w:spacing w:line="240" w:lineRule="exact"/>
              <w:rPr>
                <w:rFonts w:ascii="仿宋_GB2312" w:hAnsi="宋体" w:eastAsia="仿宋_GB2312" w:cs="宋体"/>
                <w:color w:val="auto"/>
                <w:spacing w:val="-10"/>
                <w:kern w:val="0"/>
                <w:sz w:val="22"/>
              </w:rPr>
            </w:pPr>
            <w:r>
              <w:rPr>
                <w:rFonts w:ascii="仿宋_GB2312" w:hAnsi="宋体" w:eastAsia="仿宋_GB2312" w:cs="宋体"/>
                <w:color w:val="auto"/>
                <w:spacing w:val="-10"/>
                <w:kern w:val="0"/>
                <w:sz w:val="22"/>
              </w:rPr>
              <w:t>12</w:t>
            </w:r>
            <w:r>
              <w:rPr>
                <w:rFonts w:hint="eastAsia" w:ascii="仿宋_GB2312" w:hAnsi="宋体" w:eastAsia="仿宋_GB2312" w:cs="宋体"/>
                <w:color w:val="auto"/>
                <w:spacing w:val="-10"/>
                <w:kern w:val="0"/>
                <w:sz w:val="22"/>
              </w:rPr>
              <w:t>万以上得3分；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9万以上得2分；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6万以上得1分；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不满6万不得分。</w:t>
            </w:r>
          </w:p>
        </w:tc>
        <w:tc>
          <w:tcPr>
            <w:tcW w:w="1920" w:type="dxa"/>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支付额度</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（5分）</w:t>
            </w:r>
          </w:p>
        </w:tc>
        <w:tc>
          <w:tcPr>
            <w:tcW w:w="3402" w:type="dxa"/>
            <w:noWrap w:val="0"/>
            <w:vAlign w:val="center"/>
          </w:tcPr>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支付额度指办赛实际支付占办赛支出的比例：</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支付额度1</w:t>
            </w:r>
            <w:r>
              <w:rPr>
                <w:rFonts w:ascii="仿宋_GB2312" w:hAnsi="宋体" w:eastAsia="仿宋_GB2312" w:cs="宋体"/>
                <w:color w:val="auto"/>
                <w:spacing w:val="-10"/>
                <w:kern w:val="0"/>
                <w:sz w:val="22"/>
              </w:rPr>
              <w:t>00%</w:t>
            </w:r>
            <w:r>
              <w:rPr>
                <w:rFonts w:hint="eastAsia" w:ascii="仿宋_GB2312" w:hAnsi="宋体" w:eastAsia="仿宋_GB2312" w:cs="宋体"/>
                <w:color w:val="auto"/>
                <w:spacing w:val="-10"/>
                <w:kern w:val="0"/>
                <w:sz w:val="22"/>
              </w:rPr>
              <w:t>得5分；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支付额度8</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以上得4分；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支付额度6</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以上得3分；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支付额度4</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以上得2分；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以上得1分；</w:t>
            </w:r>
          </w:p>
          <w:p>
            <w:pPr>
              <w:spacing w:line="240" w:lineRule="exact"/>
              <w:rPr>
                <w:rFonts w:ascii="仿宋_GB2312" w:hAnsi="宋体" w:eastAsia="仿宋_GB2312" w:cs="宋体"/>
                <w:color w:val="auto"/>
                <w:spacing w:val="-10"/>
                <w:kern w:val="0"/>
                <w:sz w:val="22"/>
              </w:rPr>
            </w:pPr>
            <w:r>
              <w:rPr>
                <w:rFonts w:hint="eastAsia" w:ascii="仿宋_GB2312" w:hAnsi="宋体" w:eastAsia="仿宋_GB2312" w:cs="宋体"/>
                <w:color w:val="auto"/>
                <w:spacing w:val="-10"/>
                <w:kern w:val="0"/>
                <w:sz w:val="22"/>
              </w:rPr>
              <w:t>支付额度不满2</w:t>
            </w:r>
            <w:r>
              <w:rPr>
                <w:rFonts w:ascii="仿宋_GB2312" w:hAnsi="宋体" w:eastAsia="仿宋_GB2312" w:cs="宋体"/>
                <w:color w:val="auto"/>
                <w:spacing w:val="-10"/>
                <w:kern w:val="0"/>
                <w:sz w:val="22"/>
              </w:rPr>
              <w:t>0%</w:t>
            </w:r>
            <w:r>
              <w:rPr>
                <w:rFonts w:hint="eastAsia" w:ascii="仿宋_GB2312" w:hAnsi="宋体" w:eastAsia="仿宋_GB2312" w:cs="宋体"/>
                <w:color w:val="auto"/>
                <w:spacing w:val="-10"/>
                <w:kern w:val="0"/>
                <w:sz w:val="22"/>
              </w:rPr>
              <w:t>不得分。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提供相关财务数据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TimesNewRomanPSMT" w:eastAsia="仿宋_GB2312" w:cs="宋体"/>
                <w:color w:val="auto"/>
                <w:kern w:val="0"/>
                <w:sz w:val="22"/>
              </w:rPr>
              <w:t>4</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ind w:firstLine="202" w:firstLineChars="100"/>
              <w:rPr>
                <w:rFonts w:ascii="仿宋_GB2312" w:hAnsi="宋体" w:eastAsia="仿宋_GB2312" w:cs="宋体"/>
                <w:color w:val="auto"/>
                <w:kern w:val="0"/>
                <w:sz w:val="22"/>
              </w:rPr>
            </w:pPr>
            <w:r>
              <w:rPr>
                <w:rFonts w:hint="eastAsia" w:ascii="仿宋_GB2312" w:hAnsi="宋体" w:eastAsia="仿宋_GB2312" w:cs="宋体"/>
                <w:color w:val="auto"/>
                <w:kern w:val="0"/>
                <w:sz w:val="22"/>
              </w:rPr>
              <w:t>赛事组织</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水平</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 xml:space="preserve">（ </w:t>
            </w:r>
            <w:r>
              <w:rPr>
                <w:rFonts w:hint="eastAsia" w:ascii="仿宋_GB2312" w:hAnsi="TimesNewRomanPSMT" w:eastAsia="仿宋_GB2312" w:cs="宋体"/>
                <w:color w:val="auto"/>
                <w:kern w:val="0"/>
                <w:sz w:val="22"/>
              </w:rPr>
              <w:t>15</w:t>
            </w:r>
            <w:r>
              <w:rPr>
                <w:rFonts w:hint="eastAsia"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赛事管理</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6</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提供完备的六项赛事组织管理资料，缺一项扣1分：</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1.赛事总体方案；</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2.赛事应急预案</w:t>
            </w:r>
            <w:r>
              <w:rPr>
                <w:rFonts w:ascii="仿宋_GB2312" w:hAnsi="宋体" w:eastAsia="仿宋_GB2312" w:cs="宋体"/>
                <w:color w:val="auto"/>
                <w:kern w:val="0"/>
                <w:sz w:val="22"/>
              </w:rPr>
              <w:t>（含天气、疾病、意外事故、不可抗力、突发事件等情形和“熔断机制”）</w:t>
            </w:r>
            <w:r>
              <w:rPr>
                <w:rFonts w:hint="eastAsia" w:ascii="仿宋_GB2312" w:hAnsi="宋体" w:eastAsia="仿宋_GB2312" w:cs="宋体"/>
                <w:color w:val="auto"/>
                <w:kern w:val="0"/>
                <w:sz w:val="22"/>
              </w:rPr>
              <w:t>；</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3.参赛手册（或秩序册）；</w:t>
            </w:r>
          </w:p>
          <w:p>
            <w:pPr>
              <w:widowControl/>
              <w:tabs>
                <w:tab w:val="left" w:pos="312"/>
              </w:tabs>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4.赛事照片30张（开幕式、大场景、比赛、颁奖、创新点、志愿者等方面）；</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5.直播视频光盘；</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6.赛事文字总结。</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相关文书、材料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TimesNewRomanPSMT"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安全保障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5</w:t>
            </w:r>
            <w:r>
              <w:rPr>
                <w:rFonts w:hint="eastAsia" w:ascii="仿宋_GB2312" w:hAnsi="宋体" w:eastAsia="仿宋_GB2312" w:cs="宋体"/>
                <w:color w:val="auto"/>
                <w:kern w:val="0"/>
                <w:sz w:val="22"/>
              </w:rPr>
              <w:t>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制定严密的安保方案、应急方案，按规定配备安保人员，设置安保设施，无安全责任事故。每一项不完善扣1分。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_GB2312" w:hAnsi="Times New Roman" w:eastAsia="仿宋_GB2312"/>
                <w:color w:val="auto"/>
                <w:kern w:val="0"/>
                <w:sz w:val="22"/>
              </w:rPr>
            </w:pPr>
            <w:r>
              <w:rPr>
                <w:rFonts w:hint="eastAsia" w:ascii="仿宋_GB2312" w:hAnsi="宋体" w:eastAsia="仿宋_GB2312" w:cs="宋体"/>
                <w:color w:val="auto"/>
                <w:kern w:val="0"/>
                <w:sz w:val="22"/>
              </w:rPr>
              <w:t>活动安保方案及未出现安全责任事故说明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医疗保障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制定严密的医疗方案，配备足够的医护人员和医疗点，无医疗责任事故。每一项不完善扣1分。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活动医保方案及未出现安全责任事故说明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竞赛保障</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w:t>
            </w:r>
            <w:r>
              <w:rPr>
                <w:rFonts w:hint="eastAsia" w:ascii="仿宋_GB2312" w:hAnsi="TimesNewRomanPSMT" w:eastAsia="仿宋_GB2312" w:cs="宋体"/>
                <w:color w:val="auto"/>
                <w:kern w:val="0"/>
                <w:sz w:val="22"/>
              </w:rPr>
              <w:t>2</w:t>
            </w:r>
            <w:r>
              <w:rPr>
                <w:rFonts w:hint="eastAsia" w:ascii="仿宋_GB2312" w:hAnsi="宋体" w:eastAsia="仿宋_GB2312" w:cs="宋体"/>
                <w:color w:val="auto"/>
                <w:kern w:val="0"/>
                <w:sz w:val="22"/>
              </w:rPr>
              <w:t>分）</w:t>
            </w:r>
          </w:p>
        </w:tc>
        <w:tc>
          <w:tcPr>
            <w:tcW w:w="3402"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制定严密的竞赛方案，配备足够的裁判和志愿者，无竞赛责任事故。每一项不完善扣1分。</w:t>
            </w:r>
          </w:p>
        </w:tc>
        <w:tc>
          <w:tcPr>
            <w:tcW w:w="1920" w:type="dxa"/>
            <w:noWrap w:val="0"/>
            <w:vAlign w:val="center"/>
          </w:tcPr>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活动竞赛组织方案及未出现安全责任事故说明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7"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5</w:t>
            </w:r>
          </w:p>
        </w:tc>
        <w:tc>
          <w:tcPr>
            <w:tcW w:w="13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赛事</w:t>
            </w:r>
            <w:r>
              <w:rPr>
                <w:rFonts w:ascii="仿宋_GB2312" w:hAnsi="宋体" w:eastAsia="仿宋_GB2312" w:cs="宋体"/>
                <w:color w:val="auto"/>
                <w:kern w:val="0"/>
                <w:sz w:val="22"/>
              </w:rPr>
              <w:t>贡献度</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（1</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赛事活动</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延续性</w:t>
            </w:r>
          </w:p>
          <w:p>
            <w:pPr>
              <w:widowControl/>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3402" w:type="dxa"/>
            <w:noWrap w:val="0"/>
            <w:vAlign w:val="center"/>
          </w:tcPr>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第4届及以上举办得5分；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第3届举办得4分；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第2届举办得3分； </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首届举办得2分;</w:t>
            </w:r>
          </w:p>
          <w:p>
            <w:pPr>
              <w:numPr>
                <w:ilvl w:val="0"/>
                <w:numId w:val="5"/>
              </w:num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附加项：</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对于一次书面签约并确定在我区连续举办5届以上的赛事，首届举办可附加，即1分；</w:t>
            </w:r>
          </w:p>
          <w:p>
            <w:pPr>
              <w:spacing w:line="240" w:lineRule="exact"/>
              <w:rPr>
                <w:rFonts w:ascii="宋体" w:hAnsi="宋体" w:cs="宋体"/>
                <w:color w:val="auto"/>
                <w:sz w:val="22"/>
              </w:rPr>
            </w:pPr>
            <w:r>
              <w:rPr>
                <w:rFonts w:ascii="仿宋_GB2312" w:hAnsi="宋体" w:eastAsia="仿宋_GB2312" w:cs="宋体"/>
                <w:color w:val="auto"/>
                <w:kern w:val="0"/>
                <w:sz w:val="22"/>
              </w:rPr>
              <w:t>对于一次书面签约并确定在我区连续举办3届以上的，首届举办可附加0.5分。</w:t>
            </w:r>
          </w:p>
        </w:tc>
        <w:tc>
          <w:tcPr>
            <w:tcW w:w="1920" w:type="dxa"/>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1.历届赛事活动举办的证明材料或签约书；</w:t>
            </w:r>
          </w:p>
          <w:p>
            <w:pPr>
              <w:spacing w:line="240" w:lineRule="exact"/>
              <w:rPr>
                <w:rFonts w:ascii="宋体" w:hAnsi="宋体" w:cs="宋体"/>
                <w:color w:val="auto"/>
                <w:sz w:val="22"/>
              </w:rPr>
            </w:pPr>
            <w:r>
              <w:rPr>
                <w:rFonts w:ascii="仿宋_GB2312" w:hAnsi="宋体" w:eastAsia="仿宋_GB2312" w:cs="宋体"/>
                <w:color w:val="auto"/>
                <w:kern w:val="0"/>
                <w:sz w:val="22"/>
              </w:rPr>
              <w:t>2.累计不超过5分。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3"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社会经济效益</w:t>
            </w:r>
          </w:p>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（10分）</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对第三方专业机构做出的赛事社会经济效益报告评分：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90分以上得10分；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80-89分得9分；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70-79分得8分；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60-69分得7分；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50-59分得6分；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40-49分得5分；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30-39分得3分；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0-29分得1分；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无报告不得分。</w:t>
            </w:r>
          </w:p>
        </w:tc>
        <w:tc>
          <w:tcPr>
            <w:tcW w:w="1920" w:type="dxa"/>
            <w:noWrap w:val="0"/>
            <w:vAlign w:val="center"/>
          </w:tcPr>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出具第三方赛事评估报告内容涵盖：</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1.经济效益，包括直接、间接经济效益，税收收入，第三产业（服务业）；</w:t>
            </w:r>
          </w:p>
          <w:p>
            <w:pPr>
              <w:widowControl/>
              <w:spacing w:line="240" w:lineRule="exact"/>
              <w:rPr>
                <w:rFonts w:hint="eastAsia" w:ascii="仿宋_GB2312" w:hAnsi="宋体" w:eastAsia="仿宋_GB2312" w:cs="宋体"/>
                <w:color w:val="auto"/>
                <w:kern w:val="0"/>
                <w:sz w:val="22"/>
              </w:rPr>
            </w:pPr>
            <w:r>
              <w:rPr>
                <w:rFonts w:hint="eastAsia" w:ascii="仿宋_GB2312" w:hAnsi="宋体" w:eastAsia="仿宋_GB2312" w:cs="宋体"/>
                <w:color w:val="auto"/>
                <w:kern w:val="0"/>
                <w:sz w:val="22"/>
              </w:rPr>
              <w:t>2.拉动经济效益，包括 吃、住、行、游、购、娱 六要素等；</w:t>
            </w:r>
          </w:p>
          <w:p>
            <w:pPr>
              <w:widowControl/>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3.奖金设置总额，赞助商（数量、赞助商中世界500强企业和上市公司数量、赞助总金额）。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169"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6</w:t>
            </w:r>
          </w:p>
        </w:tc>
        <w:tc>
          <w:tcPr>
            <w:tcW w:w="1308" w:type="dxa"/>
            <w:vMerge w:val="restart"/>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扣分条款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（累计扣分不超过10分）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参赛人员规范</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比赛过程中参赛人员有下列行为的，应视情况给予扣分，每违反一条扣1分。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（1）弄虚作假等虚假比赛行为；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（2）通过行贿受贿、自行或指使运动员消极比赛、违规干扰比赛进程等实现操纵比赛或影响比赛结果的行为；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（3）以诋毁、谩骂、吐唾沫、打手势等不文明、不道德的言行侮辱、侵犯对方相关人员，以推、撞、击、打、踢、踩或其他暴力方式故意伤害对方相关人员等行为；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（4）以占据场地等形式故意干扰、阻碍其他运动员比赛，干扰执裁，不服从判罚，攻击裁判员，拒绝领奖，不尊重观众或煽动观众干扰比赛等扰乱赛场秩序的行为；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（5）为谋取不正当比赛成绩或不正当利益，给予他人财物或非法索取、收受他人财物等行为；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（6）无故弃权或停赛、罢赛，或在赛事活动期间酗酒、赌博、闹事等行为；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（7）向媒体散布不实或不负责任的言论等行为；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（8）因疏忽或监管不力造成重大事故或严重不良社会影响的行为；</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（9）其他违背体育道德、违反公序良俗、违反赛风赛纪、造成不良社会影响或违法的言行。</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0" w:hRule="atLeast"/>
          <w:jc w:val="center"/>
        </w:trPr>
        <w:tc>
          <w:tcPr>
            <w:tcW w:w="1169"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p>
        </w:tc>
        <w:tc>
          <w:tcPr>
            <w:tcW w:w="1308"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auto"/>
                <w:kern w:val="0"/>
                <w:sz w:val="22"/>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违规事件</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赛区发生以下违规事件，根据事件严重性给予扣分：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一、轻微违规，扣2分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（1）未能提供符合要求的竞赛场地(馆)、竞赛器材；</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（2）组委会相关机构设置不健全；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（3）赛事组织和安全工作方案不完善。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二、一般违规，扣4分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（1）受到警告处分，拒绝整改或未能进行整改的；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（2）竞赛组织工作违背公开、公正、公平的竞赛原则，存在弄虚作假比赛和违背体育精神的行为的；</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（3）发生影响社会和公共安全以及体育赛事安全事件，造成较大社会影响的。</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由</w:t>
            </w:r>
            <w:r>
              <w:rPr>
                <w:rFonts w:hint="eastAsia" w:ascii="仿宋_GB2312" w:hAnsi="宋体" w:eastAsia="仿宋_GB2312" w:cs="宋体"/>
                <w:color w:val="auto"/>
                <w:kern w:val="0"/>
                <w:sz w:val="22"/>
                <w:lang w:eastAsia="zh-CN"/>
              </w:rPr>
              <w:t>湖里区文化和旅游局</w:t>
            </w:r>
            <w:r>
              <w:rPr>
                <w:rFonts w:hint="eastAsia" w:ascii="仿宋_GB2312" w:hAnsi="宋体" w:eastAsia="仿宋_GB2312" w:cs="宋体"/>
                <w:color w:val="auto"/>
                <w:kern w:val="0"/>
                <w:sz w:val="22"/>
              </w:rPr>
              <w:t>监督管理，根据调查及接收到的信息评分。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1169"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7</w:t>
            </w:r>
          </w:p>
        </w:tc>
        <w:tc>
          <w:tcPr>
            <w:tcW w:w="1308" w:type="dxa"/>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加分条款</w:t>
            </w:r>
          </w:p>
          <w:p>
            <w:pPr>
              <w:widowControl/>
              <w:spacing w:line="240" w:lineRule="exact"/>
              <w:jc w:val="center"/>
              <w:rPr>
                <w:rFonts w:hint="eastAsia" w:ascii="仿宋_GB2312" w:hAnsi="宋体" w:eastAsia="仿宋_GB2312" w:cs="宋体"/>
                <w:color w:val="auto"/>
                <w:kern w:val="0"/>
                <w:sz w:val="22"/>
              </w:rPr>
            </w:pPr>
            <w:r>
              <w:rPr>
                <w:rFonts w:ascii="仿宋_GB2312" w:hAnsi="宋体" w:eastAsia="仿宋_GB2312" w:cs="宋体"/>
                <w:color w:val="auto"/>
                <w:kern w:val="0"/>
                <w:sz w:val="22"/>
              </w:rPr>
              <w:t>（累计</w:t>
            </w:r>
            <w:r>
              <w:rPr>
                <w:rFonts w:hint="eastAsia" w:ascii="仿宋_GB2312" w:hAnsi="宋体" w:eastAsia="仿宋_GB2312" w:cs="宋体"/>
                <w:color w:val="auto"/>
                <w:kern w:val="0"/>
                <w:sz w:val="22"/>
              </w:rPr>
              <w:t>加</w:t>
            </w:r>
            <w:r>
              <w:rPr>
                <w:rFonts w:ascii="仿宋_GB2312" w:hAnsi="宋体" w:eastAsia="仿宋_GB2312" w:cs="宋体"/>
                <w:color w:val="auto"/>
                <w:kern w:val="0"/>
                <w:sz w:val="22"/>
              </w:rPr>
              <w:t>分不超过</w:t>
            </w:r>
            <w:r>
              <w:rPr>
                <w:rFonts w:hint="eastAsia" w:ascii="仿宋_GB2312" w:hAnsi="宋体" w:eastAsia="仿宋_GB2312" w:cs="宋体"/>
                <w:color w:val="auto"/>
                <w:kern w:val="0"/>
                <w:sz w:val="22"/>
              </w:rPr>
              <w:t>5</w:t>
            </w:r>
            <w:r>
              <w:rPr>
                <w:rFonts w:ascii="仿宋_GB2312" w:hAnsi="宋体" w:eastAsia="仿宋_GB2312" w:cs="宋体"/>
                <w:color w:val="auto"/>
                <w:kern w:val="0"/>
                <w:sz w:val="22"/>
              </w:rPr>
              <w:t>分）</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 w:val="22"/>
              </w:rPr>
            </w:pPr>
            <w:r>
              <w:rPr>
                <w:rFonts w:hint="eastAsia" w:ascii="仿宋_GB2312" w:hAnsi="宋体" w:eastAsia="仿宋_GB2312" w:cs="宋体"/>
                <w:color w:val="auto"/>
                <w:kern w:val="0"/>
                <w:sz w:val="22"/>
              </w:rPr>
              <w:t>活动组织情况</w:t>
            </w:r>
          </w:p>
        </w:tc>
        <w:tc>
          <w:tcPr>
            <w:tcW w:w="3402"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赛事各方主体应当合理履行义务，保证赛事的顺利进行。办赛各方每满足一项加1分。</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（1）大型或重要体育赛事活动组委会应当建立党组织或临时党组织，开展党的活动，发挥党建对体育赛事活动的政治引领作用。</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2）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3）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p>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（4）协办方应当确保其提供的产品、设施或服务的质量和安全。</w:t>
            </w:r>
            <w:r>
              <w:rPr>
                <w:rFonts w:ascii="仿宋_GB2312" w:hAnsi="宋体" w:eastAsia="仿宋_GB2312" w:cs="宋体"/>
                <w:color w:val="auto"/>
                <w:kern w:val="0"/>
                <w:sz w:val="22"/>
              </w:rPr>
              <w:t>场地空间、器材提供方或管理者应当尽到安全保障义务，遇有突发情况在力所能及的范围内协助承担应急救援等救助任务。</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（5）赛事有创新举措或获评国际、国家、省、市级奖项。</w:t>
            </w:r>
          </w:p>
        </w:tc>
        <w:tc>
          <w:tcPr>
            <w:tcW w:w="1920" w:type="dxa"/>
            <w:noWrap w:val="0"/>
            <w:vAlign w:val="center"/>
          </w:tcPr>
          <w:p>
            <w:pPr>
              <w:spacing w:line="240" w:lineRule="exact"/>
              <w:rPr>
                <w:rFonts w:ascii="仿宋_GB2312" w:hAnsi="宋体" w:eastAsia="仿宋_GB2312" w:cs="宋体"/>
                <w:color w:val="auto"/>
                <w:kern w:val="0"/>
                <w:sz w:val="22"/>
              </w:rPr>
            </w:pPr>
            <w:r>
              <w:rPr>
                <w:rFonts w:hint="eastAsia" w:ascii="仿宋_GB2312" w:hAnsi="宋体" w:eastAsia="仿宋_GB2312" w:cs="宋体"/>
                <w:color w:val="auto"/>
                <w:kern w:val="0"/>
                <w:sz w:val="22"/>
              </w:rPr>
              <w:t>办赛各方提供赛事开展相关文件，由文旅局监督评价是否达到加分标准。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9256" w:type="dxa"/>
            <w:gridSpan w:val="5"/>
            <w:tcBorders>
              <w:left w:val="single" w:color="auto" w:sz="4" w:space="0"/>
            </w:tcBorders>
            <w:noWrap w:val="0"/>
            <w:vAlign w:val="center"/>
          </w:tcPr>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 xml:space="preserve">补充说明 </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1.如出现严重违规则一票否决：</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（1）因赛事组织和安全等工作疏漏，导致赛场比赛秩序严重混乱不能正常进行比赛的；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（2）发生危害社会和公共安全以及体育赛事安全事件，造成严重社会影响的。</w:t>
            </w:r>
          </w:p>
          <w:p>
            <w:pPr>
              <w:spacing w:line="240" w:lineRule="exact"/>
              <w:rPr>
                <w:rFonts w:ascii="仿宋_GB2312" w:hAnsi="宋体" w:eastAsia="仿宋_GB2312" w:cs="宋体"/>
                <w:color w:val="auto"/>
                <w:kern w:val="0"/>
                <w:sz w:val="22"/>
              </w:rPr>
            </w:pPr>
            <w:r>
              <w:rPr>
                <w:rFonts w:ascii="仿宋_GB2312" w:hAnsi="宋体" w:eastAsia="仿宋_GB2312" w:cs="宋体"/>
                <w:color w:val="auto"/>
                <w:kern w:val="0"/>
                <w:sz w:val="22"/>
              </w:rPr>
              <w:t>2.参赛人员包括运动员、裁判员、教练员。</w:t>
            </w:r>
          </w:p>
        </w:tc>
      </w:tr>
    </w:tbl>
    <w:p>
      <w:pPr>
        <w:rPr>
          <w:rFonts w:ascii="Times New Roman" w:hAnsi="Times New Roman"/>
          <w:color w:val="auto"/>
          <w:sz w:val="31"/>
          <w:szCs w:val="31"/>
        </w:rPr>
      </w:pPr>
      <w:r>
        <w:rPr>
          <w:rFonts w:ascii="黑体" w:hAnsi="黑体" w:eastAsia="黑体" w:cs="黑体"/>
          <w:color w:val="auto"/>
          <w:sz w:val="32"/>
          <w:szCs w:val="32"/>
        </w:rPr>
        <w:br w:type="page"/>
      </w:r>
      <w:bookmarkStart w:id="152" w:name="_Toc167402281"/>
      <w:bookmarkStart w:id="153" w:name="_Toc7248"/>
      <w:bookmarkStart w:id="154" w:name="_Toc31071"/>
      <w:bookmarkStart w:id="155" w:name="_Toc28831"/>
      <w:r>
        <w:rPr>
          <w:rFonts w:hint="eastAsia" w:ascii="仿宋_GB2312" w:hAnsi="仿宋_GB2312" w:eastAsia="仿宋_GB2312" w:cs="仿宋_GB2312"/>
          <w:color w:val="auto"/>
          <w:sz w:val="32"/>
          <w:szCs w:val="32"/>
        </w:rPr>
        <w:t>附件7</w:t>
      </w:r>
      <w:bookmarkEnd w:id="152"/>
    </w:p>
    <w:p>
      <w:pPr>
        <w:snapToGrid w:val="0"/>
        <w:spacing w:line="780" w:lineRule="exact"/>
        <w:jc w:val="center"/>
        <w:rPr>
          <w:rFonts w:ascii="方正小标宋简体" w:hAnsi="Times New Roman" w:eastAsia="方正小标宋简体"/>
          <w:b/>
          <w:color w:val="auto"/>
          <w:sz w:val="52"/>
          <w:szCs w:val="52"/>
        </w:rPr>
      </w:pPr>
      <w:r>
        <w:rPr>
          <w:rFonts w:hint="eastAsia" w:ascii="方正小标宋简体" w:hAnsi="Times New Roman" w:eastAsia="方正小标宋简体"/>
          <w:b/>
          <w:color w:val="auto"/>
          <w:sz w:val="52"/>
          <w:szCs w:val="52"/>
        </w:rPr>
        <w:t>厦门市湖里区体育赛事补助</w:t>
      </w:r>
    </w:p>
    <w:p>
      <w:pPr>
        <w:snapToGrid w:val="0"/>
        <w:spacing w:line="780" w:lineRule="exact"/>
        <w:jc w:val="center"/>
        <w:rPr>
          <w:rFonts w:ascii="方正小标宋简体" w:hAnsi="Times New Roman" w:eastAsia="方正小标宋简体"/>
          <w:b/>
          <w:color w:val="auto"/>
          <w:sz w:val="52"/>
          <w:szCs w:val="52"/>
        </w:rPr>
      </w:pPr>
      <w:r>
        <w:rPr>
          <w:rFonts w:hint="eastAsia" w:ascii="方正小标宋简体" w:hAnsi="Times New Roman" w:eastAsia="方正小标宋简体"/>
          <w:b/>
          <w:color w:val="auto"/>
          <w:sz w:val="52"/>
          <w:szCs w:val="52"/>
        </w:rPr>
        <w:t>申报表</w:t>
      </w:r>
    </w:p>
    <w:p>
      <w:pPr>
        <w:snapToGrid w:val="0"/>
        <w:spacing w:line="590" w:lineRule="exact"/>
        <w:jc w:val="center"/>
        <w:rPr>
          <w:rFonts w:hint="eastAsia" w:ascii="仿宋_GB2312" w:hAnsi="仿宋_GB2312"/>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eastAsia="仿宋_GB2312"/>
          <w:color w:val="auto"/>
          <w:sz w:val="31"/>
          <w:szCs w:val="31"/>
        </w:rPr>
      </w:pPr>
      <w:r>
        <w:rPr>
          <w:rFonts w:ascii="Times New Roman" w:hAnsi="仿宋_GB2312"/>
          <w:color w:val="auto"/>
          <w:sz w:val="31"/>
          <w:szCs w:val="31"/>
        </w:rPr>
        <w:t>赛</w:t>
      </w:r>
      <w:r>
        <w:rPr>
          <w:rFonts w:ascii="Times New Roman" w:hAnsi="Times New Roman" w:eastAsia="仿宋_GB2312"/>
          <w:color w:val="auto"/>
          <w:sz w:val="31"/>
          <w:szCs w:val="31"/>
        </w:rPr>
        <w:t xml:space="preserve"> </w:t>
      </w:r>
      <w:r>
        <w:rPr>
          <w:rFonts w:ascii="Times New Roman" w:hAnsi="仿宋_GB2312"/>
          <w:color w:val="auto"/>
          <w:sz w:val="31"/>
          <w:szCs w:val="31"/>
        </w:rPr>
        <w:t>事</w:t>
      </w:r>
      <w:r>
        <w:rPr>
          <w:rFonts w:ascii="Times New Roman" w:hAnsi="Times New Roman" w:eastAsia="仿宋_GB2312"/>
          <w:color w:val="auto"/>
          <w:sz w:val="31"/>
          <w:szCs w:val="31"/>
        </w:rPr>
        <w:t xml:space="preserve"> </w:t>
      </w:r>
      <w:r>
        <w:rPr>
          <w:rFonts w:ascii="Times New Roman" w:hAnsi="仿宋_GB2312"/>
          <w:color w:val="auto"/>
          <w:sz w:val="31"/>
          <w:szCs w:val="31"/>
        </w:rPr>
        <w:t>名</w:t>
      </w:r>
      <w:r>
        <w:rPr>
          <w:rFonts w:ascii="Times New Roman" w:hAnsi="Times New Roman" w:eastAsia="仿宋_GB2312"/>
          <w:color w:val="auto"/>
          <w:sz w:val="31"/>
          <w:szCs w:val="31"/>
        </w:rPr>
        <w:t xml:space="preserve"> </w:t>
      </w:r>
      <w:r>
        <w:rPr>
          <w:rFonts w:ascii="Times New Roman" w:hAnsi="仿宋_GB2312"/>
          <w:color w:val="auto"/>
          <w:sz w:val="31"/>
          <w:szCs w:val="31"/>
        </w:rPr>
        <w:t>称</w:t>
      </w:r>
      <w:r>
        <w:rPr>
          <w:rFonts w:ascii="Times New Roman" w:hAnsi="Times New Roman" w:eastAsia="仿宋_GB2312"/>
          <w:color w:val="auto"/>
          <w:sz w:val="31"/>
          <w:szCs w:val="31"/>
        </w:rPr>
        <w:t>________________________________</w:t>
      </w:r>
    </w:p>
    <w:p>
      <w:pPr>
        <w:snapToGrid w:val="0"/>
        <w:spacing w:line="220" w:lineRule="exact"/>
        <w:jc w:val="center"/>
        <w:rPr>
          <w:rFonts w:ascii="Times New Roman" w:hAnsi="Times New Roman" w:eastAsia="仿宋_GB2312"/>
          <w:color w:val="auto"/>
          <w:sz w:val="31"/>
          <w:szCs w:val="31"/>
        </w:rPr>
      </w:pPr>
    </w:p>
    <w:p>
      <w:pPr>
        <w:snapToGrid w:val="0"/>
        <w:spacing w:line="590" w:lineRule="exact"/>
        <w:jc w:val="center"/>
        <w:rPr>
          <w:rFonts w:ascii="Times New Roman" w:hAnsi="Times New Roman" w:eastAsia="仿宋_GB2312"/>
          <w:color w:val="auto"/>
          <w:sz w:val="31"/>
          <w:szCs w:val="31"/>
        </w:rPr>
      </w:pPr>
      <w:r>
        <w:rPr>
          <w:rFonts w:ascii="Times New Roman" w:hAnsi="仿宋_GB2312"/>
          <w:color w:val="auto"/>
          <w:sz w:val="31"/>
          <w:szCs w:val="31"/>
        </w:rPr>
        <w:t>赛</w:t>
      </w:r>
      <w:r>
        <w:rPr>
          <w:rFonts w:ascii="Times New Roman" w:hAnsi="Times New Roman" w:eastAsia="仿宋_GB2312"/>
          <w:color w:val="auto"/>
          <w:sz w:val="31"/>
          <w:szCs w:val="31"/>
        </w:rPr>
        <w:t xml:space="preserve"> </w:t>
      </w:r>
      <w:r>
        <w:rPr>
          <w:rFonts w:ascii="Times New Roman" w:hAnsi="仿宋_GB2312"/>
          <w:color w:val="auto"/>
          <w:sz w:val="31"/>
          <w:szCs w:val="31"/>
        </w:rPr>
        <w:t>事</w:t>
      </w:r>
      <w:r>
        <w:rPr>
          <w:rFonts w:ascii="Times New Roman" w:hAnsi="Times New Roman" w:eastAsia="仿宋_GB2312"/>
          <w:color w:val="auto"/>
          <w:sz w:val="31"/>
          <w:szCs w:val="31"/>
        </w:rPr>
        <w:t xml:space="preserve"> </w:t>
      </w:r>
      <w:r>
        <w:rPr>
          <w:rFonts w:ascii="Times New Roman" w:hAnsi="仿宋_GB2312"/>
          <w:color w:val="auto"/>
          <w:sz w:val="31"/>
          <w:szCs w:val="31"/>
        </w:rPr>
        <w:t>类</w:t>
      </w:r>
      <w:r>
        <w:rPr>
          <w:rFonts w:ascii="Times New Roman" w:hAnsi="Times New Roman" w:eastAsia="仿宋_GB2312"/>
          <w:color w:val="auto"/>
          <w:sz w:val="31"/>
          <w:szCs w:val="31"/>
        </w:rPr>
        <w:t xml:space="preserve"> </w:t>
      </w:r>
      <w:r>
        <w:rPr>
          <w:rFonts w:ascii="Times New Roman" w:hAnsi="仿宋_GB2312"/>
          <w:color w:val="auto"/>
          <w:sz w:val="31"/>
          <w:szCs w:val="31"/>
        </w:rPr>
        <w:t>别</w:t>
      </w:r>
      <w:r>
        <w:rPr>
          <w:rFonts w:ascii="Times New Roman" w:hAnsi="Times New Roman" w:eastAsia="仿宋_GB2312"/>
          <w:color w:val="auto"/>
          <w:sz w:val="31"/>
          <w:szCs w:val="31"/>
        </w:rPr>
        <w:t>________________________________</w:t>
      </w:r>
    </w:p>
    <w:p>
      <w:pPr>
        <w:snapToGrid w:val="0"/>
        <w:spacing w:line="220" w:lineRule="exact"/>
        <w:jc w:val="center"/>
        <w:rPr>
          <w:rFonts w:ascii="Times New Roman" w:hAnsi="Times New Roman" w:eastAsia="仿宋_GB2312"/>
          <w:color w:val="auto"/>
          <w:sz w:val="31"/>
          <w:szCs w:val="31"/>
        </w:rPr>
      </w:pPr>
    </w:p>
    <w:p>
      <w:pPr>
        <w:snapToGrid w:val="0"/>
        <w:spacing w:line="590" w:lineRule="exact"/>
        <w:jc w:val="center"/>
        <w:rPr>
          <w:rFonts w:ascii="Times New Roman" w:hAnsi="Times New Roman" w:eastAsia="仿宋_GB2312"/>
          <w:color w:val="auto"/>
          <w:sz w:val="31"/>
          <w:szCs w:val="31"/>
        </w:rPr>
      </w:pPr>
      <w:r>
        <w:rPr>
          <w:rFonts w:ascii="Times New Roman" w:hAnsi="仿宋_GB2312"/>
          <w:color w:val="auto"/>
          <w:sz w:val="31"/>
          <w:szCs w:val="31"/>
        </w:rPr>
        <w:t>申</w:t>
      </w:r>
      <w:r>
        <w:rPr>
          <w:rFonts w:ascii="Times New Roman" w:hAnsi="Times New Roman" w:eastAsia="仿宋_GB2312"/>
          <w:color w:val="auto"/>
          <w:sz w:val="31"/>
          <w:szCs w:val="31"/>
        </w:rPr>
        <w:t xml:space="preserve"> </w:t>
      </w:r>
      <w:r>
        <w:rPr>
          <w:rFonts w:ascii="Times New Roman" w:hAnsi="仿宋_GB2312"/>
          <w:color w:val="auto"/>
          <w:sz w:val="31"/>
          <w:szCs w:val="31"/>
        </w:rPr>
        <w:t>报</w:t>
      </w:r>
      <w:r>
        <w:rPr>
          <w:rFonts w:ascii="Times New Roman" w:hAnsi="Times New Roman" w:eastAsia="仿宋_GB2312"/>
          <w:color w:val="auto"/>
          <w:sz w:val="31"/>
          <w:szCs w:val="31"/>
        </w:rPr>
        <w:t xml:space="preserve"> </w:t>
      </w:r>
      <w:r>
        <w:rPr>
          <w:rFonts w:ascii="Times New Roman" w:hAnsi="仿宋_GB2312"/>
          <w:color w:val="auto"/>
          <w:sz w:val="31"/>
          <w:szCs w:val="31"/>
        </w:rPr>
        <w:t>单</w:t>
      </w:r>
      <w:r>
        <w:rPr>
          <w:rFonts w:ascii="Times New Roman" w:hAnsi="Times New Roman" w:eastAsia="仿宋_GB2312"/>
          <w:color w:val="auto"/>
          <w:sz w:val="31"/>
          <w:szCs w:val="31"/>
        </w:rPr>
        <w:t xml:space="preserve"> </w:t>
      </w:r>
      <w:r>
        <w:rPr>
          <w:rFonts w:ascii="Times New Roman" w:hAnsi="仿宋_GB2312"/>
          <w:color w:val="auto"/>
          <w:sz w:val="31"/>
          <w:szCs w:val="31"/>
        </w:rPr>
        <w:t>位</w:t>
      </w:r>
      <w:r>
        <w:rPr>
          <w:rFonts w:ascii="Times New Roman" w:hAnsi="Times New Roman" w:eastAsia="仿宋_GB2312"/>
          <w:color w:val="auto"/>
          <w:sz w:val="31"/>
          <w:szCs w:val="31"/>
        </w:rPr>
        <w:t>________________________________</w:t>
      </w:r>
    </w:p>
    <w:p>
      <w:pPr>
        <w:snapToGrid w:val="0"/>
        <w:spacing w:line="220" w:lineRule="exact"/>
        <w:jc w:val="center"/>
        <w:rPr>
          <w:rFonts w:ascii="Times New Roman" w:hAnsi="Times New Roman" w:eastAsia="仿宋_GB2312"/>
          <w:color w:val="auto"/>
          <w:sz w:val="31"/>
          <w:szCs w:val="31"/>
        </w:rPr>
      </w:pPr>
    </w:p>
    <w:p>
      <w:pPr>
        <w:snapToGrid w:val="0"/>
        <w:spacing w:line="590" w:lineRule="exact"/>
        <w:jc w:val="center"/>
        <w:rPr>
          <w:rFonts w:ascii="Times New Roman" w:hAnsi="Times New Roman" w:eastAsia="仿宋_GB2312"/>
          <w:color w:val="auto"/>
          <w:sz w:val="31"/>
          <w:szCs w:val="31"/>
        </w:rPr>
      </w:pPr>
      <w:r>
        <w:rPr>
          <w:rFonts w:ascii="Times New Roman" w:hAnsi="仿宋_GB2312"/>
          <w:color w:val="auto"/>
          <w:spacing w:val="20"/>
          <w:sz w:val="31"/>
          <w:szCs w:val="31"/>
        </w:rPr>
        <w:t>法定代表</w:t>
      </w:r>
      <w:r>
        <w:rPr>
          <w:rFonts w:ascii="Times New Roman" w:hAnsi="仿宋_GB2312"/>
          <w:color w:val="auto"/>
          <w:sz w:val="31"/>
          <w:szCs w:val="31"/>
        </w:rPr>
        <w:t>人</w:t>
      </w:r>
      <w:r>
        <w:rPr>
          <w:rFonts w:ascii="Times New Roman" w:hAnsi="Times New Roman" w:eastAsia="仿宋_GB2312"/>
          <w:color w:val="auto"/>
          <w:sz w:val="31"/>
          <w:szCs w:val="31"/>
        </w:rPr>
        <w:t>________________________________</w:t>
      </w:r>
    </w:p>
    <w:p>
      <w:pPr>
        <w:snapToGrid w:val="0"/>
        <w:spacing w:line="220" w:lineRule="exact"/>
        <w:jc w:val="center"/>
        <w:rPr>
          <w:rFonts w:ascii="Times New Roman" w:hAnsi="Times New Roman" w:eastAsia="仿宋_GB2312"/>
          <w:color w:val="auto"/>
          <w:sz w:val="31"/>
          <w:szCs w:val="31"/>
        </w:rPr>
      </w:pPr>
    </w:p>
    <w:p>
      <w:pPr>
        <w:snapToGrid w:val="0"/>
        <w:spacing w:line="590" w:lineRule="exact"/>
        <w:jc w:val="center"/>
        <w:rPr>
          <w:rFonts w:ascii="Times New Roman" w:hAnsi="Times New Roman" w:eastAsia="仿宋_GB2312"/>
          <w:color w:val="auto"/>
          <w:sz w:val="31"/>
          <w:szCs w:val="31"/>
        </w:rPr>
      </w:pPr>
      <w:r>
        <w:rPr>
          <w:rFonts w:ascii="Times New Roman" w:hAnsi="仿宋_GB2312"/>
          <w:color w:val="auto"/>
          <w:sz w:val="31"/>
          <w:szCs w:val="31"/>
        </w:rPr>
        <w:t>填</w:t>
      </w:r>
      <w:r>
        <w:rPr>
          <w:rFonts w:ascii="Times New Roman" w:hAnsi="Times New Roman" w:eastAsia="仿宋_GB2312"/>
          <w:color w:val="auto"/>
          <w:sz w:val="31"/>
          <w:szCs w:val="31"/>
        </w:rPr>
        <w:t xml:space="preserve"> </w:t>
      </w:r>
      <w:r>
        <w:rPr>
          <w:rFonts w:ascii="Times New Roman" w:hAnsi="仿宋_GB2312"/>
          <w:color w:val="auto"/>
          <w:sz w:val="31"/>
          <w:szCs w:val="31"/>
        </w:rPr>
        <w:t>表</w:t>
      </w:r>
      <w:r>
        <w:rPr>
          <w:rFonts w:ascii="Times New Roman" w:hAnsi="Times New Roman" w:eastAsia="仿宋_GB2312"/>
          <w:color w:val="auto"/>
          <w:sz w:val="31"/>
          <w:szCs w:val="31"/>
        </w:rPr>
        <w:t xml:space="preserve"> </w:t>
      </w:r>
      <w:r>
        <w:rPr>
          <w:rFonts w:ascii="Times New Roman" w:hAnsi="仿宋_GB2312"/>
          <w:color w:val="auto"/>
          <w:sz w:val="31"/>
          <w:szCs w:val="31"/>
        </w:rPr>
        <w:t>日</w:t>
      </w:r>
      <w:r>
        <w:rPr>
          <w:rFonts w:ascii="Times New Roman" w:hAnsi="Times New Roman" w:eastAsia="仿宋_GB2312"/>
          <w:color w:val="auto"/>
          <w:sz w:val="31"/>
          <w:szCs w:val="31"/>
        </w:rPr>
        <w:t xml:space="preserve"> </w:t>
      </w:r>
      <w:r>
        <w:rPr>
          <w:rFonts w:ascii="Times New Roman" w:hAnsi="仿宋_GB2312"/>
          <w:color w:val="auto"/>
          <w:sz w:val="31"/>
          <w:szCs w:val="31"/>
        </w:rPr>
        <w:t>期</w:t>
      </w:r>
      <w:r>
        <w:rPr>
          <w:rFonts w:ascii="Times New Roman" w:hAnsi="Times New Roman" w:eastAsia="仿宋_GB2312"/>
          <w:color w:val="auto"/>
          <w:sz w:val="31"/>
          <w:szCs w:val="31"/>
        </w:rPr>
        <w:t>________________________________</w:t>
      </w:r>
    </w:p>
    <w:p>
      <w:pPr>
        <w:snapToGrid w:val="0"/>
        <w:spacing w:line="590" w:lineRule="exact"/>
        <w:jc w:val="center"/>
        <w:rPr>
          <w:rFonts w:hint="eastAsia" w:ascii="仿宋_GB2312" w:hAnsi="仿宋_GB2312"/>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color w:val="auto"/>
          <w:sz w:val="31"/>
          <w:szCs w:val="31"/>
        </w:rPr>
      </w:pPr>
    </w:p>
    <w:p>
      <w:pPr>
        <w:snapToGrid w:val="0"/>
        <w:spacing w:line="590" w:lineRule="exact"/>
        <w:jc w:val="center"/>
        <w:rPr>
          <w:rFonts w:ascii="Times New Roman" w:hAnsi="Times New Roman"/>
          <w:color w:val="auto"/>
          <w:sz w:val="31"/>
          <w:szCs w:val="31"/>
        </w:rPr>
      </w:pPr>
    </w:p>
    <w:p>
      <w:pPr>
        <w:spacing w:line="500" w:lineRule="exact"/>
        <w:jc w:val="center"/>
        <w:rPr>
          <w:rFonts w:ascii="方正小标宋简体" w:hAnsi="Times New Roman" w:eastAsia="方正小标宋简体"/>
          <w:b/>
          <w:color w:val="auto"/>
          <w:sz w:val="40"/>
          <w:szCs w:val="40"/>
        </w:rPr>
        <w:sectPr>
          <w:pgSz w:w="11906" w:h="16838"/>
          <w:pgMar w:top="1928" w:right="1588" w:bottom="1928" w:left="1588" w:header="851" w:footer="624" w:gutter="0"/>
          <w:cols w:space="720" w:num="1"/>
          <w:docGrid w:type="linesAndChars" w:linePitch="312" w:charSpace="-3850"/>
        </w:sectPr>
      </w:pPr>
    </w:p>
    <w:p>
      <w:pPr>
        <w:spacing w:line="500" w:lineRule="exact"/>
        <w:jc w:val="center"/>
        <w:rPr>
          <w:rFonts w:ascii="方正小标宋简体" w:hAnsi="Times New Roman" w:eastAsia="方正小标宋简体"/>
          <w:b/>
          <w:color w:val="auto"/>
          <w:sz w:val="40"/>
          <w:szCs w:val="40"/>
        </w:rPr>
      </w:pPr>
      <w:r>
        <w:rPr>
          <w:rFonts w:hint="eastAsia" w:ascii="方正小标宋简体" w:hAnsi="Times New Roman" w:eastAsia="方正小标宋简体"/>
          <w:b/>
          <w:color w:val="auto"/>
          <w:sz w:val="40"/>
          <w:szCs w:val="40"/>
        </w:rPr>
        <w:t>填表说明</w:t>
      </w:r>
    </w:p>
    <w:p>
      <w:pPr>
        <w:snapToGrid w:val="0"/>
        <w:spacing w:line="520" w:lineRule="exact"/>
        <w:ind w:firstLine="584" w:firstLineChars="200"/>
        <w:rPr>
          <w:rFonts w:hint="eastAsia" w:ascii="仿宋_GB2312" w:hAnsi="仿宋_GB2312"/>
          <w:snapToGrid w:val="0"/>
          <w:color w:val="auto"/>
          <w:kern w:val="0"/>
          <w:sz w:val="31"/>
          <w:szCs w:val="31"/>
        </w:rPr>
      </w:pPr>
    </w:p>
    <w:p>
      <w:pPr>
        <w:snapToGrid w:val="0"/>
        <w:spacing w:line="520" w:lineRule="exact"/>
        <w:ind w:firstLine="584" w:firstLineChars="200"/>
        <w:rPr>
          <w:rFonts w:hint="eastAsia" w:ascii="仿宋_GB2312" w:hAnsi="仿宋_GB2312" w:cs="仿宋_GB2312"/>
          <w:snapToGrid w:val="0"/>
          <w:color w:val="auto"/>
          <w:kern w:val="0"/>
          <w:sz w:val="31"/>
          <w:szCs w:val="31"/>
        </w:rPr>
      </w:pPr>
      <w:r>
        <w:rPr>
          <w:rFonts w:ascii="仿宋_GB2312" w:hAnsi="仿宋_GB2312" w:cs="仿宋_GB2312"/>
          <w:snapToGrid w:val="0"/>
          <w:color w:val="auto"/>
          <w:kern w:val="0"/>
          <w:sz w:val="31"/>
          <w:szCs w:val="31"/>
        </w:rPr>
        <w:t>一、填写前请认真阅读《厦门市</w:t>
      </w:r>
      <w:r>
        <w:rPr>
          <w:rFonts w:hint="eastAsia" w:ascii="仿宋_GB2312" w:hAnsi="仿宋_GB2312" w:cs="仿宋_GB2312"/>
          <w:snapToGrid w:val="0"/>
          <w:color w:val="auto"/>
          <w:kern w:val="0"/>
          <w:sz w:val="31"/>
          <w:szCs w:val="31"/>
        </w:rPr>
        <w:t>湖里区</w:t>
      </w:r>
      <w:r>
        <w:rPr>
          <w:rFonts w:ascii="仿宋_GB2312" w:hAnsi="仿宋_GB2312" w:cs="仿宋_GB2312"/>
          <w:snapToGrid w:val="0"/>
          <w:color w:val="auto"/>
          <w:kern w:val="0"/>
          <w:sz w:val="31"/>
          <w:szCs w:val="31"/>
        </w:rPr>
        <w:t>体育赛事补助管理办法》，使用计算机直接在word文档上认真如实填写，不要漏填、错填。自行承担由于弄虚作假或填写不当所引起的一切后果与责任。</w:t>
      </w:r>
    </w:p>
    <w:p>
      <w:pPr>
        <w:widowControl/>
        <w:snapToGrid w:val="0"/>
        <w:spacing w:line="520" w:lineRule="exact"/>
        <w:ind w:firstLine="640"/>
        <w:rPr>
          <w:rFonts w:hint="eastAsia" w:ascii="仿宋_GB2312" w:hAnsi="仿宋_GB2312" w:cs="仿宋_GB2312"/>
          <w:snapToGrid w:val="0"/>
          <w:color w:val="auto"/>
          <w:kern w:val="0"/>
          <w:sz w:val="31"/>
          <w:szCs w:val="31"/>
        </w:rPr>
      </w:pPr>
      <w:r>
        <w:rPr>
          <w:rFonts w:ascii="仿宋_GB2312" w:hAnsi="仿宋_GB2312" w:cs="仿宋_GB2312"/>
          <w:snapToGrid w:val="0"/>
          <w:color w:val="auto"/>
          <w:kern w:val="0"/>
          <w:sz w:val="31"/>
          <w:szCs w:val="31"/>
        </w:rPr>
        <w:t>二、申报单位可根据填报内容多少，对表格进行适当调整。填报内容较多的，可以附件形式附申报表后。</w:t>
      </w:r>
    </w:p>
    <w:p>
      <w:pPr>
        <w:snapToGrid w:val="0"/>
        <w:spacing w:line="520" w:lineRule="exact"/>
        <w:ind w:firstLine="584" w:firstLineChars="200"/>
        <w:rPr>
          <w:rFonts w:hint="eastAsia" w:ascii="仿宋_GB2312" w:hAnsi="仿宋_GB2312" w:cs="仿宋_GB2312"/>
          <w:snapToGrid w:val="0"/>
          <w:color w:val="auto"/>
          <w:kern w:val="0"/>
          <w:sz w:val="31"/>
          <w:szCs w:val="31"/>
        </w:rPr>
      </w:pPr>
      <w:r>
        <w:rPr>
          <w:rFonts w:ascii="仿宋_GB2312" w:hAnsi="仿宋_GB2312" w:cs="仿宋_GB2312"/>
          <w:snapToGrid w:val="0"/>
          <w:color w:val="auto"/>
          <w:kern w:val="0"/>
          <w:sz w:val="31"/>
          <w:szCs w:val="31"/>
        </w:rPr>
        <w:t>三、附件要求</w:t>
      </w:r>
    </w:p>
    <w:p>
      <w:pPr>
        <w:snapToGrid w:val="0"/>
        <w:spacing w:line="520" w:lineRule="exact"/>
        <w:ind w:firstLine="584" w:firstLineChars="200"/>
        <w:rPr>
          <w:rFonts w:hint="eastAsia" w:ascii="仿宋_GB2312" w:hAnsi="仿宋_GB2312" w:cs="仿宋_GB2312"/>
          <w:bCs/>
          <w:snapToGrid w:val="0"/>
          <w:color w:val="auto"/>
          <w:kern w:val="0"/>
          <w:sz w:val="31"/>
          <w:szCs w:val="31"/>
        </w:rPr>
      </w:pPr>
      <w:r>
        <w:rPr>
          <w:rFonts w:ascii="仿宋_GB2312" w:hAnsi="仿宋_GB2312" w:cs="仿宋_GB2312"/>
          <w:snapToGrid w:val="0"/>
          <w:color w:val="auto"/>
          <w:kern w:val="0"/>
          <w:sz w:val="31"/>
          <w:szCs w:val="31"/>
        </w:rPr>
        <w:t>（一）根据《厦门市</w:t>
      </w:r>
      <w:r>
        <w:rPr>
          <w:rFonts w:hint="eastAsia" w:ascii="仿宋_GB2312" w:hAnsi="仿宋_GB2312" w:cs="仿宋_GB2312"/>
          <w:snapToGrid w:val="0"/>
          <w:color w:val="auto"/>
          <w:kern w:val="0"/>
          <w:sz w:val="31"/>
          <w:szCs w:val="31"/>
        </w:rPr>
        <w:t>湖里区</w:t>
      </w:r>
      <w:r>
        <w:rPr>
          <w:rFonts w:ascii="仿宋_GB2312" w:hAnsi="仿宋_GB2312" w:cs="仿宋_GB2312"/>
          <w:snapToGrid w:val="0"/>
          <w:color w:val="auto"/>
          <w:kern w:val="0"/>
          <w:sz w:val="31"/>
          <w:szCs w:val="31"/>
        </w:rPr>
        <w:t>体育赛事补助管理办法》</w:t>
      </w:r>
      <w:r>
        <w:rPr>
          <w:rFonts w:ascii="仿宋_GB2312" w:hAnsi="仿宋_GB2312" w:cs="仿宋_GB2312"/>
          <w:bCs/>
          <w:snapToGrid w:val="0"/>
          <w:color w:val="auto"/>
          <w:kern w:val="0"/>
          <w:sz w:val="31"/>
          <w:szCs w:val="31"/>
        </w:rPr>
        <w:t>中规定的申报条件，逐项提供相应的证明材料。</w:t>
      </w:r>
    </w:p>
    <w:p>
      <w:pPr>
        <w:snapToGrid w:val="0"/>
        <w:spacing w:line="520" w:lineRule="exact"/>
        <w:ind w:firstLine="584" w:firstLineChars="200"/>
        <w:rPr>
          <w:rFonts w:hint="eastAsia" w:ascii="仿宋_GB2312" w:hAnsi="仿宋_GB2312" w:cs="仿宋_GB2312"/>
          <w:bCs/>
          <w:color w:val="auto"/>
          <w:sz w:val="32"/>
          <w:szCs w:val="32"/>
        </w:rPr>
      </w:pPr>
      <w:r>
        <w:rPr>
          <w:rFonts w:ascii="仿宋_GB2312" w:hAnsi="仿宋_GB2312" w:cs="仿宋_GB2312"/>
          <w:snapToGrid w:val="0"/>
          <w:color w:val="auto"/>
          <w:kern w:val="0"/>
          <w:sz w:val="31"/>
          <w:szCs w:val="31"/>
        </w:rPr>
        <w:t>（二）</w:t>
      </w:r>
      <w:r>
        <w:rPr>
          <w:rFonts w:ascii="仿宋_GB2312" w:hAnsi="仿宋_GB2312" w:cs="仿宋_GB2312"/>
          <w:color w:val="auto"/>
          <w:sz w:val="32"/>
          <w:szCs w:val="32"/>
        </w:rPr>
        <w:t>提供符合申报条件的</w:t>
      </w:r>
      <w:r>
        <w:rPr>
          <w:rFonts w:ascii="仿宋_GB2312" w:hAnsi="仿宋_GB2312" w:cs="仿宋_GB2312"/>
          <w:bCs/>
          <w:color w:val="auto"/>
          <w:sz w:val="32"/>
          <w:szCs w:val="32"/>
        </w:rPr>
        <w:t>相应证明材料：</w:t>
      </w:r>
    </w:p>
    <w:p>
      <w:pPr>
        <w:snapToGrid w:val="0"/>
        <w:spacing w:line="520" w:lineRule="exact"/>
        <w:ind w:firstLine="604" w:firstLineChars="200"/>
        <w:rPr>
          <w:rFonts w:hint="eastAsia" w:ascii="仿宋_GB2312" w:hAnsi="仿宋_GB2312" w:cs="仿宋_GB2312"/>
          <w:color w:val="auto"/>
          <w:sz w:val="32"/>
          <w:szCs w:val="32"/>
          <w:lang w:val="en"/>
        </w:rPr>
      </w:pPr>
      <w:r>
        <w:rPr>
          <w:rFonts w:ascii="仿宋_GB2312" w:hAnsi="仿宋_GB2312" w:cs="仿宋_GB2312"/>
          <w:bCs/>
          <w:color w:val="auto"/>
          <w:sz w:val="32"/>
          <w:szCs w:val="32"/>
          <w:lang w:val="en"/>
        </w:rPr>
        <w:t>1.</w:t>
      </w:r>
      <w:r>
        <w:rPr>
          <w:rFonts w:ascii="仿宋_GB2312" w:hAnsi="仿宋_GB2312" w:cs="仿宋_GB2312"/>
          <w:color w:val="auto"/>
          <w:sz w:val="32"/>
          <w:szCs w:val="32"/>
        </w:rPr>
        <w:t>申报单位营业执照或法人证书复印件、单位其他经营行政许可的资质证书复印件</w:t>
      </w:r>
      <w:r>
        <w:rPr>
          <w:rFonts w:ascii="仿宋_GB2312" w:hAnsi="仿宋_GB2312" w:cs="仿宋_GB2312"/>
          <w:color w:val="auto"/>
          <w:sz w:val="32"/>
          <w:szCs w:val="32"/>
          <w:lang w:val="en"/>
        </w:rPr>
        <w:t>;</w:t>
      </w:r>
    </w:p>
    <w:p>
      <w:pPr>
        <w:snapToGrid w:val="0"/>
        <w:spacing w:line="520" w:lineRule="exact"/>
        <w:ind w:firstLine="604" w:firstLineChars="200"/>
        <w:rPr>
          <w:rFonts w:hint="eastAsia" w:ascii="仿宋_GB2312" w:hAnsi="仿宋_GB2312" w:cs="仿宋_GB2312"/>
          <w:color w:val="auto"/>
          <w:sz w:val="32"/>
          <w:szCs w:val="32"/>
          <w:lang w:val="en"/>
        </w:rPr>
      </w:pPr>
      <w:r>
        <w:rPr>
          <w:rFonts w:ascii="仿宋_GB2312" w:hAnsi="仿宋_GB2312" w:cs="仿宋_GB2312"/>
          <w:color w:val="auto"/>
          <w:sz w:val="32"/>
          <w:szCs w:val="32"/>
          <w:lang w:val="en"/>
        </w:rPr>
        <w:t>2.单位信用证明（通过“信用中国”网站查询打印信用报告）；</w:t>
      </w:r>
    </w:p>
    <w:p>
      <w:pPr>
        <w:snapToGrid w:val="0"/>
        <w:spacing w:line="520" w:lineRule="exact"/>
        <w:ind w:firstLine="604" w:firstLineChars="200"/>
        <w:rPr>
          <w:rFonts w:hint="eastAsia" w:ascii="仿宋_GB2312" w:hAnsi="仿宋_GB2312" w:cs="仿宋_GB2312"/>
          <w:color w:val="auto"/>
          <w:sz w:val="32"/>
          <w:szCs w:val="32"/>
        </w:rPr>
      </w:pPr>
      <w:r>
        <w:rPr>
          <w:rFonts w:ascii="仿宋_GB2312" w:hAnsi="仿宋_GB2312" w:cs="仿宋_GB2312"/>
          <w:color w:val="auto"/>
          <w:sz w:val="32"/>
          <w:szCs w:val="32"/>
        </w:rPr>
        <w:t>3.赛事举办方案材料（含赛事组织方案、安全工作方案、应急预案、医疗保障方案等）；</w:t>
      </w:r>
    </w:p>
    <w:p>
      <w:pPr>
        <w:snapToGrid w:val="0"/>
        <w:spacing w:line="520" w:lineRule="exact"/>
        <w:ind w:firstLine="604" w:firstLineChars="200"/>
        <w:rPr>
          <w:rFonts w:hint="eastAsia" w:ascii="仿宋_GB2312" w:hAnsi="仿宋_GB2312" w:cs="仿宋_GB2312"/>
          <w:color w:val="auto"/>
          <w:sz w:val="32"/>
          <w:szCs w:val="32"/>
        </w:rPr>
      </w:pPr>
      <w:r>
        <w:rPr>
          <w:rFonts w:ascii="仿宋_GB2312" w:hAnsi="仿宋_GB2312" w:cs="仿宋_GB2312"/>
          <w:color w:val="auto"/>
          <w:sz w:val="32"/>
          <w:szCs w:val="32"/>
        </w:rPr>
        <w:t>4.赛事总结和由第三方机构出具的经费结算报告；</w:t>
      </w:r>
    </w:p>
    <w:p>
      <w:pPr>
        <w:snapToGrid w:val="0"/>
        <w:spacing w:line="520" w:lineRule="exact"/>
        <w:ind w:firstLine="604" w:firstLineChars="200"/>
        <w:rPr>
          <w:rFonts w:hint="eastAsia" w:ascii="仿宋_GB2312" w:hAnsi="仿宋_GB2312" w:cs="仿宋_GB2312"/>
          <w:color w:val="auto"/>
          <w:sz w:val="32"/>
          <w:szCs w:val="32"/>
        </w:rPr>
      </w:pPr>
      <w:r>
        <w:rPr>
          <w:rFonts w:ascii="仿宋_GB2312" w:hAnsi="仿宋_GB2312" w:cs="仿宋_GB2312"/>
          <w:color w:val="auto"/>
          <w:sz w:val="32"/>
          <w:szCs w:val="32"/>
        </w:rPr>
        <w:t>5.</w:t>
      </w:r>
      <w:r>
        <w:rPr>
          <w:rFonts w:hint="eastAsia"/>
          <w:color w:val="auto"/>
        </w:rPr>
        <w:t xml:space="preserve"> </w:t>
      </w:r>
      <w:r>
        <w:rPr>
          <w:rFonts w:hint="eastAsia" w:ascii="仿宋_GB2312" w:hAnsi="仿宋_GB2312" w:cs="仿宋_GB2312"/>
          <w:color w:val="auto"/>
          <w:sz w:val="32"/>
          <w:szCs w:val="32"/>
        </w:rPr>
        <w:t>赛事申报</w:t>
      </w:r>
      <w:r>
        <w:rPr>
          <w:rFonts w:ascii="仿宋_GB2312" w:hAnsi="仿宋_GB2312" w:cs="仿宋_GB2312"/>
          <w:color w:val="auto"/>
          <w:sz w:val="32"/>
          <w:szCs w:val="32"/>
        </w:rPr>
        <w:t>年度财务审计报告；</w:t>
      </w:r>
    </w:p>
    <w:p>
      <w:pPr>
        <w:snapToGrid w:val="0"/>
        <w:spacing w:line="520" w:lineRule="exact"/>
        <w:ind w:firstLine="604" w:firstLineChars="200"/>
        <w:rPr>
          <w:rFonts w:hint="eastAsia" w:ascii="仿宋_GB2312" w:hAnsi="仿宋_GB2312" w:cs="仿宋_GB2312"/>
          <w:color w:val="auto"/>
          <w:sz w:val="32"/>
          <w:szCs w:val="32"/>
        </w:rPr>
      </w:pPr>
      <w:r>
        <w:rPr>
          <w:rFonts w:ascii="仿宋_GB2312" w:hAnsi="仿宋_GB2312" w:cs="仿宋_GB2312"/>
          <w:color w:val="auto"/>
          <w:sz w:val="32"/>
          <w:szCs w:val="32"/>
        </w:rPr>
        <w:t>6.</w:t>
      </w:r>
      <w:r>
        <w:rPr>
          <w:rFonts w:hint="eastAsia"/>
          <w:color w:val="auto"/>
        </w:rPr>
        <w:t xml:space="preserve"> </w:t>
      </w:r>
      <w:r>
        <w:rPr>
          <w:rFonts w:hint="eastAsia" w:ascii="仿宋_GB2312" w:hAnsi="仿宋_GB2312" w:cs="仿宋_GB2312"/>
          <w:color w:val="auto"/>
          <w:sz w:val="32"/>
          <w:szCs w:val="32"/>
        </w:rPr>
        <w:t>赛事申报</w:t>
      </w:r>
      <w:r>
        <w:rPr>
          <w:rFonts w:ascii="仿宋_GB2312" w:hAnsi="仿宋_GB2312" w:cs="仿宋_GB2312"/>
          <w:color w:val="auto"/>
          <w:sz w:val="32"/>
          <w:szCs w:val="32"/>
        </w:rPr>
        <w:t>年度税审报告（或企业所得税年度纳税申报表）;</w:t>
      </w:r>
    </w:p>
    <w:p>
      <w:pPr>
        <w:snapToGrid w:val="0"/>
        <w:spacing w:line="520" w:lineRule="exact"/>
        <w:ind w:firstLine="604" w:firstLineChars="200"/>
        <w:rPr>
          <w:rFonts w:hint="eastAsia" w:ascii="仿宋_GB2312" w:hAnsi="仿宋_GB2312" w:cs="仿宋_GB2312"/>
          <w:snapToGrid w:val="0"/>
          <w:color w:val="auto"/>
          <w:kern w:val="0"/>
          <w:sz w:val="31"/>
          <w:szCs w:val="31"/>
        </w:rPr>
      </w:pPr>
      <w:r>
        <w:rPr>
          <w:rFonts w:ascii="仿宋_GB2312" w:hAnsi="仿宋_GB2312" w:cs="仿宋_GB2312"/>
          <w:color w:val="auto"/>
          <w:sz w:val="32"/>
          <w:szCs w:val="32"/>
        </w:rPr>
        <w:t>7.赛事评分所需要的其他相关材料。</w:t>
      </w:r>
    </w:p>
    <w:p>
      <w:pPr>
        <w:snapToGrid w:val="0"/>
        <w:spacing w:line="520" w:lineRule="exact"/>
        <w:ind w:firstLine="584" w:firstLineChars="200"/>
        <w:rPr>
          <w:rFonts w:hint="eastAsia" w:ascii="仿宋_GB2312" w:hAnsi="仿宋_GB2312" w:cs="仿宋_GB2312"/>
          <w:color w:val="auto"/>
          <w:sz w:val="32"/>
          <w:szCs w:val="32"/>
        </w:rPr>
      </w:pPr>
      <w:r>
        <w:rPr>
          <w:rFonts w:ascii="仿宋_GB2312" w:hAnsi="仿宋_GB2312" w:cs="仿宋_GB2312"/>
          <w:snapToGrid w:val="0"/>
          <w:color w:val="auto"/>
          <w:kern w:val="0"/>
          <w:sz w:val="31"/>
          <w:szCs w:val="31"/>
        </w:rPr>
        <w:t>（三）</w:t>
      </w:r>
      <w:r>
        <w:rPr>
          <w:rFonts w:ascii="仿宋_GB2312" w:hAnsi="仿宋_GB2312" w:cs="仿宋_GB2312"/>
          <w:color w:val="auto"/>
          <w:sz w:val="32"/>
          <w:szCs w:val="32"/>
        </w:rPr>
        <w:t>有获得</w:t>
      </w:r>
      <w:r>
        <w:rPr>
          <w:rFonts w:ascii="仿宋_GB2312" w:hAnsi="仿宋_GB2312" w:cs="仿宋_GB2312"/>
          <w:color w:val="auto"/>
          <w:sz w:val="31"/>
          <w:szCs w:val="31"/>
        </w:rPr>
        <w:t>国家、省、市财政性资金扶持的</w:t>
      </w:r>
      <w:r>
        <w:rPr>
          <w:rFonts w:ascii="仿宋_GB2312" w:hAnsi="仿宋_GB2312" w:cs="仿宋_GB2312"/>
          <w:color w:val="auto"/>
          <w:sz w:val="32"/>
          <w:szCs w:val="32"/>
        </w:rPr>
        <w:t>，应提供同级财政部门的证明材料。</w:t>
      </w:r>
    </w:p>
    <w:p>
      <w:pPr>
        <w:snapToGrid w:val="0"/>
        <w:spacing w:line="520" w:lineRule="exact"/>
        <w:ind w:firstLine="604" w:firstLineChars="200"/>
        <w:rPr>
          <w:rFonts w:hint="eastAsia" w:ascii="仿宋_GB2312" w:hAnsi="仿宋_GB2312" w:cs="仿宋_GB2312"/>
          <w:snapToGrid w:val="0"/>
          <w:color w:val="auto"/>
          <w:kern w:val="0"/>
          <w:sz w:val="31"/>
          <w:szCs w:val="31"/>
        </w:rPr>
      </w:pPr>
      <w:r>
        <w:rPr>
          <w:rFonts w:ascii="仿宋_GB2312" w:hAnsi="仿宋_GB2312" w:cs="仿宋_GB2312"/>
          <w:color w:val="auto"/>
          <w:sz w:val="32"/>
          <w:szCs w:val="32"/>
        </w:rPr>
        <w:t>（四）</w:t>
      </w:r>
      <w:r>
        <w:rPr>
          <w:rFonts w:ascii="仿宋_GB2312" w:hAnsi="仿宋_GB2312" w:cs="仿宋_GB2312"/>
          <w:bCs/>
          <w:color w:val="auto"/>
          <w:sz w:val="31"/>
          <w:szCs w:val="31"/>
        </w:rPr>
        <w:t>其他能够说明情况的证明材料。</w:t>
      </w:r>
    </w:p>
    <w:p>
      <w:pPr>
        <w:snapToGrid w:val="0"/>
        <w:spacing w:line="520" w:lineRule="exact"/>
        <w:ind w:firstLine="584" w:firstLineChars="200"/>
        <w:rPr>
          <w:rFonts w:hint="eastAsia" w:ascii="仿宋_GB2312" w:hAnsi="仿宋_GB2312" w:cs="仿宋_GB2312"/>
          <w:bCs/>
          <w:color w:val="auto"/>
          <w:sz w:val="31"/>
          <w:szCs w:val="31"/>
        </w:rPr>
      </w:pPr>
      <w:r>
        <w:rPr>
          <w:rFonts w:ascii="仿宋_GB2312" w:hAnsi="仿宋_GB2312" w:cs="仿宋_GB2312"/>
          <w:bCs/>
          <w:snapToGrid w:val="0"/>
          <w:color w:val="auto"/>
          <w:kern w:val="0"/>
          <w:sz w:val="31"/>
          <w:szCs w:val="31"/>
        </w:rPr>
        <w:t>（五）申报材料整理完整后装订成册</w:t>
      </w:r>
      <w:r>
        <w:rPr>
          <w:rFonts w:ascii="仿宋_GB2312" w:hAnsi="仿宋_GB2312" w:cs="仿宋_GB2312"/>
          <w:bCs/>
          <w:color w:val="auto"/>
          <w:sz w:val="31"/>
          <w:szCs w:val="31"/>
        </w:rPr>
        <w:t>一式</w:t>
      </w:r>
      <w:r>
        <w:rPr>
          <w:rFonts w:ascii="仿宋_GB2312" w:hAnsi="仿宋_GB2312" w:cs="仿宋_GB2312"/>
          <w:bCs/>
          <w:color w:val="auto"/>
          <w:sz w:val="31"/>
          <w:szCs w:val="31"/>
          <w:lang w:val="en"/>
        </w:rPr>
        <w:t>6</w:t>
      </w:r>
      <w:r>
        <w:rPr>
          <w:rFonts w:ascii="仿宋_GB2312" w:hAnsi="仿宋_GB2312" w:cs="仿宋_GB2312"/>
          <w:bCs/>
          <w:color w:val="auto"/>
          <w:sz w:val="31"/>
          <w:szCs w:val="31"/>
        </w:rPr>
        <w:t>份，需附目录和页码，</w:t>
      </w:r>
      <w:r>
        <w:rPr>
          <w:rFonts w:ascii="仿宋_GB2312" w:hAnsi="仿宋_GB2312" w:cs="仿宋_GB2312"/>
          <w:snapToGrid w:val="0"/>
          <w:color w:val="auto"/>
          <w:kern w:val="0"/>
          <w:sz w:val="31"/>
          <w:szCs w:val="31"/>
        </w:rPr>
        <w:t>封面一律使用A4铜版纸或布纹纸，正文一律使用普通A4纸，</w:t>
      </w:r>
      <w:r>
        <w:rPr>
          <w:rFonts w:ascii="仿宋_GB2312" w:hAnsi="仿宋_GB2312" w:cs="仿宋_GB2312"/>
          <w:bCs/>
          <w:color w:val="auto"/>
          <w:sz w:val="31"/>
          <w:szCs w:val="31"/>
        </w:rPr>
        <w:t>并提供电子版。</w:t>
      </w:r>
    </w:p>
    <w:p>
      <w:pPr>
        <w:snapToGrid w:val="0"/>
        <w:spacing w:line="520" w:lineRule="exact"/>
        <w:ind w:firstLine="584" w:firstLineChars="200"/>
        <w:rPr>
          <w:rFonts w:hint="eastAsia" w:ascii="仿宋_GB2312" w:hAnsi="仿宋_GB2312" w:cs="仿宋_GB2312"/>
          <w:b/>
          <w:color w:val="auto"/>
          <w:sz w:val="40"/>
          <w:szCs w:val="40"/>
        </w:rPr>
      </w:pPr>
      <w:r>
        <w:rPr>
          <w:rFonts w:ascii="仿宋_GB2312" w:hAnsi="仿宋_GB2312" w:cs="仿宋_GB2312"/>
          <w:snapToGrid w:val="0"/>
          <w:color w:val="auto"/>
          <w:kern w:val="0"/>
          <w:sz w:val="31"/>
          <w:szCs w:val="31"/>
        </w:rPr>
        <w:t>四、本表须经申报单位法人代表签字审核，并加盖单位公章，整份申报材料加盖骑缝章后方可上报。</w:t>
      </w:r>
    </w:p>
    <w:p>
      <w:pPr>
        <w:spacing w:line="500" w:lineRule="exact"/>
        <w:jc w:val="center"/>
        <w:rPr>
          <w:rFonts w:ascii="方正小标宋简体" w:hAnsi="Times New Roman" w:eastAsia="方正小标宋简体"/>
          <w:b/>
          <w:color w:val="auto"/>
          <w:sz w:val="40"/>
          <w:szCs w:val="40"/>
        </w:rPr>
      </w:pPr>
    </w:p>
    <w:p>
      <w:pPr>
        <w:widowControl/>
        <w:jc w:val="left"/>
        <w:rPr>
          <w:rFonts w:ascii="方正小标宋简体" w:hAnsi="Times New Roman" w:eastAsia="方正小标宋简体"/>
          <w:b/>
          <w:color w:val="auto"/>
          <w:sz w:val="40"/>
          <w:szCs w:val="40"/>
        </w:rPr>
        <w:sectPr>
          <w:pgSz w:w="11906" w:h="16838"/>
          <w:pgMar w:top="1928" w:right="1588" w:bottom="1928" w:left="1588" w:header="851" w:footer="624" w:gutter="0"/>
          <w:cols w:space="720" w:num="1"/>
          <w:docGrid w:type="linesAndChars" w:linePitch="312" w:charSpace="-3850"/>
        </w:sectPr>
      </w:pPr>
    </w:p>
    <w:p>
      <w:pPr>
        <w:spacing w:line="500" w:lineRule="exact"/>
        <w:jc w:val="center"/>
        <w:rPr>
          <w:rFonts w:ascii="方正小标宋简体" w:hAnsi="Times New Roman" w:eastAsia="方正小标宋简体"/>
          <w:b/>
          <w:color w:val="auto"/>
          <w:sz w:val="40"/>
          <w:szCs w:val="40"/>
        </w:rPr>
      </w:pPr>
      <w:r>
        <w:rPr>
          <w:rFonts w:hint="eastAsia" w:ascii="方正小标宋简体" w:hAnsi="Times New Roman" w:eastAsia="方正小标宋简体"/>
          <w:b/>
          <w:color w:val="auto"/>
          <w:sz w:val="40"/>
          <w:szCs w:val="40"/>
        </w:rPr>
        <w:t>承诺书</w:t>
      </w:r>
    </w:p>
    <w:p>
      <w:pPr>
        <w:snapToGrid w:val="0"/>
        <w:spacing w:line="590" w:lineRule="exact"/>
        <w:rPr>
          <w:rFonts w:hint="eastAsia" w:ascii="仿宋_GB2312" w:hAnsi="仿宋_GB2312"/>
          <w:snapToGrid w:val="0"/>
          <w:color w:val="auto"/>
          <w:kern w:val="0"/>
          <w:sz w:val="31"/>
          <w:szCs w:val="31"/>
        </w:rPr>
      </w:pPr>
    </w:p>
    <w:p>
      <w:pPr>
        <w:snapToGrid w:val="0"/>
        <w:spacing w:line="590" w:lineRule="exact"/>
        <w:ind w:firstLine="584" w:firstLineChars="200"/>
        <w:rPr>
          <w:rFonts w:hint="eastAsia" w:ascii="仿宋_GB2312" w:hAnsi="仿宋_GB2312"/>
          <w:snapToGrid w:val="0"/>
          <w:color w:val="auto"/>
          <w:kern w:val="0"/>
          <w:sz w:val="31"/>
          <w:szCs w:val="31"/>
        </w:rPr>
      </w:pPr>
      <w:r>
        <w:rPr>
          <w:rFonts w:ascii="仿宋_GB2312" w:hAnsi="仿宋_GB2312"/>
          <w:snapToGrid w:val="0"/>
          <w:color w:val="auto"/>
          <w:kern w:val="0"/>
          <w:sz w:val="31"/>
          <w:szCs w:val="31"/>
        </w:rPr>
        <w:t>本人承诺本申报表中所填写的各项内容以及相关的附件材料真实有效，</w:t>
      </w:r>
      <w:r>
        <w:rPr>
          <w:rFonts w:ascii="仿宋_GB2312" w:hAnsi="仿宋_GB2312"/>
          <w:color w:val="auto"/>
          <w:sz w:val="31"/>
          <w:szCs w:val="31"/>
        </w:rPr>
        <w:t>保证没有知识产权争议</w:t>
      </w:r>
      <w:r>
        <w:rPr>
          <w:rFonts w:ascii="仿宋_GB2312" w:hAnsi="仿宋_GB2312"/>
          <w:snapToGrid w:val="0"/>
          <w:color w:val="auto"/>
          <w:kern w:val="0"/>
          <w:sz w:val="31"/>
          <w:szCs w:val="31"/>
        </w:rPr>
        <w:t>，绝不弄虚作假，且该项目未获得其他财政资金支持，并愿意对申报材料的真实性负责，自行承担由于弄虚作假或填写不当所引起的一切后果与责任。</w:t>
      </w:r>
    </w:p>
    <w:p>
      <w:pPr>
        <w:snapToGrid w:val="0"/>
        <w:spacing w:line="590" w:lineRule="exact"/>
        <w:ind w:firstLine="584" w:firstLineChars="200"/>
        <w:rPr>
          <w:rFonts w:hint="eastAsia" w:ascii="仿宋_GB2312" w:hAnsi="仿宋_GB2312"/>
          <w:snapToGrid w:val="0"/>
          <w:color w:val="auto"/>
          <w:kern w:val="0"/>
          <w:sz w:val="31"/>
          <w:szCs w:val="31"/>
        </w:rPr>
      </w:pPr>
      <w:r>
        <w:rPr>
          <w:rFonts w:ascii="仿宋_GB2312" w:hAnsi="仿宋_GB2312"/>
          <w:snapToGrid w:val="0"/>
          <w:color w:val="auto"/>
          <w:kern w:val="0"/>
          <w:sz w:val="31"/>
          <w:szCs w:val="31"/>
        </w:rPr>
        <w:t>以上承诺如有违背，同意按规定退回所有补助资金，并接受《财政违法行为处罚处分条例》《厦门经济特区社会信用条例》等相关规定的处罚。</w:t>
      </w:r>
    </w:p>
    <w:p>
      <w:pPr>
        <w:snapToGrid w:val="0"/>
        <w:spacing w:line="590" w:lineRule="exact"/>
        <w:ind w:firstLine="584" w:firstLineChars="200"/>
        <w:rPr>
          <w:rFonts w:hint="eastAsia" w:ascii="仿宋_GB2312" w:hAnsi="仿宋_GB2312"/>
          <w:snapToGrid w:val="0"/>
          <w:color w:val="auto"/>
          <w:kern w:val="0"/>
          <w:sz w:val="31"/>
          <w:szCs w:val="31"/>
        </w:rPr>
      </w:pPr>
    </w:p>
    <w:p>
      <w:pPr>
        <w:snapToGrid w:val="0"/>
        <w:spacing w:line="590" w:lineRule="exact"/>
        <w:ind w:firstLine="584" w:firstLineChars="200"/>
        <w:rPr>
          <w:rFonts w:hint="eastAsia" w:ascii="仿宋_GB2312" w:hAnsi="仿宋_GB2312"/>
          <w:snapToGrid w:val="0"/>
          <w:color w:val="auto"/>
          <w:kern w:val="0"/>
          <w:sz w:val="31"/>
          <w:szCs w:val="31"/>
        </w:rPr>
      </w:pPr>
    </w:p>
    <w:p>
      <w:pPr>
        <w:snapToGrid w:val="0"/>
        <w:spacing w:line="590" w:lineRule="exact"/>
        <w:ind w:firstLine="2336" w:firstLineChars="800"/>
        <w:rPr>
          <w:rFonts w:hint="eastAsia" w:ascii="仿宋_GB2312" w:hAnsi="仿宋_GB2312"/>
          <w:snapToGrid w:val="0"/>
          <w:color w:val="auto"/>
          <w:kern w:val="0"/>
          <w:sz w:val="31"/>
          <w:szCs w:val="31"/>
        </w:rPr>
      </w:pPr>
    </w:p>
    <w:p>
      <w:pPr>
        <w:snapToGrid w:val="0"/>
        <w:spacing w:line="590" w:lineRule="exact"/>
        <w:ind w:firstLine="2336" w:firstLineChars="800"/>
        <w:rPr>
          <w:rFonts w:hint="eastAsia" w:ascii="仿宋_GB2312" w:hAnsi="仿宋_GB2312"/>
          <w:snapToGrid w:val="0"/>
          <w:color w:val="auto"/>
          <w:kern w:val="0"/>
          <w:sz w:val="31"/>
          <w:szCs w:val="31"/>
        </w:rPr>
      </w:pPr>
      <w:r>
        <w:rPr>
          <w:rFonts w:ascii="仿宋_GB2312" w:hAnsi="仿宋_GB2312"/>
          <w:snapToGrid w:val="0"/>
          <w:color w:val="auto"/>
          <w:kern w:val="0"/>
          <w:sz w:val="31"/>
          <w:szCs w:val="31"/>
        </w:rPr>
        <w:t>法定代表人（签名）：</w:t>
      </w:r>
    </w:p>
    <w:p>
      <w:pPr>
        <w:snapToGrid w:val="0"/>
        <w:spacing w:line="590" w:lineRule="exact"/>
        <w:ind w:firstLine="1314" w:firstLineChars="450"/>
        <w:rPr>
          <w:rFonts w:hint="eastAsia" w:ascii="仿宋_GB2312" w:hAnsi="仿宋_GB2312"/>
          <w:snapToGrid w:val="0"/>
          <w:color w:val="auto"/>
          <w:kern w:val="0"/>
          <w:sz w:val="31"/>
          <w:szCs w:val="31"/>
        </w:rPr>
      </w:pPr>
    </w:p>
    <w:p>
      <w:pPr>
        <w:snapToGrid w:val="0"/>
        <w:spacing w:line="590" w:lineRule="exact"/>
        <w:ind w:firstLine="1314" w:firstLineChars="450"/>
        <w:rPr>
          <w:rFonts w:hint="eastAsia" w:ascii="仿宋_GB2312" w:hAnsi="仿宋_GB2312"/>
          <w:snapToGrid w:val="0"/>
          <w:color w:val="auto"/>
          <w:kern w:val="0"/>
          <w:sz w:val="31"/>
          <w:szCs w:val="31"/>
        </w:rPr>
      </w:pPr>
    </w:p>
    <w:p>
      <w:pPr>
        <w:snapToGrid w:val="0"/>
        <w:spacing w:line="590" w:lineRule="exact"/>
        <w:ind w:firstLine="5694" w:firstLineChars="1950"/>
        <w:rPr>
          <w:rFonts w:hint="eastAsia" w:ascii="仿宋_GB2312" w:hAnsi="仿宋_GB2312"/>
          <w:snapToGrid w:val="0"/>
          <w:color w:val="auto"/>
          <w:kern w:val="0"/>
          <w:sz w:val="31"/>
          <w:szCs w:val="31"/>
        </w:rPr>
      </w:pPr>
      <w:r>
        <w:rPr>
          <w:rFonts w:ascii="仿宋_GB2312" w:hAnsi="仿宋_GB2312"/>
          <w:snapToGrid w:val="0"/>
          <w:color w:val="auto"/>
          <w:kern w:val="0"/>
          <w:sz w:val="31"/>
          <w:szCs w:val="31"/>
        </w:rPr>
        <w:t>单位公章</w:t>
      </w:r>
    </w:p>
    <w:p>
      <w:pPr>
        <w:snapToGrid w:val="0"/>
        <w:spacing w:line="590" w:lineRule="exact"/>
        <w:ind w:firstLine="5986" w:firstLineChars="2050"/>
        <w:rPr>
          <w:rFonts w:hint="eastAsia" w:ascii="仿宋_GB2312" w:hAnsi="仿宋_GB2312"/>
          <w:snapToGrid w:val="0"/>
          <w:color w:val="auto"/>
          <w:kern w:val="0"/>
          <w:sz w:val="31"/>
          <w:szCs w:val="31"/>
        </w:rPr>
      </w:pPr>
      <w:r>
        <w:rPr>
          <w:rFonts w:ascii="仿宋_GB2312" w:hAnsi="仿宋_GB2312"/>
          <w:snapToGrid w:val="0"/>
          <w:color w:val="auto"/>
          <w:kern w:val="0"/>
          <w:sz w:val="31"/>
          <w:szCs w:val="31"/>
        </w:rPr>
        <w:t>年  月  日</w:t>
      </w:r>
    </w:p>
    <w:p>
      <w:pPr>
        <w:snapToGrid w:val="0"/>
        <w:spacing w:line="590" w:lineRule="exact"/>
        <w:rPr>
          <w:rFonts w:hint="eastAsia" w:ascii="仿宋_GB2312" w:hAnsi="仿宋_GB2312"/>
          <w:snapToGrid w:val="0"/>
          <w:color w:val="auto"/>
          <w:kern w:val="0"/>
          <w:sz w:val="31"/>
          <w:szCs w:val="31"/>
        </w:rPr>
      </w:pPr>
    </w:p>
    <w:p>
      <w:pPr>
        <w:snapToGrid w:val="0"/>
        <w:spacing w:line="590" w:lineRule="exact"/>
        <w:rPr>
          <w:rFonts w:hint="eastAsia" w:ascii="仿宋_GB2312" w:hAnsi="仿宋_GB2312"/>
          <w:snapToGrid w:val="0"/>
          <w:color w:val="auto"/>
          <w:kern w:val="0"/>
          <w:sz w:val="31"/>
          <w:szCs w:val="31"/>
        </w:rPr>
      </w:pPr>
    </w:p>
    <w:p>
      <w:pPr>
        <w:snapToGrid w:val="0"/>
        <w:spacing w:line="590" w:lineRule="exact"/>
        <w:rPr>
          <w:rFonts w:hint="eastAsia" w:ascii="仿宋_GB2312" w:hAnsi="仿宋_GB2312"/>
          <w:snapToGrid w:val="0"/>
          <w:color w:val="auto"/>
          <w:kern w:val="0"/>
          <w:sz w:val="31"/>
          <w:szCs w:val="31"/>
        </w:rPr>
      </w:pPr>
    </w:p>
    <w:p>
      <w:pPr>
        <w:widowControl/>
        <w:jc w:val="left"/>
        <w:rPr>
          <w:rFonts w:ascii="黑体" w:hAnsi="黑体" w:eastAsia="黑体"/>
          <w:snapToGrid w:val="0"/>
          <w:color w:val="auto"/>
          <w:kern w:val="0"/>
          <w:sz w:val="31"/>
          <w:szCs w:val="31"/>
        </w:rPr>
        <w:sectPr>
          <w:footerReference r:id="rId4" w:type="default"/>
          <w:pgSz w:w="11906" w:h="16838"/>
          <w:pgMar w:top="1985" w:right="1588" w:bottom="1871" w:left="1588" w:header="851" w:footer="624" w:gutter="0"/>
          <w:cols w:space="720" w:num="1"/>
          <w:docGrid w:type="linesAndChars" w:linePitch="312" w:charSpace="-3850"/>
        </w:sect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
        <w:gridCol w:w="630"/>
        <w:gridCol w:w="1011"/>
        <w:gridCol w:w="399"/>
        <w:gridCol w:w="641"/>
        <w:gridCol w:w="895"/>
        <w:gridCol w:w="447"/>
        <w:gridCol w:w="597"/>
        <w:gridCol w:w="404"/>
        <w:gridCol w:w="341"/>
        <w:gridCol w:w="134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3"/>
            <w:tcBorders>
              <w:top w:val="single" w:color="auto" w:sz="12" w:space="0"/>
              <w:left w:val="single" w:color="auto" w:sz="12"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r>
              <w:rPr>
                <w:rFonts w:hint="eastAsia" w:ascii="黑体" w:hAnsi="黑体" w:eastAsia="黑体"/>
                <w:snapToGrid w:val="0"/>
                <w:color w:val="auto"/>
                <w:kern w:val="0"/>
                <w:sz w:val="31"/>
                <w:szCs w:val="31"/>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单位名称</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单位地址</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法定代表人</w:t>
            </w:r>
          </w:p>
        </w:tc>
        <w:tc>
          <w:tcPr>
            <w:tcW w:w="193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31"/>
                <w:szCs w:val="31"/>
              </w:rPr>
            </w:pP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b/>
                <w:snapToGrid w:val="0"/>
                <w:color w:val="auto"/>
                <w:kern w:val="0"/>
                <w:sz w:val="31"/>
                <w:szCs w:val="31"/>
              </w:rPr>
            </w:pPr>
            <w:r>
              <w:rPr>
                <w:rFonts w:ascii="仿宋_GB2312" w:hAnsi="仿宋_GB2312" w:cs="宋体"/>
                <w:b/>
                <w:snapToGrid w:val="0"/>
                <w:color w:val="auto"/>
                <w:kern w:val="0"/>
                <w:sz w:val="28"/>
                <w:szCs w:val="28"/>
              </w:rPr>
              <w:t>移动电话</w:t>
            </w:r>
          </w:p>
        </w:tc>
        <w:tc>
          <w:tcPr>
            <w:tcW w:w="3026"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申报联系人</w:t>
            </w:r>
          </w:p>
        </w:tc>
        <w:tc>
          <w:tcPr>
            <w:tcW w:w="1935"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31"/>
                <w:szCs w:val="31"/>
              </w:rPr>
            </w:pPr>
          </w:p>
        </w:tc>
        <w:tc>
          <w:tcPr>
            <w:tcW w:w="144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cs="宋体"/>
                <w:b/>
                <w:snapToGrid w:val="0"/>
                <w:color w:val="auto"/>
                <w:kern w:val="0"/>
                <w:sz w:val="28"/>
                <w:szCs w:val="28"/>
              </w:rPr>
            </w:pPr>
            <w:r>
              <w:rPr>
                <w:rFonts w:ascii="仿宋_GB2312" w:hAnsi="仿宋_GB2312" w:cs="宋体"/>
                <w:b/>
                <w:snapToGrid w:val="0"/>
                <w:color w:val="auto"/>
                <w:kern w:val="0"/>
                <w:sz w:val="28"/>
                <w:szCs w:val="28"/>
              </w:rPr>
              <w:t>移动电话</w:t>
            </w:r>
          </w:p>
        </w:tc>
        <w:tc>
          <w:tcPr>
            <w:tcW w:w="3026"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left"/>
              <w:rPr>
                <w:rFonts w:ascii="仿宋_GB2312" w:hAnsi="宋体" w:cs="宋体"/>
                <w:b/>
                <w:snapToGrid w:val="0"/>
                <w:color w:val="auto"/>
                <w:kern w:val="0"/>
                <w:sz w:val="28"/>
                <w:szCs w:val="28"/>
              </w:rPr>
            </w:pPr>
            <w:r>
              <w:rPr>
                <w:rFonts w:ascii="仿宋_GB2312" w:hAnsi="宋体" w:cs="宋体"/>
                <w:b/>
                <w:snapToGrid w:val="0"/>
                <w:color w:val="auto"/>
                <w:kern w:val="0"/>
                <w:sz w:val="28"/>
                <w:szCs w:val="28"/>
              </w:rPr>
              <w:t>注册资本（万元）</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top"/>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单位组织形式</w:t>
            </w:r>
          </w:p>
          <w:p>
            <w:pPr>
              <w:snapToGrid w:val="0"/>
              <w:spacing w:line="580" w:lineRule="exact"/>
              <w:jc w:val="center"/>
              <w:rPr>
                <w:rFonts w:hint="eastAsia" w:ascii="仿宋_GB2312" w:hAnsi="仿宋_GB2312"/>
                <w:b/>
                <w:snapToGrid w:val="0"/>
                <w:color w:val="auto"/>
                <w:kern w:val="0"/>
                <w:sz w:val="31"/>
                <w:szCs w:val="31"/>
              </w:rPr>
            </w:pPr>
            <w:r>
              <w:rPr>
                <w:rFonts w:ascii="仿宋_GB2312" w:hAnsi="仿宋_GB2312" w:cs="宋体"/>
                <w:b/>
                <w:snapToGrid w:val="0"/>
                <w:color w:val="auto"/>
                <w:kern w:val="0"/>
                <w:sz w:val="28"/>
                <w:szCs w:val="28"/>
              </w:rPr>
              <w:t>（单选）</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adjustRightInd w:val="0"/>
              <w:snapToGrid w:val="0"/>
              <w:spacing w:line="580" w:lineRule="exact"/>
              <w:rPr>
                <w:rFonts w:hint="eastAsia" w:ascii="仿宋_GB2312" w:hAnsi="仿宋_GB2312"/>
                <w:snapToGrid w:val="0"/>
                <w:color w:val="auto"/>
                <w:kern w:val="0"/>
                <w:sz w:val="28"/>
                <w:szCs w:val="28"/>
              </w:rPr>
            </w:pPr>
            <w:r>
              <w:rPr>
                <w:rFonts w:ascii="仿宋_GB2312" w:hAnsi="仿宋_GB2312"/>
                <w:snapToGrid w:val="0"/>
                <w:color w:val="auto"/>
                <w:kern w:val="0"/>
                <w:sz w:val="28"/>
                <w:szCs w:val="28"/>
              </w:rPr>
              <w:t>□</w:t>
            </w:r>
            <w:r>
              <w:rPr>
                <w:rFonts w:ascii="仿宋_GB2312" w:hAnsi="宋体" w:cs="宋体"/>
                <w:snapToGrid w:val="0"/>
                <w:color w:val="auto"/>
                <w:kern w:val="0"/>
                <w:sz w:val="28"/>
                <w:szCs w:val="28"/>
              </w:rPr>
              <w:t>企业</w:t>
            </w:r>
            <w:r>
              <w:rPr>
                <w:rFonts w:ascii="仿宋_GB2312" w:hAnsi="仿宋_GB2312"/>
                <w:snapToGrid w:val="0"/>
                <w:color w:val="auto"/>
                <w:kern w:val="0"/>
                <w:sz w:val="28"/>
                <w:szCs w:val="28"/>
              </w:rPr>
              <w:t xml:space="preserve">  □</w:t>
            </w:r>
            <w:r>
              <w:rPr>
                <w:rFonts w:ascii="仿宋_GB2312" w:hAnsi="宋体" w:cs="宋体"/>
                <w:snapToGrid w:val="0"/>
                <w:color w:val="auto"/>
                <w:kern w:val="0"/>
                <w:sz w:val="28"/>
                <w:szCs w:val="28"/>
              </w:rPr>
              <w:t>事业单位</w:t>
            </w:r>
            <w:r>
              <w:rPr>
                <w:rFonts w:hint="eastAsia" w:ascii="仿宋_GB2312" w:hAnsi="宋体" w:cs="宋体"/>
                <w:snapToGrid w:val="0"/>
                <w:color w:val="auto"/>
                <w:kern w:val="0"/>
                <w:sz w:val="28"/>
                <w:szCs w:val="28"/>
              </w:rPr>
              <w:t xml:space="preserve"> </w:t>
            </w:r>
            <w:r>
              <w:rPr>
                <w:rFonts w:ascii="仿宋_GB2312" w:hAnsi="仿宋_GB2312"/>
                <w:snapToGrid w:val="0"/>
                <w:color w:val="auto"/>
                <w:kern w:val="0"/>
                <w:sz w:val="28"/>
                <w:szCs w:val="28"/>
              </w:rPr>
              <w:t>□</w:t>
            </w:r>
            <w:r>
              <w:rPr>
                <w:rFonts w:hint="eastAsia" w:ascii="仿宋_GB2312" w:hAnsi="宋体" w:cs="宋体"/>
                <w:snapToGrid w:val="0"/>
                <w:color w:val="auto"/>
                <w:kern w:val="0"/>
                <w:sz w:val="28"/>
                <w:szCs w:val="28"/>
              </w:rPr>
              <w:t>社会组织</w:t>
            </w:r>
            <w:r>
              <w:rPr>
                <w:rFonts w:ascii="仿宋_GB2312" w:hAnsi="仿宋_GB2312"/>
                <w:snapToGrid w:val="0"/>
                <w:color w:val="auto"/>
                <w:kern w:val="0"/>
                <w:sz w:val="28"/>
                <w:szCs w:val="28"/>
              </w:rPr>
              <w:t>（□</w:t>
            </w:r>
            <w:r>
              <w:rPr>
                <w:rFonts w:ascii="仿宋_GB2312" w:hAnsi="宋体" w:cs="宋体"/>
                <w:snapToGrid w:val="0"/>
                <w:color w:val="auto"/>
                <w:kern w:val="0"/>
                <w:sz w:val="28"/>
                <w:szCs w:val="28"/>
              </w:rPr>
              <w:t>全额</w:t>
            </w:r>
            <w:r>
              <w:rPr>
                <w:rFonts w:ascii="仿宋_GB2312" w:hAnsi="仿宋_GB2312"/>
                <w:snapToGrid w:val="0"/>
                <w:color w:val="auto"/>
                <w:kern w:val="0"/>
                <w:sz w:val="28"/>
                <w:szCs w:val="28"/>
              </w:rPr>
              <w:t xml:space="preserve">  □</w:t>
            </w:r>
            <w:r>
              <w:rPr>
                <w:rFonts w:ascii="仿宋_GB2312" w:hAnsi="宋体" w:cs="宋体"/>
                <w:snapToGrid w:val="0"/>
                <w:color w:val="auto"/>
                <w:kern w:val="0"/>
                <w:sz w:val="28"/>
                <w:szCs w:val="28"/>
              </w:rPr>
              <w:t>差额</w:t>
            </w:r>
            <w:r>
              <w:rPr>
                <w:rFonts w:ascii="仿宋_GB2312" w:hAnsi="仿宋_GB2312"/>
                <w:snapToGrid w:val="0"/>
                <w:color w:val="auto"/>
                <w:kern w:val="0"/>
                <w:sz w:val="28"/>
                <w:szCs w:val="28"/>
              </w:rPr>
              <w:t xml:space="preserve">  □</w:t>
            </w:r>
            <w:r>
              <w:rPr>
                <w:rFonts w:ascii="仿宋_GB2312" w:hAnsi="宋体" w:cs="宋体"/>
                <w:snapToGrid w:val="0"/>
                <w:color w:val="auto"/>
                <w:kern w:val="0"/>
                <w:sz w:val="28"/>
                <w:szCs w:val="28"/>
              </w:rPr>
              <w:t>自收自支）</w:t>
            </w:r>
            <w:r>
              <w:rPr>
                <w:rFonts w:hint="eastAsia" w:ascii="仿宋_GB2312" w:hAnsi="宋体" w:cs="宋体"/>
                <w:snapToGrid w:val="0"/>
                <w:color w:val="auto"/>
                <w:kern w:val="0"/>
                <w:sz w:val="28"/>
                <w:szCs w:val="28"/>
              </w:rPr>
              <w:t xml:space="preserve"> </w:t>
            </w:r>
          </w:p>
          <w:p>
            <w:pPr>
              <w:snapToGrid w:val="0"/>
              <w:spacing w:line="580" w:lineRule="exact"/>
              <w:rPr>
                <w:rFonts w:hint="eastAsia" w:ascii="仿宋_GB2312" w:hAnsi="仿宋_GB2312"/>
                <w:snapToGrid w:val="0"/>
                <w:color w:val="auto"/>
                <w:kern w:val="0"/>
                <w:sz w:val="31"/>
                <w:szCs w:val="31"/>
              </w:rPr>
            </w:pPr>
            <w:r>
              <w:rPr>
                <w:rFonts w:ascii="仿宋_GB2312" w:hAnsi="仿宋_GB2312"/>
                <w:snapToGrid w:val="0"/>
                <w:color w:val="auto"/>
                <w:kern w:val="0"/>
                <w:sz w:val="28"/>
                <w:szCs w:val="28"/>
              </w:rPr>
              <w:t>□</w:t>
            </w:r>
            <w:r>
              <w:rPr>
                <w:rFonts w:ascii="仿宋_GB2312" w:hAnsi="仿宋_GB2312" w:cs="宋体"/>
                <w:snapToGrid w:val="0"/>
                <w:color w:val="auto"/>
                <w:kern w:val="0"/>
                <w:sz w:val="28"/>
                <w:szCs w:val="28"/>
              </w:rPr>
              <w:t>行政机关</w:t>
            </w:r>
            <w:r>
              <w:rPr>
                <w:rFonts w:ascii="仿宋_GB2312" w:hAnsi="仿宋_GB2312"/>
                <w:snapToGrid w:val="0"/>
                <w:color w:val="auto"/>
                <w:kern w:val="0"/>
                <w:sz w:val="28"/>
                <w:szCs w:val="28"/>
              </w:rPr>
              <w:t xml:space="preserve">    □</w:t>
            </w:r>
            <w:r>
              <w:rPr>
                <w:rFonts w:ascii="仿宋_GB2312" w:hAnsi="仿宋_GB2312" w:cs="宋体"/>
                <w:snapToGrid w:val="0"/>
                <w:color w:val="auto"/>
                <w:kern w:val="0"/>
                <w:sz w:val="28"/>
                <w:szCs w:val="28"/>
              </w:rPr>
              <w:t>其他（说明</w:t>
            </w:r>
            <w:r>
              <w:rPr>
                <w:rFonts w:ascii="仿宋_GB2312" w:hAnsi="仿宋_GB2312"/>
                <w:snapToGrid w:val="0"/>
                <w:color w:val="auto"/>
                <w:kern w:val="0"/>
                <w:sz w:val="28"/>
                <w:szCs w:val="28"/>
              </w:rPr>
              <w:t>单位组织形式</w:t>
            </w:r>
            <w:r>
              <w:rPr>
                <w:rFonts w:ascii="仿宋_GB2312" w:hAnsi="仿宋_GB2312" w:cs="宋体"/>
                <w:snapToGrid w:val="0"/>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top"/>
          </w:tcPr>
          <w:p>
            <w:pPr>
              <w:snapToGrid w:val="0"/>
              <w:spacing w:line="580" w:lineRule="exact"/>
              <w:rPr>
                <w:rFonts w:hint="eastAsia" w:ascii="仿宋_GB2312" w:hAnsi="仿宋_GB2312"/>
                <w:b/>
                <w:snapToGrid w:val="0"/>
                <w:color w:val="auto"/>
                <w:kern w:val="0"/>
                <w:sz w:val="31"/>
                <w:szCs w:val="31"/>
              </w:rPr>
            </w:pPr>
            <w:r>
              <w:rPr>
                <w:rFonts w:ascii="仿宋_GB2312" w:hAnsi="仿宋_GB2312" w:cs="宋体"/>
                <w:b/>
                <w:snapToGrid w:val="0"/>
                <w:color w:val="auto"/>
                <w:kern w:val="0"/>
                <w:sz w:val="28"/>
                <w:szCs w:val="28"/>
              </w:rPr>
              <w:t>通讯地址（邮编）</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申报</w:t>
            </w:r>
          </w:p>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单位</w:t>
            </w:r>
          </w:p>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基本</w:t>
            </w:r>
          </w:p>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情况</w:t>
            </w:r>
          </w:p>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介绍</w:t>
            </w:r>
          </w:p>
        </w:tc>
        <w:tc>
          <w:tcPr>
            <w:tcW w:w="8129" w:type="dxa"/>
            <w:gridSpan w:val="12"/>
            <w:tcBorders>
              <w:top w:val="single" w:color="auto" w:sz="4" w:space="0"/>
              <w:left w:val="single" w:color="auto" w:sz="4" w:space="0"/>
              <w:bottom w:val="single" w:color="auto" w:sz="12" w:space="0"/>
              <w:right w:val="single" w:color="auto" w:sz="12" w:space="0"/>
            </w:tcBorders>
            <w:noWrap w:val="0"/>
            <w:vAlign w:val="top"/>
          </w:tcPr>
          <w:p>
            <w:pPr>
              <w:snapToGrid w:val="0"/>
              <w:spacing w:line="580" w:lineRule="exact"/>
              <w:rPr>
                <w:rFonts w:ascii="仿宋_GB2312" w:hAnsi="仿宋_GB2312" w:cs="宋体"/>
                <w:snapToGrid w:val="0"/>
                <w:color w:val="auto"/>
                <w:kern w:val="0"/>
                <w:sz w:val="28"/>
                <w:szCs w:val="28"/>
              </w:rPr>
            </w:pPr>
            <w:r>
              <w:rPr>
                <w:rFonts w:ascii="仿宋_GB2312" w:hAnsi="仿宋_GB2312" w:cs="宋体"/>
                <w:snapToGrid w:val="0"/>
                <w:color w:val="auto"/>
                <w:kern w:val="0"/>
                <w:sz w:val="28"/>
                <w:szCs w:val="28"/>
              </w:rPr>
              <w:t>具体包括成立时间、人员情况、资质情况等，企业上一年度的审计报告和税审报告的情况，</w:t>
            </w:r>
            <w:r>
              <w:rPr>
                <w:rFonts w:hint="eastAsia" w:ascii="仿宋_GB2312" w:hAnsi="仿宋_GB2312" w:cs="宋体"/>
                <w:snapToGrid w:val="0"/>
                <w:color w:val="auto"/>
                <w:kern w:val="0"/>
                <w:sz w:val="28"/>
                <w:szCs w:val="28"/>
              </w:rPr>
              <w:t>上一</w:t>
            </w:r>
            <w:r>
              <w:rPr>
                <w:rFonts w:ascii="仿宋_GB2312" w:hAnsi="仿宋_GB2312" w:cs="宋体"/>
                <w:snapToGrid w:val="0"/>
                <w:color w:val="auto"/>
                <w:kern w:val="0"/>
                <w:sz w:val="28"/>
                <w:szCs w:val="28"/>
              </w:rPr>
              <w:t>年度收入、支出、利润、税金以及资产、负债等，既往办赛业绩与成效、企业荣誉等。（蓝色字体为填写说明，正式上报时，蓝色字体应删除）</w:t>
            </w: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ascii="仿宋_GB2312" w:hAnsi="仿宋_GB2312" w:cs="宋体"/>
                <w:snapToGrid w:val="0"/>
                <w:color w:val="auto"/>
                <w:kern w:val="0"/>
                <w:sz w:val="28"/>
                <w:szCs w:val="28"/>
              </w:rPr>
            </w:pPr>
          </w:p>
          <w:p>
            <w:pPr>
              <w:snapToGrid w:val="0"/>
              <w:spacing w:line="580" w:lineRule="exact"/>
              <w:rPr>
                <w:rFonts w:hint="eastAsia" w:ascii="仿宋_GB2312" w:hAnsi="仿宋_GB2312" w:cs="宋体"/>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3"/>
            <w:tcBorders>
              <w:top w:val="single" w:color="auto" w:sz="12" w:space="0"/>
              <w:left w:val="single" w:color="auto" w:sz="12"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r>
              <w:rPr>
                <w:rFonts w:hint="eastAsia" w:ascii="黑体" w:hAnsi="黑体" w:eastAsia="黑体"/>
                <w:snapToGrid w:val="0"/>
                <w:color w:val="auto"/>
                <w:kern w:val="0"/>
                <w:sz w:val="31"/>
                <w:szCs w:val="31"/>
              </w:rPr>
              <w:t>二、赛事项目基本情况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赛事名称</w:t>
            </w:r>
          </w:p>
        </w:tc>
        <w:tc>
          <w:tcPr>
            <w:tcW w:w="7420" w:type="dxa"/>
            <w:gridSpan w:val="10"/>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赛事类别</w:t>
            </w:r>
          </w:p>
        </w:tc>
        <w:tc>
          <w:tcPr>
            <w:tcW w:w="7420" w:type="dxa"/>
            <w:gridSpan w:val="10"/>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ind w:firstLine="727" w:firstLineChars="250"/>
              <w:rPr>
                <w:rFonts w:hint="eastAsia" w:ascii="仿宋_GB2312" w:hAnsi="仿宋_GB2312" w:cs="宋体"/>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赛事组织架构</w:t>
            </w:r>
          </w:p>
        </w:tc>
        <w:tc>
          <w:tcPr>
            <w:tcW w:w="7420" w:type="dxa"/>
            <w:gridSpan w:val="10"/>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主办单位：</w:t>
            </w:r>
          </w:p>
          <w:p>
            <w:pPr>
              <w:snapToGrid w:val="0"/>
              <w:spacing w:line="580" w:lineRule="exact"/>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承办单位：</w:t>
            </w:r>
          </w:p>
          <w:p>
            <w:pPr>
              <w:snapToGrid w:val="0"/>
              <w:spacing w:line="580" w:lineRule="exact"/>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协办单位：</w:t>
            </w:r>
          </w:p>
          <w:p>
            <w:pPr>
              <w:snapToGrid w:val="0"/>
              <w:spacing w:line="580" w:lineRule="exact"/>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gridSpan w:val="5"/>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580" w:lineRule="exact"/>
              <w:jc w:val="center"/>
              <w:rPr>
                <w:rFonts w:ascii="仿宋_GB2312" w:hAnsi="宋体" w:cs="宋体"/>
                <w:b/>
                <w:snapToGrid w:val="0"/>
                <w:color w:val="auto"/>
                <w:kern w:val="0"/>
                <w:sz w:val="28"/>
                <w:szCs w:val="28"/>
              </w:rPr>
            </w:pPr>
            <w:r>
              <w:rPr>
                <w:rFonts w:ascii="仿宋_GB2312" w:hAnsi="宋体" w:cs="宋体"/>
                <w:b/>
                <w:snapToGrid w:val="0"/>
                <w:color w:val="auto"/>
                <w:kern w:val="0"/>
                <w:sz w:val="28"/>
                <w:szCs w:val="28"/>
              </w:rPr>
              <w:t>赛事举办时间</w:t>
            </w:r>
          </w:p>
        </w:tc>
        <w:tc>
          <w:tcPr>
            <w:tcW w:w="6010" w:type="dxa"/>
            <w:gridSpan w:val="8"/>
            <w:tcBorders>
              <w:top w:val="single" w:color="auto" w:sz="4" w:space="0"/>
              <w:left w:val="single" w:color="auto" w:sz="4" w:space="0"/>
              <w:bottom w:val="single" w:color="auto" w:sz="4" w:space="0"/>
              <w:right w:val="single" w:color="auto" w:sz="12" w:space="0"/>
            </w:tcBorders>
            <w:noWrap w:val="0"/>
            <w:vAlign w:val="center"/>
          </w:tcPr>
          <w:p>
            <w:pPr>
              <w:snapToGrid w:val="0"/>
              <w:spacing w:line="580" w:lineRule="exact"/>
              <w:ind w:firstLine="1018" w:firstLineChars="350"/>
              <w:rPr>
                <w:rFonts w:hint="eastAsia" w:ascii="仿宋_GB2312" w:hAnsi="仿宋_GB2312"/>
                <w:snapToGrid w:val="0"/>
                <w:color w:val="auto"/>
                <w:kern w:val="0"/>
                <w:sz w:val="28"/>
                <w:szCs w:val="28"/>
              </w:rPr>
            </w:pPr>
            <w:r>
              <w:rPr>
                <w:rFonts w:ascii="仿宋_GB2312" w:hAnsi="仿宋_GB2312" w:cs="宋体"/>
                <w:snapToGrid w:val="0"/>
                <w:color w:val="auto"/>
                <w:kern w:val="0"/>
                <w:sz w:val="28"/>
                <w:szCs w:val="28"/>
              </w:rPr>
              <w:t>年</w:t>
            </w:r>
            <w:r>
              <w:rPr>
                <w:rFonts w:ascii="仿宋_GB2312" w:hAnsi="仿宋_GB2312"/>
                <w:snapToGrid w:val="0"/>
                <w:color w:val="auto"/>
                <w:kern w:val="0"/>
                <w:sz w:val="28"/>
                <w:szCs w:val="28"/>
              </w:rPr>
              <w:t xml:space="preserve">  </w:t>
            </w:r>
            <w:r>
              <w:rPr>
                <w:rFonts w:ascii="仿宋_GB2312" w:hAnsi="仿宋_GB2312" w:cs="宋体"/>
                <w:snapToGrid w:val="0"/>
                <w:color w:val="auto"/>
                <w:kern w:val="0"/>
                <w:sz w:val="28"/>
                <w:szCs w:val="28"/>
              </w:rPr>
              <w:t>月</w:t>
            </w:r>
            <w:r>
              <w:rPr>
                <w:rFonts w:ascii="仿宋_GB2312" w:hAnsi="仿宋_GB2312"/>
                <w:snapToGrid w:val="0"/>
                <w:color w:val="auto"/>
                <w:kern w:val="0"/>
                <w:sz w:val="28"/>
                <w:szCs w:val="28"/>
              </w:rPr>
              <w:t xml:space="preserve">  日</w:t>
            </w:r>
            <w:r>
              <w:rPr>
                <w:rFonts w:ascii="仿宋_GB2312" w:hAnsi="仿宋_GB2312" w:cs="宋体"/>
                <w:snapToGrid w:val="0"/>
                <w:color w:val="auto"/>
                <w:kern w:val="0"/>
                <w:sz w:val="28"/>
                <w:szCs w:val="28"/>
              </w:rPr>
              <w:t>至</w:t>
            </w:r>
            <w:r>
              <w:rPr>
                <w:rFonts w:ascii="仿宋_GB2312" w:hAnsi="仿宋_GB2312"/>
                <w:snapToGrid w:val="0"/>
                <w:color w:val="auto"/>
                <w:kern w:val="0"/>
                <w:sz w:val="28"/>
                <w:szCs w:val="28"/>
              </w:rPr>
              <w:t xml:space="preserve">     </w:t>
            </w:r>
            <w:r>
              <w:rPr>
                <w:rFonts w:ascii="仿宋_GB2312" w:hAnsi="仿宋_GB2312" w:cs="宋体"/>
                <w:snapToGrid w:val="0"/>
                <w:color w:val="auto"/>
                <w:kern w:val="0"/>
                <w:sz w:val="28"/>
                <w:szCs w:val="28"/>
              </w:rPr>
              <w:t>年</w:t>
            </w:r>
            <w:r>
              <w:rPr>
                <w:rFonts w:ascii="仿宋_GB2312" w:hAnsi="仿宋_GB2312"/>
                <w:snapToGrid w:val="0"/>
                <w:color w:val="auto"/>
                <w:kern w:val="0"/>
                <w:sz w:val="28"/>
                <w:szCs w:val="28"/>
              </w:rPr>
              <w:t xml:space="preserve">  </w:t>
            </w:r>
            <w:r>
              <w:rPr>
                <w:rFonts w:ascii="仿宋_GB2312" w:hAnsi="仿宋_GB2312" w:cs="宋体"/>
                <w:snapToGrid w:val="0"/>
                <w:color w:val="auto"/>
                <w:kern w:val="0"/>
                <w:sz w:val="28"/>
                <w:szCs w:val="28"/>
              </w:rPr>
              <w:t>月</w:t>
            </w:r>
            <w:r>
              <w:rPr>
                <w:rFonts w:ascii="仿宋_GB2312" w:hAnsi="仿宋_GB2312"/>
                <w:snapToGrid w:val="0"/>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gridSpan w:val="5"/>
            <w:tcBorders>
              <w:top w:val="single" w:color="auto" w:sz="4" w:space="0"/>
              <w:left w:val="single" w:color="auto" w:sz="12" w:space="0"/>
              <w:bottom w:val="single" w:color="auto" w:sz="4" w:space="0"/>
              <w:right w:val="single" w:color="auto" w:sz="4" w:space="0"/>
            </w:tcBorders>
            <w:noWrap w:val="0"/>
            <w:vAlign w:val="top"/>
          </w:tcPr>
          <w:p>
            <w:pPr>
              <w:snapToGrid w:val="0"/>
              <w:spacing w:line="580" w:lineRule="exact"/>
              <w:rPr>
                <w:rFonts w:hint="eastAsia" w:ascii="仿宋_GB2312" w:hAnsi="仿宋_GB2312"/>
                <w:b/>
                <w:snapToGrid w:val="0"/>
                <w:color w:val="auto"/>
                <w:kern w:val="0"/>
                <w:sz w:val="28"/>
                <w:szCs w:val="28"/>
              </w:rPr>
            </w:pPr>
            <w:r>
              <w:rPr>
                <w:rFonts w:ascii="仿宋_GB2312" w:hAnsi="仿宋_GB2312" w:cs="宋体"/>
                <w:b/>
                <w:snapToGrid w:val="0"/>
                <w:color w:val="auto"/>
                <w:kern w:val="0"/>
                <w:sz w:val="28"/>
                <w:szCs w:val="28"/>
              </w:rPr>
              <w:t>项目投入金额（万元）</w:t>
            </w:r>
          </w:p>
        </w:tc>
        <w:tc>
          <w:tcPr>
            <w:tcW w:w="6010" w:type="dxa"/>
            <w:gridSpan w:val="8"/>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vMerge w:val="restart"/>
            <w:tcBorders>
              <w:top w:val="single" w:color="auto" w:sz="4" w:space="0"/>
              <w:left w:val="single" w:color="auto" w:sz="12" w:space="0"/>
              <w:bottom w:val="single" w:color="auto" w:sz="4" w:space="0"/>
              <w:right w:val="single" w:color="auto" w:sz="4" w:space="0"/>
            </w:tcBorders>
            <w:noWrap w:val="0"/>
            <w:vAlign w:val="top"/>
          </w:tcPr>
          <w:p>
            <w:pPr>
              <w:snapToGrid w:val="0"/>
              <w:spacing w:line="580" w:lineRule="exact"/>
              <w:jc w:val="center"/>
              <w:rPr>
                <w:rFonts w:ascii="仿宋_GB2312" w:hAnsi="仿宋_GB2312" w:cs="宋体"/>
                <w:b/>
                <w:snapToGrid w:val="0"/>
                <w:color w:val="auto"/>
                <w:kern w:val="0"/>
                <w:sz w:val="28"/>
                <w:szCs w:val="28"/>
              </w:rPr>
            </w:pPr>
            <w:r>
              <w:rPr>
                <w:rFonts w:ascii="仿宋_GB2312" w:hAnsi="仿宋_GB2312" w:cs="宋体"/>
                <w:b/>
                <w:snapToGrid w:val="0"/>
                <w:color w:val="auto"/>
                <w:kern w:val="0"/>
                <w:sz w:val="28"/>
                <w:szCs w:val="28"/>
              </w:rPr>
              <w:t>项目资金来源</w:t>
            </w:r>
          </w:p>
          <w:p>
            <w:pPr>
              <w:snapToGrid w:val="0"/>
              <w:spacing w:line="580" w:lineRule="exact"/>
              <w:jc w:val="center"/>
              <w:rPr>
                <w:rFonts w:hint="eastAsia" w:ascii="仿宋_GB2312" w:hAnsi="仿宋_GB2312"/>
                <w:b/>
                <w:snapToGrid w:val="0"/>
                <w:color w:val="auto"/>
                <w:kern w:val="0"/>
                <w:sz w:val="28"/>
                <w:szCs w:val="28"/>
              </w:rPr>
            </w:pPr>
            <w:r>
              <w:rPr>
                <w:rFonts w:ascii="仿宋_GB2312" w:hAnsi="仿宋_GB2312" w:cs="宋体"/>
                <w:b/>
                <w:bCs/>
                <w:snapToGrid w:val="0"/>
                <w:color w:val="auto"/>
                <w:kern w:val="0"/>
                <w:sz w:val="28"/>
                <w:szCs w:val="28"/>
              </w:rPr>
              <w:t>（万元）</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仿宋_GB2312" w:hAnsi="仿宋_GB2312"/>
                <w:b/>
                <w:snapToGrid w:val="0"/>
                <w:color w:val="auto"/>
                <w:kern w:val="0"/>
                <w:sz w:val="28"/>
                <w:szCs w:val="28"/>
              </w:rPr>
            </w:pPr>
            <w:r>
              <w:rPr>
                <w:rFonts w:ascii="仿宋_GB2312" w:hAnsi="宋体" w:cs="宋体"/>
                <w:b/>
                <w:snapToGrid w:val="0"/>
                <w:color w:val="auto"/>
                <w:kern w:val="0"/>
                <w:sz w:val="28"/>
                <w:szCs w:val="28"/>
              </w:rPr>
              <w:t>财政拨款</w:t>
            </w:r>
          </w:p>
        </w:tc>
        <w:tc>
          <w:tcPr>
            <w:tcW w:w="13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仿宋_GB2312" w:hAnsi="仿宋_GB2312"/>
                <w:b/>
                <w:snapToGrid w:val="0"/>
                <w:color w:val="auto"/>
                <w:kern w:val="0"/>
                <w:sz w:val="28"/>
                <w:szCs w:val="28"/>
              </w:rPr>
            </w:pPr>
            <w:r>
              <w:rPr>
                <w:rFonts w:ascii="仿宋_GB2312" w:hAnsi="宋体" w:cs="宋体"/>
                <w:b/>
                <w:snapToGrid w:val="0"/>
                <w:color w:val="auto"/>
                <w:kern w:val="0"/>
                <w:sz w:val="28"/>
                <w:szCs w:val="28"/>
              </w:rPr>
              <w:t>自有资金</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仿宋_GB2312" w:hAnsi="仿宋_GB2312"/>
                <w:b/>
                <w:snapToGrid w:val="0"/>
                <w:color w:val="auto"/>
                <w:kern w:val="0"/>
                <w:sz w:val="28"/>
                <w:szCs w:val="28"/>
              </w:rPr>
            </w:pPr>
            <w:r>
              <w:rPr>
                <w:rFonts w:ascii="仿宋_GB2312" w:hAnsi="宋体" w:cs="宋体"/>
                <w:b/>
                <w:snapToGrid w:val="0"/>
                <w:color w:val="auto"/>
                <w:kern w:val="0"/>
                <w:sz w:val="28"/>
                <w:szCs w:val="28"/>
              </w:rPr>
              <w:t>企业赞助</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仿宋_GB2312" w:hAnsi="仿宋_GB2312"/>
                <w:b/>
                <w:snapToGrid w:val="0"/>
                <w:color w:val="auto"/>
                <w:kern w:val="0"/>
                <w:sz w:val="28"/>
                <w:szCs w:val="28"/>
              </w:rPr>
            </w:pPr>
            <w:r>
              <w:rPr>
                <w:rFonts w:ascii="仿宋_GB2312" w:hAnsi="宋体" w:cs="宋体"/>
                <w:b/>
                <w:snapToGrid w:val="0"/>
                <w:color w:val="auto"/>
                <w:kern w:val="0"/>
                <w:sz w:val="28"/>
                <w:szCs w:val="28"/>
              </w:rPr>
              <w:t>银行贷款</w:t>
            </w:r>
          </w:p>
        </w:tc>
        <w:tc>
          <w:tcPr>
            <w:tcW w:w="1343"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580" w:lineRule="exact"/>
              <w:jc w:val="center"/>
              <w:rPr>
                <w:rFonts w:hint="eastAsia" w:ascii="仿宋_GB2312" w:hAnsi="仿宋_GB2312"/>
                <w:b/>
                <w:snapToGrid w:val="0"/>
                <w:color w:val="auto"/>
                <w:kern w:val="0"/>
                <w:sz w:val="28"/>
                <w:szCs w:val="28"/>
              </w:rPr>
            </w:pPr>
            <w:r>
              <w:rPr>
                <w:rFonts w:ascii="仿宋_GB2312" w:hAnsi="宋体" w:cs="宋体"/>
                <w:b/>
                <w:snapToGrid w:val="0"/>
                <w:color w:val="auto"/>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_GB2312" w:hAnsi="仿宋_GB2312"/>
                <w:b/>
                <w:snapToGrid w:val="0"/>
                <w:color w:val="auto"/>
                <w:kern w:val="0"/>
                <w:sz w:val="28"/>
                <w:szCs w:val="28"/>
              </w:rPr>
            </w:pPr>
          </w:p>
        </w:tc>
        <w:tc>
          <w:tcPr>
            <w:tcW w:w="1040"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28"/>
                <w:szCs w:val="28"/>
              </w:rPr>
            </w:pPr>
          </w:p>
        </w:tc>
        <w:tc>
          <w:tcPr>
            <w:tcW w:w="134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28"/>
                <w:szCs w:val="28"/>
              </w:rPr>
            </w:pPr>
          </w:p>
        </w:tc>
        <w:tc>
          <w:tcPr>
            <w:tcW w:w="1342"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28"/>
                <w:szCs w:val="28"/>
              </w:rPr>
            </w:pPr>
          </w:p>
        </w:tc>
        <w:tc>
          <w:tcPr>
            <w:tcW w:w="1342" w:type="dxa"/>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28"/>
                <w:szCs w:val="28"/>
              </w:rPr>
            </w:pPr>
          </w:p>
        </w:tc>
        <w:tc>
          <w:tcPr>
            <w:tcW w:w="1343" w:type="dxa"/>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4"/>
            <w:tcBorders>
              <w:top w:val="single" w:color="auto" w:sz="4" w:space="0"/>
              <w:left w:val="single" w:color="auto" w:sz="12" w:space="0"/>
              <w:bottom w:val="single" w:color="auto" w:sz="4" w:space="0"/>
              <w:right w:val="single" w:color="auto" w:sz="4" w:space="0"/>
            </w:tcBorders>
            <w:noWrap w:val="0"/>
            <w:vAlign w:val="top"/>
          </w:tcPr>
          <w:p>
            <w:pPr>
              <w:snapToGrid w:val="0"/>
              <w:spacing w:line="580" w:lineRule="exact"/>
              <w:jc w:val="center"/>
              <w:rPr>
                <w:rFonts w:hint="eastAsia" w:ascii="仿宋_GB2312" w:hAnsi="仿宋_GB2312"/>
                <w:b/>
                <w:snapToGrid w:val="0"/>
                <w:color w:val="auto"/>
                <w:kern w:val="0"/>
                <w:sz w:val="28"/>
                <w:szCs w:val="28"/>
              </w:rPr>
            </w:pPr>
            <w:r>
              <w:rPr>
                <w:rFonts w:ascii="仿宋_GB2312" w:hAnsi="仿宋_GB2312" w:cs="宋体"/>
                <w:b/>
                <w:snapToGrid w:val="0"/>
                <w:color w:val="auto"/>
                <w:kern w:val="0"/>
                <w:sz w:val="28"/>
                <w:szCs w:val="28"/>
              </w:rPr>
              <w:t>项目是否获得</w:t>
            </w:r>
            <w:r>
              <w:rPr>
                <w:rFonts w:hint="eastAsia" w:ascii="仿宋_GB2312" w:hAnsi="仿宋_GB2312" w:cs="宋体"/>
                <w:b/>
                <w:snapToGrid w:val="0"/>
                <w:color w:val="auto"/>
                <w:kern w:val="0"/>
                <w:sz w:val="28"/>
                <w:szCs w:val="28"/>
                <w:lang w:eastAsia="zh-CN"/>
              </w:rPr>
              <w:t>其他</w:t>
            </w:r>
            <w:r>
              <w:rPr>
                <w:rFonts w:ascii="仿宋_GB2312" w:hAnsi="仿宋_GB2312" w:cs="宋体"/>
                <w:b/>
                <w:snapToGrid w:val="0"/>
                <w:color w:val="auto"/>
                <w:kern w:val="0"/>
                <w:sz w:val="28"/>
                <w:szCs w:val="28"/>
              </w:rPr>
              <w:t>财政资金扶持</w:t>
            </w:r>
          </w:p>
        </w:tc>
        <w:tc>
          <w:tcPr>
            <w:tcW w:w="6409" w:type="dxa"/>
            <w:gridSpan w:val="9"/>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bCs/>
                <w:snapToGrid w:val="0"/>
                <w:color w:val="auto"/>
                <w:kern w:val="0"/>
                <w:sz w:val="28"/>
                <w:szCs w:val="28"/>
              </w:rPr>
            </w:pPr>
            <w:r>
              <w:rPr>
                <w:rFonts w:ascii="仿宋_GB2312" w:hAnsi="仿宋_GB2312"/>
                <w:bCs/>
                <w:snapToGrid w:val="0"/>
                <w:color w:val="auto"/>
                <w:kern w:val="0"/>
                <w:sz w:val="28"/>
                <w:szCs w:val="28"/>
              </w:rPr>
              <w:t xml:space="preserve">□否 </w:t>
            </w:r>
          </w:p>
          <w:p>
            <w:pPr>
              <w:snapToGrid w:val="0"/>
              <w:spacing w:line="580" w:lineRule="exact"/>
              <w:rPr>
                <w:rFonts w:hint="eastAsia" w:ascii="仿宋_GB2312" w:hAnsi="仿宋_GB2312"/>
                <w:snapToGrid w:val="0"/>
                <w:color w:val="auto"/>
                <w:kern w:val="0"/>
                <w:sz w:val="28"/>
                <w:szCs w:val="28"/>
              </w:rPr>
            </w:pPr>
            <w:r>
              <w:rPr>
                <w:rFonts w:ascii="仿宋_GB2312" w:hAnsi="宋体" w:eastAsia="仿宋_GB2312"/>
                <w:bCs/>
                <w:snapToGrid w:val="0"/>
                <w:color w:val="auto"/>
                <w:kern w:val="0"/>
                <w:sz w:val="28"/>
                <w:szCs w:val="28"/>
              </w:rPr>
              <w:sym w:font="Wingdings 2" w:char="F0A3"/>
            </w:r>
            <w:r>
              <w:rPr>
                <w:rFonts w:ascii="仿宋_GB2312" w:hAnsi="仿宋_GB2312"/>
                <w:snapToGrid w:val="0"/>
                <w:color w:val="auto"/>
                <w:kern w:val="0"/>
                <w:sz w:val="28"/>
                <w:szCs w:val="28"/>
              </w:rPr>
              <w:t xml:space="preserve">是（具体情况请填写在下栏）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6" w:type="dxa"/>
            <w:gridSpan w:val="9"/>
            <w:tcBorders>
              <w:top w:val="single" w:color="auto" w:sz="4" w:space="0"/>
              <w:left w:val="single" w:color="auto" w:sz="12" w:space="0"/>
              <w:bottom w:val="single" w:color="auto" w:sz="4" w:space="0"/>
              <w:right w:val="single" w:color="auto" w:sz="4" w:space="0"/>
            </w:tcBorders>
            <w:noWrap w:val="0"/>
            <w:vAlign w:val="top"/>
          </w:tcPr>
          <w:p>
            <w:pPr>
              <w:snapToGrid w:val="0"/>
              <w:spacing w:line="580" w:lineRule="exact"/>
              <w:rPr>
                <w:rFonts w:hint="eastAsia" w:ascii="仿宋_GB2312" w:hAnsi="仿宋_GB2312"/>
                <w:snapToGrid w:val="0"/>
                <w:color w:val="auto"/>
                <w:kern w:val="0"/>
                <w:sz w:val="28"/>
                <w:szCs w:val="28"/>
              </w:rPr>
            </w:pPr>
            <w:r>
              <w:rPr>
                <w:rFonts w:ascii="仿宋_GB2312" w:hAnsi="仿宋_GB2312"/>
                <w:snapToGrid w:val="0"/>
                <w:color w:val="auto"/>
                <w:kern w:val="0"/>
                <w:sz w:val="28"/>
                <w:szCs w:val="28"/>
              </w:rPr>
              <w:t>扶持项目名称及单位：</w:t>
            </w:r>
          </w:p>
        </w:tc>
        <w:tc>
          <w:tcPr>
            <w:tcW w:w="3430" w:type="dxa"/>
            <w:gridSpan w:val="4"/>
            <w:tcBorders>
              <w:top w:val="single" w:color="auto" w:sz="4" w:space="0"/>
              <w:left w:val="single" w:color="auto" w:sz="4"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28"/>
                <w:szCs w:val="28"/>
              </w:rPr>
            </w:pPr>
            <w:r>
              <w:rPr>
                <w:rFonts w:ascii="仿宋_GB2312" w:hAnsi="仿宋_GB2312"/>
                <w:snapToGrid w:val="0"/>
                <w:color w:val="auto"/>
                <w:kern w:val="0"/>
                <w:sz w:val="28"/>
                <w:szCs w:val="28"/>
              </w:rPr>
              <w:t>扶持金额（万元）：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trPr>
        <w:tc>
          <w:tcPr>
            <w:tcW w:w="896" w:type="dxa"/>
            <w:gridSpan w:val="2"/>
            <w:tcBorders>
              <w:top w:val="single" w:color="auto" w:sz="4" w:space="0"/>
              <w:left w:val="single" w:color="auto" w:sz="12" w:space="0"/>
              <w:bottom w:val="single" w:color="auto" w:sz="12" w:space="0"/>
              <w:right w:val="single" w:color="auto" w:sz="4" w:space="0"/>
            </w:tcBorders>
            <w:noWrap w:val="0"/>
            <w:vAlign w:val="center"/>
          </w:tcPr>
          <w:p>
            <w:pPr>
              <w:snapToGrid w:val="0"/>
              <w:spacing w:line="580" w:lineRule="exact"/>
              <w:jc w:val="center"/>
              <w:rPr>
                <w:rFonts w:hint="eastAsia" w:ascii="仿宋_GB2312" w:hAnsi="仿宋_GB2312"/>
                <w:b/>
                <w:snapToGrid w:val="0"/>
                <w:color w:val="auto"/>
                <w:kern w:val="0"/>
                <w:sz w:val="28"/>
                <w:szCs w:val="28"/>
              </w:rPr>
            </w:pPr>
            <w:r>
              <w:rPr>
                <w:rFonts w:ascii="仿宋_GB2312" w:hAnsi="仿宋_GB2312" w:cs="宋体"/>
                <w:b/>
                <w:snapToGrid w:val="0"/>
                <w:color w:val="auto"/>
                <w:kern w:val="0"/>
                <w:sz w:val="28"/>
                <w:szCs w:val="28"/>
              </w:rPr>
              <w:t>项目情况说明</w:t>
            </w:r>
          </w:p>
        </w:tc>
        <w:tc>
          <w:tcPr>
            <w:tcW w:w="8050" w:type="dxa"/>
            <w:gridSpan w:val="11"/>
            <w:tcBorders>
              <w:top w:val="single" w:color="auto" w:sz="4" w:space="0"/>
              <w:left w:val="single" w:color="auto" w:sz="4" w:space="0"/>
              <w:bottom w:val="single" w:color="auto" w:sz="12" w:space="0"/>
              <w:right w:val="single" w:color="auto" w:sz="12" w:space="0"/>
            </w:tcBorders>
            <w:noWrap w:val="0"/>
            <w:vAlign w:val="top"/>
          </w:tcPr>
          <w:p>
            <w:pPr>
              <w:snapToGrid w:val="0"/>
              <w:spacing w:line="440" w:lineRule="exact"/>
              <w:rPr>
                <w:rFonts w:ascii="宋体" w:hAnsi="宋体" w:eastAsia="仿宋_GB2312"/>
                <w:color w:val="auto"/>
                <w:sz w:val="28"/>
                <w:szCs w:val="28"/>
              </w:rPr>
            </w:pPr>
            <w:r>
              <w:rPr>
                <w:rFonts w:ascii="宋体" w:hAnsi="仿宋_GB2312"/>
                <w:color w:val="auto"/>
                <w:sz w:val="28"/>
                <w:szCs w:val="28"/>
              </w:rPr>
              <w:t>具体包括：</w:t>
            </w:r>
          </w:p>
          <w:p>
            <w:pPr>
              <w:numPr>
                <w:ilvl w:val="0"/>
                <w:numId w:val="6"/>
              </w:numPr>
              <w:snapToGrid w:val="0"/>
              <w:spacing w:line="440" w:lineRule="exact"/>
              <w:rPr>
                <w:rFonts w:ascii="宋体" w:hAnsi="宋体" w:eastAsia="仿宋_GB2312"/>
                <w:color w:val="auto"/>
                <w:sz w:val="28"/>
                <w:szCs w:val="28"/>
              </w:rPr>
            </w:pPr>
            <w:r>
              <w:rPr>
                <w:rFonts w:ascii="宋体" w:hAnsi="仿宋_GB2312"/>
                <w:color w:val="auto"/>
                <w:sz w:val="28"/>
                <w:szCs w:val="28"/>
              </w:rPr>
              <w:t>赛事名称、举办时间、地点、情况介绍：</w:t>
            </w:r>
          </w:p>
          <w:p>
            <w:pPr>
              <w:snapToGrid w:val="0"/>
              <w:spacing w:line="440" w:lineRule="exact"/>
              <w:rPr>
                <w:rFonts w:ascii="宋体" w:hAnsi="宋体" w:eastAsia="仿宋_GB2312"/>
                <w:color w:val="auto"/>
                <w:sz w:val="28"/>
                <w:szCs w:val="28"/>
              </w:rPr>
            </w:pPr>
            <w:r>
              <w:rPr>
                <w:rFonts w:hint="eastAsia" w:ascii="宋体" w:hAnsi="宋体" w:eastAsia="仿宋_GB2312"/>
                <w:color w:val="auto"/>
                <w:sz w:val="28"/>
                <w:szCs w:val="28"/>
              </w:rPr>
              <w:t>1.</w:t>
            </w:r>
            <w:r>
              <w:rPr>
                <w:rFonts w:ascii="宋体" w:hAnsi="仿宋_GB2312"/>
                <w:color w:val="auto"/>
                <w:sz w:val="28"/>
                <w:szCs w:val="28"/>
              </w:rPr>
              <w:t>赛事规模与水平</w:t>
            </w:r>
          </w:p>
          <w:p>
            <w:pPr>
              <w:snapToGrid w:val="0"/>
              <w:spacing w:line="440" w:lineRule="exact"/>
              <w:rPr>
                <w:rFonts w:ascii="宋体" w:hAnsi="宋体" w:eastAsia="仿宋_GB2312"/>
                <w:color w:val="auto"/>
                <w:sz w:val="28"/>
                <w:szCs w:val="28"/>
              </w:rPr>
            </w:pPr>
            <w:r>
              <w:rPr>
                <w:rFonts w:ascii="宋体" w:hAnsi="仿宋_GB2312"/>
                <w:color w:val="auto"/>
                <w:sz w:val="28"/>
                <w:szCs w:val="28"/>
              </w:rPr>
              <w:t>参赛选手与国家数量、赛事类别、近三年比赛成绩等</w:t>
            </w:r>
          </w:p>
          <w:p>
            <w:pPr>
              <w:snapToGrid w:val="0"/>
              <w:spacing w:line="440" w:lineRule="exact"/>
              <w:rPr>
                <w:rFonts w:ascii="宋体" w:hAnsi="宋体" w:eastAsia="仿宋_GB2312"/>
                <w:color w:val="auto"/>
                <w:sz w:val="28"/>
                <w:szCs w:val="28"/>
              </w:rPr>
            </w:pPr>
            <w:r>
              <w:rPr>
                <w:rFonts w:hint="eastAsia" w:ascii="宋体" w:hAnsi="宋体" w:eastAsia="仿宋_GB2312"/>
                <w:color w:val="auto"/>
                <w:sz w:val="28"/>
                <w:szCs w:val="28"/>
              </w:rPr>
              <w:t>2.</w:t>
            </w:r>
            <w:r>
              <w:rPr>
                <w:rFonts w:ascii="宋体" w:hAnsi="仿宋_GB2312"/>
                <w:color w:val="auto"/>
                <w:sz w:val="28"/>
                <w:szCs w:val="28"/>
              </w:rPr>
              <w:t>赛事影响力</w:t>
            </w:r>
          </w:p>
          <w:p>
            <w:pPr>
              <w:snapToGrid w:val="0"/>
              <w:spacing w:line="440" w:lineRule="exact"/>
              <w:rPr>
                <w:rFonts w:ascii="宋体" w:hAnsi="宋体" w:eastAsia="仿宋_GB2312"/>
                <w:color w:val="auto"/>
                <w:sz w:val="28"/>
                <w:szCs w:val="28"/>
              </w:rPr>
            </w:pPr>
            <w:r>
              <w:rPr>
                <w:rFonts w:ascii="宋体" w:hAnsi="仿宋_GB2312"/>
                <w:color w:val="auto"/>
                <w:sz w:val="28"/>
                <w:szCs w:val="28"/>
              </w:rPr>
              <w:t>转播规模、媒体宣传报道次数等</w:t>
            </w:r>
          </w:p>
          <w:p>
            <w:pPr>
              <w:snapToGrid w:val="0"/>
              <w:spacing w:line="440" w:lineRule="exact"/>
              <w:rPr>
                <w:rFonts w:ascii="宋体" w:hAnsi="宋体" w:eastAsia="仿宋_GB2312"/>
                <w:color w:val="auto"/>
                <w:sz w:val="28"/>
                <w:szCs w:val="28"/>
              </w:rPr>
            </w:pPr>
            <w:r>
              <w:rPr>
                <w:rFonts w:hint="eastAsia" w:ascii="宋体" w:hAnsi="宋体" w:eastAsia="仿宋_GB2312"/>
                <w:color w:val="auto"/>
                <w:sz w:val="28"/>
                <w:szCs w:val="28"/>
              </w:rPr>
              <w:t>3.</w:t>
            </w:r>
            <w:r>
              <w:rPr>
                <w:rFonts w:ascii="宋体" w:hAnsi="仿宋_GB2312"/>
                <w:color w:val="auto"/>
                <w:sz w:val="28"/>
                <w:szCs w:val="28"/>
              </w:rPr>
              <w:t>赛事市场化水平</w:t>
            </w:r>
          </w:p>
          <w:p>
            <w:pPr>
              <w:snapToGrid w:val="0"/>
              <w:spacing w:line="440" w:lineRule="exact"/>
              <w:rPr>
                <w:rFonts w:ascii="宋体" w:hAnsi="宋体" w:eastAsia="仿宋_GB2312"/>
                <w:color w:val="auto"/>
                <w:sz w:val="28"/>
                <w:szCs w:val="28"/>
              </w:rPr>
            </w:pPr>
            <w:r>
              <w:rPr>
                <w:rFonts w:ascii="宋体" w:hAnsi="仿宋_GB2312"/>
                <w:color w:val="auto"/>
                <w:sz w:val="28"/>
                <w:szCs w:val="28"/>
              </w:rPr>
              <w:t>赛事收入与支出的比值、办赛支出等</w:t>
            </w:r>
          </w:p>
          <w:p>
            <w:pPr>
              <w:snapToGrid w:val="0"/>
              <w:spacing w:line="440" w:lineRule="exact"/>
              <w:rPr>
                <w:rFonts w:ascii="宋体" w:hAnsi="宋体" w:eastAsia="仿宋_GB2312"/>
                <w:color w:val="auto"/>
                <w:sz w:val="28"/>
                <w:szCs w:val="28"/>
              </w:rPr>
            </w:pPr>
            <w:r>
              <w:rPr>
                <w:rFonts w:hint="eastAsia" w:ascii="宋体" w:hAnsi="宋体" w:eastAsia="仿宋_GB2312"/>
                <w:color w:val="auto"/>
                <w:sz w:val="28"/>
                <w:szCs w:val="28"/>
              </w:rPr>
              <w:t>4.</w:t>
            </w:r>
            <w:r>
              <w:rPr>
                <w:rFonts w:ascii="宋体" w:hAnsi="仿宋_GB2312"/>
                <w:color w:val="auto"/>
                <w:sz w:val="28"/>
                <w:szCs w:val="28"/>
              </w:rPr>
              <w:t>赛事组织水平</w:t>
            </w:r>
          </w:p>
          <w:p>
            <w:pPr>
              <w:snapToGrid w:val="0"/>
              <w:spacing w:line="440" w:lineRule="exact"/>
              <w:rPr>
                <w:rFonts w:ascii="宋体" w:hAnsi="宋体" w:eastAsia="仿宋_GB2312"/>
                <w:color w:val="auto"/>
                <w:sz w:val="28"/>
                <w:szCs w:val="28"/>
              </w:rPr>
            </w:pPr>
            <w:r>
              <w:rPr>
                <w:rFonts w:ascii="宋体" w:hAnsi="仿宋_GB2312"/>
                <w:color w:val="auto"/>
                <w:sz w:val="28"/>
                <w:szCs w:val="28"/>
              </w:rPr>
              <w:t>赛事管理、安全保障、医疗保障、竞赛保障等</w:t>
            </w:r>
          </w:p>
          <w:p>
            <w:pPr>
              <w:snapToGrid w:val="0"/>
              <w:spacing w:line="440" w:lineRule="exact"/>
              <w:rPr>
                <w:rFonts w:ascii="宋体" w:hAnsi="宋体" w:eastAsia="仿宋_GB2312"/>
                <w:color w:val="auto"/>
                <w:sz w:val="28"/>
                <w:szCs w:val="28"/>
              </w:rPr>
            </w:pPr>
            <w:r>
              <w:rPr>
                <w:rFonts w:hint="eastAsia" w:ascii="宋体" w:hAnsi="宋体" w:eastAsia="仿宋_GB2312"/>
                <w:color w:val="auto"/>
                <w:sz w:val="28"/>
                <w:szCs w:val="28"/>
              </w:rPr>
              <w:t>5.</w:t>
            </w:r>
            <w:r>
              <w:rPr>
                <w:rFonts w:ascii="宋体" w:hAnsi="仿宋_GB2312"/>
                <w:color w:val="auto"/>
                <w:sz w:val="28"/>
                <w:szCs w:val="28"/>
              </w:rPr>
              <w:t>赛事贡献度</w:t>
            </w:r>
          </w:p>
          <w:p>
            <w:pPr>
              <w:snapToGrid w:val="0"/>
              <w:spacing w:line="440" w:lineRule="exact"/>
              <w:rPr>
                <w:rFonts w:ascii="宋体" w:hAnsi="宋体" w:eastAsia="仿宋_GB2312"/>
                <w:color w:val="auto"/>
                <w:sz w:val="28"/>
                <w:szCs w:val="28"/>
              </w:rPr>
            </w:pPr>
            <w:r>
              <w:rPr>
                <w:rFonts w:ascii="宋体" w:hAnsi="仿宋_GB2312"/>
                <w:color w:val="auto"/>
                <w:sz w:val="28"/>
                <w:szCs w:val="28"/>
              </w:rPr>
              <w:t>赛事活动延续性、社会经济效益、赞助情况等</w:t>
            </w:r>
          </w:p>
          <w:p>
            <w:pPr>
              <w:snapToGrid w:val="0"/>
              <w:spacing w:line="440" w:lineRule="exact"/>
              <w:rPr>
                <w:rFonts w:ascii="宋体" w:hAnsi="宋体" w:eastAsia="仿宋_GB2312"/>
                <w:color w:val="auto"/>
                <w:sz w:val="28"/>
                <w:szCs w:val="28"/>
              </w:rPr>
            </w:pPr>
            <w:r>
              <w:rPr>
                <w:rFonts w:ascii="宋体" w:hAnsi="仿宋_GB2312"/>
                <w:color w:val="auto"/>
                <w:sz w:val="28"/>
                <w:szCs w:val="28"/>
              </w:rPr>
              <w:t>二、根据《厦门市人民政府关于加快发展体育产业促进体育消费若干措施的通知》和《厦门市高水平体育赛事补助管理办法》中规定的申报条件和补助标准，逐项提供文字说明及相应的证明材料；</w:t>
            </w:r>
          </w:p>
          <w:p>
            <w:pPr>
              <w:snapToGrid w:val="0"/>
              <w:spacing w:line="440" w:lineRule="exact"/>
              <w:rPr>
                <w:rFonts w:ascii="宋体" w:hAnsi="宋体" w:eastAsia="仿宋_GB2312"/>
                <w:color w:val="auto"/>
                <w:sz w:val="28"/>
                <w:szCs w:val="28"/>
              </w:rPr>
            </w:pPr>
            <w:r>
              <w:rPr>
                <w:rFonts w:ascii="宋体" w:hAnsi="仿宋_GB2312"/>
                <w:color w:val="auto"/>
                <w:sz w:val="28"/>
                <w:szCs w:val="28"/>
              </w:rPr>
              <w:t>三、其他需要说明的情况。</w:t>
            </w:r>
          </w:p>
          <w:p>
            <w:pPr>
              <w:snapToGrid w:val="0"/>
              <w:spacing w:line="440" w:lineRule="exact"/>
              <w:rPr>
                <w:rFonts w:ascii="宋体" w:hAnsi="宋体" w:eastAsia="仿宋_GB2312"/>
                <w:color w:val="auto"/>
                <w:sz w:val="28"/>
                <w:szCs w:val="28"/>
              </w:rPr>
            </w:pPr>
            <w:r>
              <w:rPr>
                <w:rFonts w:ascii="宋体" w:hAnsi="仿宋_GB2312"/>
                <w:color w:val="auto"/>
                <w:sz w:val="28"/>
                <w:szCs w:val="28"/>
              </w:rPr>
              <w:t>（蓝色字体为填写说明，正式上报时，蓝色字体应删除）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Borders>
              <w:top w:val="single" w:color="auto" w:sz="12" w:space="0"/>
              <w:left w:val="single" w:color="auto" w:sz="12" w:space="0"/>
              <w:bottom w:val="single" w:color="auto" w:sz="12" w:space="0"/>
              <w:right w:val="single" w:color="auto" w:sz="4" w:space="0"/>
            </w:tcBorders>
            <w:noWrap w:val="0"/>
            <w:vAlign w:val="center"/>
          </w:tcPr>
          <w:p>
            <w:pPr>
              <w:snapToGrid w:val="0"/>
              <w:spacing w:line="580" w:lineRule="exact"/>
              <w:jc w:val="center"/>
              <w:rPr>
                <w:rFonts w:hint="eastAsia" w:ascii="仿宋_GB2312" w:hAnsi="仿宋_GB2312" w:cs="宋体"/>
                <w:b/>
                <w:snapToGrid w:val="0"/>
                <w:color w:val="auto"/>
                <w:kern w:val="0"/>
                <w:sz w:val="28"/>
                <w:szCs w:val="28"/>
              </w:rPr>
            </w:pPr>
            <w:r>
              <w:rPr>
                <w:rFonts w:ascii="仿宋_GB2312" w:hAnsi="仿宋_GB2312" w:cs="宋体"/>
                <w:b/>
                <w:snapToGrid w:val="0"/>
                <w:color w:val="auto"/>
                <w:kern w:val="0"/>
                <w:sz w:val="28"/>
                <w:szCs w:val="28"/>
              </w:rPr>
              <w:t>申报单位签章</w:t>
            </w:r>
          </w:p>
        </w:tc>
        <w:tc>
          <w:tcPr>
            <w:tcW w:w="7420" w:type="dxa"/>
            <w:gridSpan w:val="10"/>
            <w:tcBorders>
              <w:top w:val="single" w:color="auto" w:sz="12" w:space="0"/>
              <w:left w:val="single" w:color="auto" w:sz="4" w:space="0"/>
              <w:bottom w:val="single" w:color="auto" w:sz="12" w:space="0"/>
              <w:right w:val="single" w:color="auto" w:sz="12" w:space="0"/>
            </w:tcBorders>
            <w:noWrap w:val="0"/>
            <w:vAlign w:val="top"/>
          </w:tcPr>
          <w:p>
            <w:pPr>
              <w:adjustRightInd w:val="0"/>
              <w:snapToGrid w:val="0"/>
              <w:spacing w:line="580" w:lineRule="exact"/>
              <w:ind w:firstLine="582" w:firstLineChars="200"/>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以上填报内容真实有效，同意上报。</w:t>
            </w:r>
          </w:p>
          <w:p>
            <w:pPr>
              <w:adjustRightInd w:val="0"/>
              <w:snapToGrid w:val="0"/>
              <w:spacing w:line="580" w:lineRule="exact"/>
              <w:ind w:firstLine="3201" w:firstLineChars="1100"/>
              <w:rPr>
                <w:rFonts w:hint="eastAsia" w:ascii="仿宋_GB2312" w:hAnsi="仿宋_GB2312" w:cs="宋体"/>
                <w:snapToGrid w:val="0"/>
                <w:color w:val="auto"/>
                <w:kern w:val="0"/>
                <w:sz w:val="28"/>
                <w:szCs w:val="28"/>
              </w:rPr>
            </w:pPr>
          </w:p>
          <w:p>
            <w:pPr>
              <w:adjustRightInd w:val="0"/>
              <w:snapToGrid w:val="0"/>
              <w:spacing w:line="580" w:lineRule="exact"/>
              <w:ind w:firstLine="3201" w:firstLineChars="1100"/>
              <w:rPr>
                <w:rFonts w:hint="eastAsia" w:ascii="仿宋_GB2312" w:hAnsi="仿宋_GB2312" w:cs="宋体"/>
                <w:snapToGrid w:val="0"/>
                <w:color w:val="auto"/>
                <w:kern w:val="0"/>
                <w:sz w:val="28"/>
                <w:szCs w:val="28"/>
              </w:rPr>
            </w:pPr>
          </w:p>
          <w:p>
            <w:pPr>
              <w:adjustRightInd w:val="0"/>
              <w:snapToGrid w:val="0"/>
              <w:spacing w:line="580" w:lineRule="exact"/>
              <w:ind w:firstLine="3492" w:firstLineChars="1200"/>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法定代表人（签名）：</w:t>
            </w:r>
          </w:p>
          <w:p>
            <w:pPr>
              <w:adjustRightInd w:val="0"/>
              <w:snapToGrid w:val="0"/>
              <w:spacing w:line="580" w:lineRule="exact"/>
              <w:ind w:firstLine="3783" w:firstLineChars="1300"/>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单位公章</w:t>
            </w:r>
          </w:p>
          <w:p>
            <w:pPr>
              <w:adjustRightInd w:val="0"/>
              <w:snapToGrid w:val="0"/>
              <w:spacing w:line="580" w:lineRule="exact"/>
              <w:ind w:firstLine="3783" w:firstLineChars="1300"/>
              <w:rPr>
                <w:rFonts w:hint="eastAsia" w:ascii="仿宋_GB2312" w:hAnsi="仿宋_GB2312"/>
                <w:snapToGrid w:val="0"/>
                <w:color w:val="auto"/>
                <w:kern w:val="0"/>
                <w:sz w:val="28"/>
                <w:szCs w:val="28"/>
              </w:rPr>
            </w:pPr>
            <w:r>
              <w:rPr>
                <w:rFonts w:ascii="仿宋_GB2312" w:hAnsi="仿宋_GB2312" w:cs="宋体"/>
                <w:snapToGrid w:val="0"/>
                <w:color w:val="auto"/>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3"/>
            <w:tcBorders>
              <w:top w:val="single" w:color="auto" w:sz="12" w:space="0"/>
              <w:left w:val="single" w:color="auto" w:sz="12" w:space="0"/>
              <w:bottom w:val="single" w:color="auto" w:sz="4" w:space="0"/>
              <w:right w:val="single" w:color="auto" w:sz="12" w:space="0"/>
            </w:tcBorders>
            <w:noWrap w:val="0"/>
            <w:vAlign w:val="top"/>
          </w:tcPr>
          <w:p>
            <w:pPr>
              <w:snapToGrid w:val="0"/>
              <w:spacing w:line="580" w:lineRule="exact"/>
              <w:rPr>
                <w:rFonts w:hint="eastAsia" w:ascii="仿宋_GB2312" w:hAnsi="仿宋_GB2312"/>
                <w:snapToGrid w:val="0"/>
                <w:color w:val="auto"/>
                <w:kern w:val="0"/>
                <w:sz w:val="31"/>
                <w:szCs w:val="31"/>
              </w:rPr>
            </w:pPr>
            <w:r>
              <w:rPr>
                <w:rFonts w:hint="eastAsia" w:ascii="黑体" w:hAnsi="黑体" w:eastAsia="黑体"/>
                <w:snapToGrid w:val="0"/>
                <w:color w:val="auto"/>
                <w:kern w:val="0"/>
                <w:sz w:val="31"/>
                <w:szCs w:val="31"/>
              </w:rPr>
              <w:t>三、区体育行政主管部门意见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8946" w:type="dxa"/>
            <w:gridSpan w:val="13"/>
            <w:tcBorders>
              <w:top w:val="single" w:color="auto" w:sz="4" w:space="0"/>
              <w:left w:val="single" w:color="auto" w:sz="12" w:space="0"/>
              <w:bottom w:val="single" w:color="auto" w:sz="4" w:space="0"/>
              <w:right w:val="single" w:color="auto" w:sz="12" w:space="0"/>
            </w:tcBorders>
            <w:noWrap w:val="0"/>
            <w:vAlign w:val="center"/>
          </w:tcPr>
          <w:p>
            <w:pPr>
              <w:adjustRightInd w:val="0"/>
              <w:snapToGrid w:val="0"/>
              <w:spacing w:line="580" w:lineRule="exact"/>
              <w:ind w:firstLine="3808" w:firstLineChars="1309"/>
              <w:rPr>
                <w:rFonts w:hint="eastAsia" w:ascii="仿宋_GB2312" w:hAnsi="仿宋_GB2312" w:cs="宋体"/>
                <w:snapToGrid w:val="0"/>
                <w:color w:val="auto"/>
                <w:kern w:val="0"/>
                <w:sz w:val="28"/>
                <w:szCs w:val="28"/>
              </w:rPr>
            </w:pPr>
          </w:p>
          <w:p>
            <w:pPr>
              <w:adjustRightInd w:val="0"/>
              <w:snapToGrid w:val="0"/>
              <w:spacing w:line="580" w:lineRule="exact"/>
              <w:ind w:firstLine="3808" w:firstLineChars="1309"/>
              <w:rPr>
                <w:rFonts w:hint="eastAsia" w:ascii="仿宋_GB2312" w:hAnsi="仿宋_GB2312" w:cs="宋体"/>
                <w:snapToGrid w:val="0"/>
                <w:color w:val="auto"/>
                <w:kern w:val="0"/>
                <w:sz w:val="28"/>
                <w:szCs w:val="28"/>
              </w:rPr>
            </w:pPr>
          </w:p>
          <w:p>
            <w:pPr>
              <w:adjustRightInd w:val="0"/>
              <w:snapToGrid w:val="0"/>
              <w:spacing w:line="580" w:lineRule="exact"/>
              <w:ind w:firstLine="3808" w:firstLineChars="1309"/>
              <w:rPr>
                <w:rFonts w:hint="eastAsia" w:ascii="仿宋_GB2312" w:hAnsi="仿宋_GB2312" w:cs="宋体"/>
                <w:snapToGrid w:val="0"/>
                <w:color w:val="auto"/>
                <w:kern w:val="0"/>
                <w:sz w:val="28"/>
                <w:szCs w:val="28"/>
              </w:rPr>
            </w:pPr>
          </w:p>
          <w:p>
            <w:pPr>
              <w:adjustRightInd w:val="0"/>
              <w:snapToGrid w:val="0"/>
              <w:spacing w:line="580" w:lineRule="exact"/>
              <w:ind w:firstLine="4365" w:firstLineChars="1500"/>
              <w:rPr>
                <w:rFonts w:hint="eastAsia" w:ascii="仿宋_GB2312" w:hAnsi="仿宋_GB2312" w:cs="宋体"/>
                <w:snapToGrid w:val="0"/>
                <w:color w:val="auto"/>
                <w:kern w:val="0"/>
                <w:sz w:val="28"/>
                <w:szCs w:val="28"/>
              </w:rPr>
            </w:pPr>
          </w:p>
          <w:p>
            <w:pPr>
              <w:adjustRightInd w:val="0"/>
              <w:snapToGrid w:val="0"/>
              <w:spacing w:line="580" w:lineRule="exact"/>
              <w:ind w:firstLine="7155" w:firstLineChars="2459"/>
              <w:rPr>
                <w:rFonts w:hint="eastAsia" w:ascii="仿宋_GB2312" w:hAnsi="仿宋_GB2312" w:cs="宋体"/>
                <w:snapToGrid w:val="0"/>
                <w:color w:val="auto"/>
                <w:kern w:val="0"/>
                <w:sz w:val="28"/>
                <w:szCs w:val="28"/>
              </w:rPr>
            </w:pPr>
            <w:r>
              <w:rPr>
                <w:rFonts w:ascii="仿宋_GB2312" w:hAnsi="仿宋_GB2312" w:cs="宋体"/>
                <w:snapToGrid w:val="0"/>
                <w:color w:val="auto"/>
                <w:kern w:val="0"/>
                <w:sz w:val="28"/>
                <w:szCs w:val="28"/>
              </w:rPr>
              <w:t>公   章</w:t>
            </w:r>
          </w:p>
          <w:p>
            <w:pPr>
              <w:adjustRightInd w:val="0"/>
              <w:snapToGrid w:val="0"/>
              <w:spacing w:line="580" w:lineRule="exact"/>
              <w:ind w:firstLine="6864" w:firstLineChars="2359"/>
              <w:rPr>
                <w:rFonts w:hint="eastAsia" w:ascii="仿宋_GB2312" w:hAnsi="仿宋_GB2312"/>
                <w:snapToGrid w:val="0"/>
                <w:color w:val="auto"/>
                <w:kern w:val="0"/>
                <w:sz w:val="28"/>
                <w:szCs w:val="28"/>
              </w:rPr>
            </w:pPr>
            <w:r>
              <w:rPr>
                <w:rFonts w:ascii="仿宋_GB2312" w:hAnsi="仿宋_GB2312" w:cs="宋体"/>
                <w:snapToGrid w:val="0"/>
                <w:color w:val="auto"/>
                <w:kern w:val="0"/>
                <w:sz w:val="28"/>
                <w:szCs w:val="28"/>
              </w:rPr>
              <w:t>年  月  日</w:t>
            </w:r>
          </w:p>
        </w:tc>
      </w:tr>
    </w:tbl>
    <w:p>
      <w:pPr>
        <w:spacing w:line="550" w:lineRule="exact"/>
        <w:rPr>
          <w:rFonts w:ascii="宋体" w:hAnsi="Times New Roman" w:eastAsia="仿宋_GB2312"/>
          <w:b/>
          <w:color w:val="auto"/>
          <w:sz w:val="28"/>
          <w:szCs w:val="28"/>
        </w:rPr>
        <w:sectPr>
          <w:pgSz w:w="11907" w:h="16840"/>
          <w:pgMar w:top="2155" w:right="1588" w:bottom="1985" w:left="1588" w:header="851" w:footer="992" w:gutter="0"/>
          <w:cols w:space="720" w:num="1"/>
          <w:docGrid w:type="linesAndChars" w:linePitch="552" w:charSpace="2421"/>
        </w:sectPr>
      </w:pPr>
    </w:p>
    <w:p>
      <w:pPr>
        <w:pStyle w:val="8"/>
        <w:ind w:left="0" w:firstLine="0" w:firstLineChars="0"/>
        <w:rPr>
          <w:color w:val="auto"/>
        </w:rPr>
      </w:pPr>
      <w:bookmarkStart w:id="156" w:name="_Toc167402282"/>
      <w:r>
        <w:rPr>
          <w:rFonts w:eastAsia="仿宋_GB2312" w:cs="仿宋_GB2312"/>
          <w:color w:val="auto"/>
        </w:rPr>
        <w:t>附件8</w:t>
      </w:r>
      <w:bookmarkEnd w:id="156"/>
    </w:p>
    <w:p>
      <w:pPr>
        <w:spacing w:line="560" w:lineRule="exact"/>
        <w:jc w:val="center"/>
        <w:outlineLvl w:val="0"/>
        <w:rPr>
          <w:rFonts w:ascii="STZhongsong" w:hAnsi="STZhongsong" w:eastAsia="STZhongsong"/>
          <w:color w:val="auto"/>
          <w:sz w:val="44"/>
          <w:szCs w:val="44"/>
        </w:rPr>
      </w:pPr>
      <w:r>
        <w:rPr>
          <w:rFonts w:hint="eastAsia" w:ascii="STZhongsong" w:hAnsi="STZhongsong" w:eastAsia="STZhongsong"/>
          <w:color w:val="auto"/>
          <w:sz w:val="44"/>
          <w:szCs w:val="44"/>
        </w:rPr>
        <w:t>项目投入表</w:t>
      </w:r>
    </w:p>
    <w:p>
      <w:pPr>
        <w:spacing w:after="276" w:afterLines="50" w:line="560" w:lineRule="exact"/>
        <w:jc w:val="center"/>
        <w:outlineLvl w:val="0"/>
        <w:rPr>
          <w:rFonts w:ascii="仿宋_GB2312" w:hAnsi="STZhongsong" w:eastAsia="仿宋_GB2312"/>
          <w:color w:val="auto"/>
          <w:sz w:val="32"/>
          <w:szCs w:val="32"/>
        </w:rPr>
      </w:pPr>
      <w:r>
        <w:rPr>
          <w:rFonts w:ascii="仿宋_GB2312" w:hAnsi="STZhongsong"/>
          <w:color w:val="auto"/>
          <w:sz w:val="32"/>
          <w:szCs w:val="32"/>
        </w:rPr>
        <w:t>（参考格式）</w:t>
      </w:r>
    </w:p>
    <w:p>
      <w:pPr>
        <w:spacing w:line="570" w:lineRule="exact"/>
        <w:rPr>
          <w:rFonts w:ascii="宋体" w:hAnsi="宋体"/>
          <w:color w:val="auto"/>
          <w:szCs w:val="21"/>
        </w:rPr>
      </w:pPr>
      <w:r>
        <w:rPr>
          <w:rFonts w:hint="eastAsia" w:ascii="宋体" w:hAnsi="宋体"/>
          <w:color w:val="auto"/>
          <w:szCs w:val="21"/>
        </w:rPr>
        <w:t>填表说明：各科目内容需根据项目实际情况做进一步调整细化。</w:t>
      </w:r>
    </w:p>
    <w:tbl>
      <w:tblPr>
        <w:tblStyle w:val="5"/>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29"/>
        <w:gridCol w:w="935"/>
        <w:gridCol w:w="941"/>
        <w:gridCol w:w="1132"/>
        <w:gridCol w:w="1142"/>
        <w:gridCol w:w="106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exact"/>
          <w:jc w:val="center"/>
        </w:trPr>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序号</w:t>
            </w:r>
          </w:p>
        </w:tc>
        <w:tc>
          <w:tcPr>
            <w:tcW w:w="222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类别</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估算指标</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auto"/>
                <w:szCs w:val="21"/>
              </w:rPr>
            </w:pPr>
          </w:p>
        </w:tc>
        <w:tc>
          <w:tcPr>
            <w:tcW w:w="22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szCs w:val="21"/>
              </w:rPr>
            </w:pPr>
            <w:r>
              <w:rPr>
                <w:rFonts w:hint="eastAsia" w:ascii="宋体" w:hAnsi="宋体"/>
                <w:b/>
                <w:color w:val="auto"/>
                <w:szCs w:val="21"/>
              </w:rPr>
              <w:t>单价</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szCs w:val="21"/>
              </w:rPr>
            </w:pPr>
            <w:r>
              <w:rPr>
                <w:rFonts w:hint="eastAsia" w:ascii="宋体" w:hAnsi="宋体"/>
                <w:b/>
                <w:color w:val="auto"/>
                <w:szCs w:val="21"/>
              </w:rPr>
              <w:t>投入金额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szCs w:val="21"/>
              </w:rPr>
            </w:pPr>
            <w:r>
              <w:rPr>
                <w:rFonts w:hint="eastAsia" w:ascii="宋体" w:hAnsi="宋体"/>
                <w:b/>
                <w:color w:val="auto"/>
                <w:szCs w:val="21"/>
              </w:rPr>
              <w:t>已发生额</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szCs w:val="21"/>
              </w:rPr>
            </w:pPr>
            <w:r>
              <w:rPr>
                <w:rFonts w:hint="eastAsia" w:ascii="宋体" w:hAnsi="宋体"/>
                <w:b/>
                <w:color w:val="auto"/>
                <w:szCs w:val="21"/>
              </w:rPr>
              <w:t>应付</w:t>
            </w:r>
          </w:p>
          <w:p>
            <w:pPr>
              <w:snapToGrid w:val="0"/>
              <w:jc w:val="center"/>
              <w:rPr>
                <w:rFonts w:ascii="宋体" w:hAnsi="宋体"/>
                <w:b/>
                <w:color w:val="auto"/>
                <w:szCs w:val="21"/>
              </w:rPr>
            </w:pPr>
            <w:r>
              <w:rPr>
                <w:rFonts w:hint="eastAsia" w:ascii="宋体" w:hAnsi="宋体"/>
                <w:b/>
                <w:color w:val="auto"/>
                <w:szCs w:val="21"/>
              </w:rPr>
              <w:t>未付额</w:t>
            </w:r>
          </w:p>
        </w:tc>
        <w:tc>
          <w:tcPr>
            <w:tcW w:w="201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color w:val="auto"/>
                <w:szCs w:val="21"/>
              </w:rPr>
            </w:pP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jc w:val="center"/>
        </w:trPr>
        <w:tc>
          <w:tcPr>
            <w:tcW w:w="29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合计</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Cs w:val="21"/>
              </w:rPr>
            </w:pPr>
          </w:p>
        </w:tc>
        <w:tc>
          <w:tcPr>
            <w:tcW w:w="201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Cs w:val="21"/>
              </w:rPr>
            </w:pPr>
          </w:p>
        </w:tc>
      </w:tr>
    </w:tbl>
    <w:p>
      <w:pPr>
        <w:spacing w:line="550" w:lineRule="exact"/>
        <w:rPr>
          <w:rFonts w:ascii="宋体" w:hAnsi="Times New Roman" w:eastAsia="仿宋_GB2312"/>
          <w:b/>
          <w:color w:val="auto"/>
          <w:sz w:val="28"/>
          <w:szCs w:val="28"/>
        </w:rPr>
      </w:pPr>
    </w:p>
    <w:p>
      <w:pPr>
        <w:pStyle w:val="8"/>
        <w:ind w:left="0" w:firstLine="0" w:firstLineChars="0"/>
        <w:rPr>
          <w:color w:val="auto"/>
        </w:rPr>
      </w:pPr>
      <w:bookmarkStart w:id="157" w:name="_Toc167402283"/>
      <w:r>
        <w:rPr>
          <w:rFonts w:eastAsia="仿宋_GB2312" w:cs="仿宋_GB2312"/>
          <w:color w:val="auto"/>
        </w:rPr>
        <w:t>附件9</w:t>
      </w:r>
      <w:bookmarkEnd w:id="157"/>
    </w:p>
    <w:p>
      <w:pPr>
        <w:spacing w:before="240" w:after="360" w:line="560" w:lineRule="exact"/>
        <w:jc w:val="center"/>
        <w:outlineLvl w:val="0"/>
        <w:rPr>
          <w:rFonts w:ascii="STZhongsong" w:hAnsi="STZhongsong" w:eastAsia="STZhongsong"/>
          <w:color w:val="auto"/>
          <w:w w:val="90"/>
          <w:sz w:val="44"/>
          <w:szCs w:val="44"/>
        </w:rPr>
      </w:pPr>
      <w:r>
        <w:rPr>
          <w:rFonts w:hint="eastAsia" w:ascii="STZhongsong" w:hAnsi="STZhongsong" w:eastAsia="STZhongsong"/>
          <w:color w:val="auto"/>
          <w:w w:val="90"/>
          <w:sz w:val="44"/>
          <w:szCs w:val="44"/>
        </w:rPr>
        <w:t>体育赛事发展专项资金申报承诺表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Times New Roman" w:eastAsia="仿宋_GB2312"/>
                <w:color w:val="auto"/>
                <w:sz w:val="30"/>
                <w:szCs w:val="30"/>
              </w:rPr>
            </w:pPr>
            <w:r>
              <w:rPr>
                <w:rFonts w:ascii="宋体" w:hAnsi="宋体"/>
                <w:color w:val="auto"/>
              </w:rPr>
              <w:t>单位名称</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color w:val="auto"/>
              </w:rPr>
            </w:pPr>
            <w:r>
              <w:rPr>
                <w:rFonts w:ascii="宋体" w:hAnsi="宋体"/>
                <w:color w:val="auto"/>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jc w:val="center"/>
        </w:trPr>
        <w:tc>
          <w:tcPr>
            <w:tcW w:w="8931" w:type="dxa"/>
            <w:gridSpan w:val="2"/>
            <w:tcBorders>
              <w:top w:val="single" w:color="auto" w:sz="4" w:space="0"/>
              <w:left w:val="single" w:color="auto" w:sz="4" w:space="0"/>
              <w:bottom w:val="single" w:color="auto" w:sz="4" w:space="0"/>
              <w:right w:val="single" w:color="auto" w:sz="4" w:space="0"/>
            </w:tcBorders>
            <w:noWrap w:val="0"/>
            <w:vAlign w:val="top"/>
          </w:tcPr>
          <w:p>
            <w:pPr>
              <w:spacing w:before="276" w:beforeLines="50" w:line="500" w:lineRule="exact"/>
              <w:rPr>
                <w:rFonts w:hint="eastAsia" w:ascii="仿宋_GB2312" w:hAnsi="仿宋_GB2312"/>
                <w:color w:val="auto"/>
              </w:rPr>
            </w:pPr>
            <w:r>
              <w:rPr>
                <w:rFonts w:ascii="仿宋_GB2312" w:hAnsi="宋体"/>
                <w:color w:val="auto"/>
              </w:rPr>
              <w:t>我单位/联合体郑重承诺：</w:t>
            </w:r>
          </w:p>
          <w:p>
            <w:pPr>
              <w:spacing w:line="500" w:lineRule="exact"/>
              <w:ind w:firstLine="442" w:firstLineChars="200"/>
              <w:rPr>
                <w:rFonts w:ascii="仿宋_GB2312" w:hAnsi="宋体"/>
                <w:b/>
                <w:color w:val="auto"/>
              </w:rPr>
            </w:pPr>
            <w:r>
              <w:rPr>
                <w:rFonts w:ascii="仿宋_GB2312" w:hAnsi="宋体"/>
                <w:color w:val="auto"/>
              </w:rPr>
              <w:t>此次报送的体育赛事发展专项资金申报项目的</w:t>
            </w:r>
            <w:r>
              <w:rPr>
                <w:rFonts w:ascii="仿宋_GB2312" w:hAnsi="宋体"/>
                <w:b/>
                <w:color w:val="auto"/>
              </w:rPr>
              <w:t>所有材料均真实无误，无知识产权争议，且该项目未获得其他财政资金支持，并愿意承担因材料不实而引发的全部责任和后果。</w:t>
            </w:r>
          </w:p>
          <w:p>
            <w:pPr>
              <w:snapToGrid w:val="0"/>
              <w:spacing w:line="140" w:lineRule="atLeast"/>
              <w:ind w:firstLine="222" w:firstLineChars="200"/>
              <w:rPr>
                <w:rFonts w:ascii="宋体" w:hAnsi="Times New Roman"/>
                <w:color w:val="auto"/>
                <w:sz w:val="10"/>
                <w:szCs w:val="10"/>
              </w:rPr>
            </w:pPr>
          </w:p>
          <w:p>
            <w:pPr>
              <w:spacing w:before="276" w:beforeLines="50" w:line="500" w:lineRule="exact"/>
              <w:jc w:val="center"/>
              <w:rPr>
                <w:rFonts w:ascii="宋体" w:hAnsi="宋体"/>
                <w:b/>
                <w:color w:val="auto"/>
                <w:sz w:val="28"/>
                <w:szCs w:val="28"/>
              </w:rPr>
            </w:pPr>
            <w:r>
              <w:rPr>
                <w:rFonts w:hint="eastAsia" w:ascii="宋体" w:hAnsi="宋体"/>
                <w:b/>
                <w:color w:val="auto"/>
                <w:sz w:val="28"/>
                <w:szCs w:val="28"/>
              </w:rPr>
              <w:t>表 项目资金来源情况说明表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154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b/>
                      <w:color w:val="auto"/>
                      <w:sz w:val="22"/>
                      <w:szCs w:val="30"/>
                    </w:rPr>
                  </w:pPr>
                  <w:r>
                    <w:rPr>
                      <w:rFonts w:hint="eastAsia" w:ascii="宋体" w:hAnsi="宋体"/>
                      <w:b/>
                      <w:color w:val="auto"/>
                      <w:sz w:val="22"/>
                    </w:rPr>
                    <w:t>类型</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b/>
                      <w:color w:val="auto"/>
                      <w:sz w:val="22"/>
                    </w:rPr>
                  </w:pPr>
                  <w:r>
                    <w:rPr>
                      <w:rFonts w:hint="eastAsia" w:ascii="宋体" w:hAnsi="宋体"/>
                      <w:b/>
                      <w:color w:val="auto"/>
                      <w:sz w:val="22"/>
                    </w:rPr>
                    <w:t>金额（万元）</w:t>
                  </w: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b/>
                      <w:color w:val="auto"/>
                      <w:sz w:val="22"/>
                    </w:rPr>
                  </w:pPr>
                  <w:r>
                    <w:rPr>
                      <w:rFonts w:hint="eastAsia" w:ascii="宋体" w:hAnsi="宋体"/>
                      <w:b/>
                      <w:color w:val="auto"/>
                      <w:sz w:val="22"/>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r>
                    <w:rPr>
                      <w:rFonts w:hint="eastAsia" w:ascii="宋体" w:hAnsi="宋体"/>
                      <w:color w:val="auto"/>
                      <w:sz w:val="22"/>
                    </w:rPr>
                    <w:t>一、自有资金</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r>
                    <w:rPr>
                      <w:rFonts w:hint="eastAsia" w:ascii="宋体" w:hAnsi="宋体"/>
                      <w:color w:val="auto"/>
                      <w:sz w:val="22"/>
                    </w:rPr>
                    <w:t>二、金融机构贷款</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r>
                    <w:rPr>
                      <w:rFonts w:hint="eastAsia" w:ascii="宋体" w:hAnsi="宋体"/>
                      <w:color w:val="auto"/>
                      <w:sz w:val="22"/>
                    </w:rPr>
                    <w:t>三、财政资金（含国家、市级、区级等）</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r>
                    <w:rPr>
                      <w:rFonts w:hint="eastAsia" w:ascii="宋体" w:hAnsi="宋体"/>
                      <w:color w:val="auto"/>
                      <w:sz w:val="22"/>
                    </w:rPr>
                    <w:t>四、赞助费用（含现金、实物等）</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r>
                    <w:rPr>
                      <w:rFonts w:hint="eastAsia" w:ascii="宋体" w:hAnsi="宋体"/>
                      <w:color w:val="auto"/>
                      <w:sz w:val="22"/>
                    </w:rPr>
                    <w:t>五、其他</w:t>
                  </w:r>
                </w:p>
              </w:tc>
              <w:tc>
                <w:tcPr>
                  <w:tcW w:w="154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auto"/>
                      <w:sz w:val="22"/>
                    </w:rPr>
                  </w:pPr>
                </w:p>
              </w:tc>
            </w:tr>
          </w:tbl>
          <w:p>
            <w:pPr>
              <w:spacing w:line="500" w:lineRule="exact"/>
              <w:rPr>
                <w:rFonts w:ascii="宋体" w:hAnsi="宋体"/>
                <w:color w:val="auto"/>
                <w:sz w:val="28"/>
                <w:szCs w:val="28"/>
              </w:rPr>
            </w:pPr>
          </w:p>
          <w:p>
            <w:pPr>
              <w:spacing w:line="500" w:lineRule="exact"/>
              <w:jc w:val="center"/>
              <w:rPr>
                <w:rFonts w:ascii="宋体" w:hAnsi="宋体"/>
                <w:b/>
                <w:color w:val="auto"/>
                <w:sz w:val="28"/>
                <w:szCs w:val="28"/>
              </w:rPr>
            </w:pPr>
            <w:r>
              <w:rPr>
                <w:rFonts w:hint="eastAsia" w:ascii="宋体" w:hAnsi="宋体"/>
                <w:b/>
                <w:color w:val="auto"/>
                <w:sz w:val="28"/>
                <w:szCs w:val="28"/>
              </w:rPr>
              <w:t>表 项目单位专项资金申报情况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2"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44" w:leftChars="-20" w:firstLine="71" w:firstLineChars="31"/>
                    <w:rPr>
                      <w:rFonts w:ascii="宋体" w:hAnsi="宋体"/>
                      <w:color w:val="auto"/>
                      <w:sz w:val="22"/>
                      <w:szCs w:val="30"/>
                    </w:rPr>
                  </w:pPr>
                  <w:r>
                    <w:rPr>
                      <w:rFonts w:hint="eastAsia" w:ascii="宋体" w:hAnsi="宋体"/>
                      <w:color w:val="auto"/>
                      <w:sz w:val="22"/>
                    </w:rPr>
                    <w:t>该申报项目是否获得</w:t>
                  </w:r>
                </w:p>
                <w:p>
                  <w:pPr>
                    <w:spacing w:line="380" w:lineRule="exact"/>
                    <w:ind w:left="-44" w:leftChars="-20" w:firstLine="71" w:firstLineChars="31"/>
                    <w:rPr>
                      <w:rFonts w:ascii="宋体" w:hAnsi="宋体"/>
                      <w:color w:val="auto"/>
                      <w:sz w:val="22"/>
                    </w:rPr>
                  </w:pPr>
                  <w:r>
                    <w:rPr>
                      <w:rFonts w:hint="eastAsia" w:ascii="宋体" w:hAnsi="宋体"/>
                      <w:color w:val="auto"/>
                      <w:sz w:val="22"/>
                      <w:lang w:eastAsia="zh-CN"/>
                    </w:rPr>
                    <w:t>其他</w:t>
                  </w:r>
                  <w:bookmarkStart w:id="160" w:name="_GoBack"/>
                  <w:bookmarkEnd w:id="160"/>
                  <w:r>
                    <w:rPr>
                      <w:rFonts w:hint="eastAsia" w:ascii="宋体" w:hAnsi="宋体"/>
                      <w:color w:val="auto"/>
                      <w:sz w:val="22"/>
                    </w:rPr>
                    <w:t>财政资金支持</w:t>
                  </w:r>
                </w:p>
              </w:tc>
              <w:tc>
                <w:tcPr>
                  <w:tcW w:w="5386"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41" w:leftChars="-19" w:firstLine="59" w:firstLineChars="26"/>
                    <w:rPr>
                      <w:rFonts w:ascii="宋体" w:hAnsi="宋体"/>
                      <w:color w:val="auto"/>
                      <w:sz w:val="22"/>
                    </w:rPr>
                  </w:pPr>
                  <w:r>
                    <w:rPr>
                      <w:rFonts w:hint="eastAsia" w:ascii="宋体" w:hAnsi="宋体"/>
                      <w:color w:val="auto"/>
                      <w:sz w:val="22"/>
                    </w:rPr>
                    <w:t>□是（请注明资金名称）</w:t>
                  </w:r>
                </w:p>
                <w:p>
                  <w:pPr>
                    <w:spacing w:line="380" w:lineRule="exact"/>
                    <w:ind w:left="-41" w:leftChars="-19" w:firstLine="59" w:firstLineChars="26"/>
                    <w:rPr>
                      <w:rFonts w:ascii="宋体" w:hAnsi="宋体"/>
                      <w:color w:val="auto"/>
                      <w:sz w:val="22"/>
                    </w:rPr>
                  </w:pPr>
                  <w:r>
                    <w:rPr>
                      <w:rFonts w:hint="eastAsia" w:ascii="宋体" w:hAnsi="宋体"/>
                      <w:color w:val="auto"/>
                      <w:sz w:val="22"/>
                    </w:rPr>
                    <w:t>□否</w:t>
                  </w:r>
                </w:p>
              </w:tc>
            </w:tr>
          </w:tbl>
          <w:p>
            <w:pPr>
              <w:snapToGrid w:val="0"/>
              <w:spacing w:line="240" w:lineRule="atLeast"/>
              <w:rPr>
                <w:rFonts w:ascii="宋体" w:hAnsi="Times New Roman"/>
                <w:color w:val="auto"/>
                <w:sz w:val="30"/>
                <w:szCs w:val="30"/>
              </w:rPr>
            </w:pPr>
          </w:p>
          <w:p>
            <w:pPr>
              <w:snapToGrid w:val="0"/>
              <w:spacing w:line="240" w:lineRule="atLeast"/>
              <w:rPr>
                <w:rFonts w:ascii="宋体"/>
                <w:color w:val="auto"/>
              </w:rPr>
            </w:pPr>
          </w:p>
          <w:p>
            <w:pPr>
              <w:ind w:firstLine="324" w:firstLineChars="147"/>
              <w:rPr>
                <w:rFonts w:ascii="仿宋_GB2312" w:hAnsi="宋体" w:eastAsia="仿宋_GB2312"/>
                <w:color w:val="auto"/>
              </w:rPr>
            </w:pPr>
            <w:r>
              <w:rPr>
                <w:rFonts w:ascii="仿宋_GB2312" w:hAnsi="宋体"/>
                <w:color w:val="auto"/>
              </w:rPr>
              <w:t>申报单位法人代表签字</w:t>
            </w:r>
          </w:p>
          <w:p>
            <w:pPr>
              <w:ind w:firstLine="366" w:firstLineChars="146"/>
              <w:rPr>
                <w:rFonts w:ascii="仿宋_GB2312" w:hAnsi="宋体"/>
                <w:color w:val="auto"/>
                <w:sz w:val="24"/>
              </w:rPr>
            </w:pPr>
            <w:r>
              <w:rPr>
                <w:rFonts w:ascii="仿宋_GB2312" w:hAnsi="宋体"/>
                <w:color w:val="auto"/>
                <w:sz w:val="24"/>
              </w:rPr>
              <w:t>（联合体申报单位均须签字）</w:t>
            </w:r>
          </w:p>
          <w:p>
            <w:pPr>
              <w:ind w:firstLine="4631" w:firstLineChars="2096"/>
              <w:rPr>
                <w:rFonts w:ascii="宋体" w:hAnsi="Times New Roman"/>
                <w:color w:val="auto"/>
                <w:u w:val="single"/>
              </w:rPr>
            </w:pPr>
            <w:r>
              <w:rPr>
                <w:rFonts w:ascii="仿宋_GB2312" w:hAnsi="宋体"/>
                <w:color w:val="auto"/>
              </w:rPr>
              <w:t>年   月   日</w:t>
            </w:r>
          </w:p>
        </w:tc>
      </w:tr>
    </w:tbl>
    <w:p>
      <w:pPr>
        <w:widowControl/>
        <w:jc w:val="left"/>
        <w:rPr>
          <w:rFonts w:ascii="宋体"/>
          <w:b/>
          <w:color w:val="auto"/>
          <w:sz w:val="28"/>
          <w:szCs w:val="28"/>
        </w:rPr>
        <w:sectPr>
          <w:pgSz w:w="11907" w:h="16840"/>
          <w:pgMar w:top="2155" w:right="1588" w:bottom="1985" w:left="1588" w:header="851" w:footer="992" w:gutter="0"/>
          <w:cols w:space="720" w:num="1"/>
          <w:docGrid w:type="linesAndChars" w:linePitch="552" w:charSpace="2421"/>
        </w:sectPr>
      </w:pPr>
    </w:p>
    <w:p>
      <w:pPr>
        <w:pStyle w:val="8"/>
        <w:ind w:left="0" w:firstLine="0" w:firstLineChars="0"/>
        <w:rPr>
          <w:color w:val="auto"/>
        </w:rPr>
      </w:pPr>
      <w:bookmarkStart w:id="158" w:name="_Toc167402284"/>
      <w:r>
        <w:rPr>
          <w:rFonts w:eastAsia="仿宋_GB2312" w:cs="仿宋_GB2312"/>
          <w:color w:val="auto"/>
        </w:rPr>
        <w:t>附件10</w:t>
      </w:r>
      <w:bookmarkEnd w:id="158"/>
    </w:p>
    <w:p>
      <w:pPr>
        <w:spacing w:line="570" w:lineRule="exact"/>
        <w:jc w:val="center"/>
        <w:outlineLvl w:val="0"/>
        <w:rPr>
          <w:rFonts w:ascii="STZhongsong" w:hAnsi="STZhongsong" w:eastAsia="STZhongsong"/>
          <w:color w:val="auto"/>
          <w:w w:val="90"/>
          <w:sz w:val="44"/>
          <w:szCs w:val="44"/>
        </w:rPr>
      </w:pPr>
      <w:r>
        <w:rPr>
          <w:rFonts w:hint="eastAsia" w:ascii="STZhongsong" w:hAnsi="STZhongsong" w:eastAsia="STZhongsong"/>
          <w:color w:val="auto"/>
          <w:w w:val="90"/>
          <w:sz w:val="44"/>
          <w:szCs w:val="44"/>
        </w:rPr>
        <w:t>体育赛事发展专项资金项目成效情况表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3686"/>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1"/>
              </w:rPr>
            </w:pPr>
            <w:r>
              <w:rPr>
                <w:rFonts w:hint="eastAsia" w:ascii="宋体" w:hAnsi="宋体"/>
                <w:color w:val="auto"/>
                <w:sz w:val="24"/>
                <w:szCs w:val="21"/>
              </w:rPr>
              <w:t>申报项目名称</w:t>
            </w:r>
          </w:p>
        </w:tc>
        <w:tc>
          <w:tcPr>
            <w:tcW w:w="1110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1"/>
              </w:rPr>
            </w:pPr>
            <w:r>
              <w:rPr>
                <w:rFonts w:hint="eastAsia" w:ascii="宋体" w:hAnsi="宋体"/>
                <w:color w:val="auto"/>
                <w:sz w:val="24"/>
                <w:szCs w:val="21"/>
              </w:rPr>
              <w:t>赛事举办地点</w:t>
            </w:r>
          </w:p>
        </w:tc>
        <w:tc>
          <w:tcPr>
            <w:tcW w:w="1110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before="93" w:after="93" w:line="360" w:lineRule="exact"/>
              <w:jc w:val="center"/>
              <w:rPr>
                <w:rFonts w:ascii="宋体" w:hAnsi="宋体"/>
                <w:color w:val="auto"/>
                <w:sz w:val="24"/>
                <w:szCs w:val="21"/>
              </w:rPr>
            </w:pPr>
            <w:r>
              <w:rPr>
                <w:rFonts w:hint="eastAsia" w:ascii="宋体" w:hAnsi="宋体"/>
                <w:color w:val="auto"/>
                <w:sz w:val="24"/>
                <w:szCs w:val="21"/>
              </w:rPr>
              <w:t>赛事实施</w:t>
            </w:r>
          </w:p>
          <w:p>
            <w:pPr>
              <w:spacing w:before="93" w:after="93" w:line="360" w:lineRule="exact"/>
              <w:jc w:val="center"/>
              <w:rPr>
                <w:rFonts w:ascii="宋体" w:hAnsi="宋体"/>
                <w:color w:val="auto"/>
                <w:sz w:val="24"/>
                <w:szCs w:val="21"/>
              </w:rPr>
            </w:pPr>
            <w:r>
              <w:rPr>
                <w:rFonts w:hint="eastAsia" w:ascii="宋体" w:hAnsi="宋体"/>
                <w:color w:val="auto"/>
                <w:sz w:val="24"/>
                <w:szCs w:val="21"/>
              </w:rPr>
              <w:t>情况概述</w:t>
            </w:r>
          </w:p>
        </w:tc>
        <w:tc>
          <w:tcPr>
            <w:tcW w:w="11107" w:type="dxa"/>
            <w:gridSpan w:val="3"/>
            <w:tcBorders>
              <w:top w:val="single" w:color="auto" w:sz="4" w:space="0"/>
              <w:left w:val="single" w:color="auto" w:sz="4" w:space="0"/>
              <w:bottom w:val="single" w:color="auto" w:sz="4" w:space="0"/>
              <w:right w:val="single" w:color="auto" w:sz="4" w:space="0"/>
            </w:tcBorders>
            <w:noWrap w:val="0"/>
            <w:vAlign w:val="center"/>
          </w:tcPr>
          <w:p>
            <w:pPr>
              <w:spacing w:before="93" w:after="93" w:line="360" w:lineRule="exact"/>
              <w:jc w:val="left"/>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center"/>
              <w:rPr>
                <w:rFonts w:ascii="宋体" w:hAnsi="宋体"/>
                <w:color w:val="auto"/>
                <w:sz w:val="24"/>
                <w:szCs w:val="21"/>
              </w:rPr>
            </w:pPr>
            <w:r>
              <w:rPr>
                <w:rFonts w:hint="eastAsia" w:ascii="宋体" w:hAnsi="宋体"/>
                <w:color w:val="auto"/>
                <w:sz w:val="24"/>
                <w:szCs w:val="21"/>
              </w:rPr>
              <w:t>赛事成效</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center"/>
              <w:rPr>
                <w:rFonts w:ascii="宋体" w:hAnsi="宋体"/>
                <w:color w:val="auto"/>
                <w:sz w:val="24"/>
                <w:szCs w:val="21"/>
              </w:rPr>
            </w:pPr>
            <w:r>
              <w:rPr>
                <w:rFonts w:hint="eastAsia" w:ascii="宋体" w:hAnsi="宋体"/>
                <w:color w:val="auto"/>
                <w:sz w:val="24"/>
                <w:szCs w:val="21"/>
              </w:rPr>
              <w:t>成效指标</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center"/>
              <w:rPr>
                <w:rFonts w:ascii="宋体" w:hAnsi="宋体"/>
                <w:color w:val="auto"/>
                <w:sz w:val="24"/>
                <w:szCs w:val="21"/>
              </w:rPr>
            </w:pPr>
            <w:r>
              <w:rPr>
                <w:rFonts w:hint="eastAsia" w:ascii="宋体" w:hAnsi="宋体"/>
                <w:color w:val="auto"/>
                <w:sz w:val="24"/>
                <w:szCs w:val="21"/>
              </w:rPr>
              <w:t>本届赛事</w:t>
            </w: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center"/>
              <w:rPr>
                <w:rFonts w:ascii="宋体" w:hAnsi="宋体"/>
                <w:color w:val="auto"/>
                <w:sz w:val="24"/>
                <w:szCs w:val="21"/>
              </w:rPr>
            </w:pPr>
            <w:r>
              <w:rPr>
                <w:rFonts w:hint="eastAsia" w:ascii="宋体" w:hAnsi="宋体"/>
                <w:color w:val="auto"/>
                <w:sz w:val="24"/>
                <w:szCs w:val="21"/>
              </w:rPr>
              <w:t>上届赛事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赛事参赛人数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赛事观赛人次（万人）</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实现销售收入（万元）</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赛事等级</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国际级赛事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全国级赛事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埠际级赛事   □</w:t>
            </w:r>
          </w:p>
        </w:tc>
        <w:tc>
          <w:tcPr>
            <w:tcW w:w="387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国际级赛事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全国级赛事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埠际级赛事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赛事连续举办届数</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赛事转播情况</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国际直播、录播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央视直播、录播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卫视直播、录播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地方台直播、录播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u w:val="single"/>
                <w:lang w:bidi="ar"/>
              </w:rPr>
              <w:t>________</w:t>
            </w:r>
            <w:r>
              <w:rPr>
                <w:rFonts w:hint="eastAsia" w:ascii="宋体" w:hAnsi="宋体" w:cs="仿宋_GB2312"/>
                <w:color w:val="auto"/>
                <w:kern w:val="0"/>
                <w:sz w:val="20"/>
                <w:szCs w:val="22"/>
                <w:lang w:bidi="ar"/>
              </w:rPr>
              <w:t>网站直播、视频转播  □</w:t>
            </w:r>
          </w:p>
        </w:tc>
        <w:tc>
          <w:tcPr>
            <w:tcW w:w="387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国际直播、录播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央视直播、录播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卫视直播、录播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lang w:bidi="ar"/>
              </w:rPr>
              <w:t>地方台直播、录播 □</w:t>
            </w:r>
          </w:p>
          <w:p>
            <w:pPr>
              <w:widowControl/>
              <w:spacing w:line="276" w:lineRule="auto"/>
              <w:textAlignment w:val="center"/>
              <w:rPr>
                <w:rFonts w:ascii="宋体" w:hAnsi="宋体" w:cs="仿宋_GB2312"/>
                <w:color w:val="auto"/>
                <w:kern w:val="0"/>
                <w:sz w:val="20"/>
                <w:szCs w:val="22"/>
                <w:lang w:bidi="ar"/>
              </w:rPr>
            </w:pPr>
            <w:r>
              <w:rPr>
                <w:rFonts w:hint="eastAsia" w:ascii="宋体" w:hAnsi="宋体" w:cs="仿宋_GB2312"/>
                <w:color w:val="auto"/>
                <w:kern w:val="0"/>
                <w:sz w:val="20"/>
                <w:szCs w:val="22"/>
                <w:u w:val="single"/>
                <w:lang w:bidi="ar"/>
              </w:rPr>
              <w:t>________</w:t>
            </w:r>
            <w:r>
              <w:rPr>
                <w:rFonts w:hint="eastAsia" w:ascii="宋体" w:hAnsi="宋体" w:cs="仿宋_GB2312"/>
                <w:color w:val="auto"/>
                <w:kern w:val="0"/>
                <w:sz w:val="20"/>
                <w:szCs w:val="22"/>
                <w:lang w:bidi="ar"/>
              </w:rPr>
              <w:t>网站直播、视频转播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赛事奖金设置总额</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textAlignment w:val="center"/>
              <w:rPr>
                <w:rFonts w:ascii="宋体" w:hAnsi="宋体" w:cs="仿宋_GB2312"/>
                <w:color w:val="auto"/>
                <w:kern w:val="0"/>
                <w:sz w:val="20"/>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赛事的赞助商数量</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赛事赞助商中世界500强企业和上市公司数量</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赞助商赞助总金额</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赛事开展群众性推广活动数量</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赛事的传统媒体（电视、门户网站、纸质等媒体）报道篇次</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1"/>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jc w:val="left"/>
              <w:rPr>
                <w:rFonts w:ascii="宋体" w:hAnsi="宋体"/>
                <w:color w:val="auto"/>
                <w:sz w:val="24"/>
                <w:szCs w:val="21"/>
              </w:rPr>
            </w:pPr>
            <w:r>
              <w:rPr>
                <w:rFonts w:hint="eastAsia" w:ascii="宋体" w:hAnsi="宋体"/>
                <w:color w:val="auto"/>
                <w:sz w:val="24"/>
                <w:szCs w:val="21"/>
              </w:rPr>
              <w:t>赛事的社交媒体（微博、微信等媒体）的总报道篇次</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c>
          <w:tcPr>
            <w:tcW w:w="3877" w:type="dxa"/>
            <w:tcBorders>
              <w:top w:val="single" w:color="auto" w:sz="4" w:space="0"/>
              <w:left w:val="single" w:color="auto" w:sz="4" w:space="0"/>
              <w:bottom w:val="single" w:color="auto" w:sz="4" w:space="0"/>
              <w:right w:val="single" w:color="auto" w:sz="4" w:space="0"/>
            </w:tcBorders>
            <w:noWrap w:val="0"/>
            <w:vAlign w:val="center"/>
          </w:tcPr>
          <w:p>
            <w:pPr>
              <w:spacing w:before="110" w:beforeLines="20" w:after="110" w:afterLines="20"/>
              <w:rPr>
                <w:rFonts w:ascii="宋体" w:hAnsi="宋体"/>
                <w:color w:val="auto"/>
                <w:sz w:val="24"/>
                <w:szCs w:val="21"/>
              </w:rPr>
            </w:pPr>
          </w:p>
        </w:tc>
      </w:tr>
    </w:tbl>
    <w:p>
      <w:pPr>
        <w:spacing w:line="570" w:lineRule="exact"/>
        <w:rPr>
          <w:rFonts w:ascii="黑体" w:hAnsi="Times New Roman" w:eastAsia="黑体"/>
          <w:color w:val="auto"/>
          <w:sz w:val="24"/>
        </w:rPr>
      </w:pPr>
      <w:r>
        <w:rPr>
          <w:rFonts w:hint="eastAsia" w:ascii="黑体" w:eastAsia="黑体"/>
          <w:color w:val="auto"/>
          <w:sz w:val="24"/>
        </w:rPr>
        <w:t>注：提升能级类赛事必须填写上届赛事成效</w:t>
      </w:r>
    </w:p>
    <w:p>
      <w:pPr>
        <w:spacing w:line="570" w:lineRule="exact"/>
        <w:ind w:firstLine="480" w:firstLineChars="200"/>
        <w:rPr>
          <w:rFonts w:ascii="黑体" w:eastAsia="黑体"/>
          <w:color w:val="auto"/>
          <w:sz w:val="24"/>
        </w:rPr>
        <w:sectPr>
          <w:pgSz w:w="16840" w:h="11907" w:orient="landscape"/>
          <w:pgMar w:top="1588" w:right="1985" w:bottom="1588" w:left="2155" w:header="851" w:footer="992" w:gutter="0"/>
          <w:cols w:space="720" w:num="1"/>
          <w:docGrid w:type="lines" w:linePitch="552" w:charSpace="0"/>
        </w:sectPr>
      </w:pPr>
      <w:r>
        <w:rPr>
          <w:rFonts w:hint="eastAsia" w:ascii="黑体" w:eastAsia="黑体"/>
          <w:color w:val="auto"/>
          <w:sz w:val="24"/>
        </w:rPr>
        <w:t>项目单位应提供赛事成效指标的数据来源或证明材料</w:t>
      </w:r>
    </w:p>
    <w:p>
      <w:pPr>
        <w:pStyle w:val="7"/>
        <w:jc w:val="left"/>
        <w:rPr>
          <w:color w:val="auto"/>
        </w:rPr>
      </w:pPr>
      <w:bookmarkStart w:id="159" w:name="_Toc167402285"/>
      <w:r>
        <w:rPr>
          <w:rFonts w:hint="eastAsia" w:ascii="仿宋_GB2312" w:hAnsi="仿宋_GB2312" w:eastAsia="仿宋_GB2312" w:cs="仿宋_GB2312"/>
          <w:color w:val="auto"/>
        </w:rPr>
        <w:t>附件11</w:t>
      </w:r>
      <w:r>
        <w:rPr>
          <w:rFonts w:hint="eastAsia"/>
          <w:color w:val="auto"/>
        </w:rPr>
        <w:t>（市体育产业专家库）</w:t>
      </w:r>
      <w:bookmarkEnd w:id="159"/>
    </w:p>
    <w:bookmarkEnd w:id="153"/>
    <w:bookmarkEnd w:id="154"/>
    <w:bookmarkEnd w:id="155"/>
    <w:p>
      <w:pPr>
        <w:pStyle w:val="8"/>
        <w:ind w:left="0" w:firstLine="0" w:firstLineChars="0"/>
        <w:rPr>
          <w:color w:val="auto"/>
        </w:rPr>
      </w:pPr>
    </w:p>
    <w:p>
      <w:pPr>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TZhongsong">
    <w:altName w:val="仿宋_GB2312"/>
    <w:panose1 w:val="00000000000000000000"/>
    <w:charset w:val="00"/>
    <w:family w:val="auto"/>
    <w:pitch w:val="default"/>
    <w:sig w:usb0="00000000" w:usb1="00000000" w:usb2="00000010" w:usb3="00000000" w:csb0="0004009F" w:csb1="00000000"/>
  </w:font>
  <w:font w:name="FZXBSJW--GB1-0">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CC734"/>
    <w:multiLevelType w:val="singleLevel"/>
    <w:tmpl w:val="98FCC734"/>
    <w:lvl w:ilvl="0" w:tentative="0">
      <w:start w:val="1"/>
      <w:numFmt w:val="chineseCounting"/>
      <w:suff w:val="nothing"/>
      <w:lvlText w:val="%1、"/>
      <w:lvlJc w:val="left"/>
      <w:rPr>
        <w:rFonts w:hint="eastAsia"/>
      </w:rPr>
    </w:lvl>
  </w:abstractNum>
  <w:abstractNum w:abstractNumId="1">
    <w:nsid w:val="D4A3F623"/>
    <w:multiLevelType w:val="singleLevel"/>
    <w:tmpl w:val="D4A3F623"/>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pPr>
        <w:ind w:left="0" w:firstLine="0"/>
      </w:pPr>
    </w:lvl>
  </w:abstractNum>
  <w:abstractNum w:abstractNumId="3">
    <w:nsid w:val="5E67AB92"/>
    <w:multiLevelType w:val="singleLevel"/>
    <w:tmpl w:val="5E67AB92"/>
    <w:lvl w:ilvl="0" w:tentative="0">
      <w:start w:val="1"/>
      <w:numFmt w:val="decimal"/>
      <w:suff w:val="nothing"/>
      <w:lvlText w:val="（%1）"/>
      <w:lvlJc w:val="left"/>
    </w:lvl>
  </w:abstractNum>
  <w:num w:numId="1">
    <w:abstractNumId w:val="1"/>
  </w:num>
  <w:num w:numId="2">
    <w:abstractNumId w:val="0"/>
  </w:num>
  <w:num w:numId="3">
    <w:abstractNumId w:val="3"/>
  </w:num>
  <w:num w:numId="4">
    <w:abstractNumId w:val="1"/>
    <w:lvlOverride w:ilvl="0">
      <w:startOverride w:val="1"/>
    </w:lvlOverride>
  </w:num>
  <w:num w:numId="5">
    <w:abstractNumId w:val="3"/>
    <w:lvlOverride w:ilvl="0">
      <w:startOverride w:val="1"/>
    </w:lvlOverride>
  </w:num>
  <w:num w:numId="6">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德恒金伟佳律师助理">
    <w15:presenceInfo w15:providerId="None" w15:userId="德恒金伟佳律师助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GY2ZGI2OGRkZWY1M2JhYTkyN2VlNmNiNWQ5YTIifQ=="/>
  </w:docVars>
  <w:rsids>
    <w:rsidRoot w:val="54F43646"/>
    <w:rsid w:val="01833C35"/>
    <w:rsid w:val="13FE6BA7"/>
    <w:rsid w:val="17A34E3B"/>
    <w:rsid w:val="54A94789"/>
    <w:rsid w:val="54F43646"/>
    <w:rsid w:val="6B0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Calibri" w:hAnsi="Calibri" w:eastAsia="宋体" w:cs="Times New Roman"/>
      <w:sz w:val="18"/>
    </w:rPr>
  </w:style>
  <w:style w:type="paragraph" w:styleId="3">
    <w:name w:val="Normal (Web)"/>
    <w:basedOn w:val="1"/>
    <w:autoRedefine/>
    <w:qFormat/>
    <w:uiPriority w:val="0"/>
    <w:pPr>
      <w:spacing w:beforeAutospacing="1" w:afterAutospacing="1"/>
      <w:jc w:val="left"/>
    </w:pPr>
    <w:rPr>
      <w:rFonts w:ascii="Calibri" w:hAnsi="Calibri" w:eastAsia="宋体" w:cs="Times New Roman"/>
      <w:kern w:val="0"/>
      <w:sz w:val="24"/>
    </w:rPr>
  </w:style>
  <w:style w:type="paragraph" w:styleId="4">
    <w:name w:val="Title"/>
    <w:basedOn w:val="1"/>
    <w:qFormat/>
    <w:uiPriority w:val="0"/>
    <w:pPr>
      <w:spacing w:before="240" w:after="60"/>
      <w:jc w:val="center"/>
      <w:outlineLvl w:val="0"/>
    </w:pPr>
    <w:rPr>
      <w:rFonts w:ascii="Arial" w:hAnsi="Arial" w:eastAsia="宋体" w:cs="Times New Roman"/>
      <w:b/>
      <w:sz w:val="32"/>
    </w:rPr>
  </w:style>
  <w:style w:type="paragraph" w:customStyle="1" w:styleId="7">
    <w:name w:val="一级"/>
    <w:basedOn w:val="1"/>
    <w:next w:val="4"/>
    <w:autoRedefine/>
    <w:qFormat/>
    <w:uiPriority w:val="0"/>
    <w:pPr>
      <w:adjustRightInd w:val="0"/>
      <w:snapToGrid w:val="0"/>
      <w:spacing w:line="560" w:lineRule="exact"/>
      <w:ind w:firstLine="602"/>
      <w:jc w:val="center"/>
      <w:outlineLvl w:val="0"/>
    </w:pPr>
    <w:rPr>
      <w:rFonts w:ascii="黑体" w:hAnsi="黑体" w:eastAsia="黑体" w:cs="宋体"/>
      <w:color w:val="000000"/>
      <w:sz w:val="32"/>
      <w:szCs w:val="32"/>
    </w:rPr>
  </w:style>
  <w:style w:type="paragraph" w:customStyle="1" w:styleId="8">
    <w:name w:val="二级"/>
    <w:basedOn w:val="1"/>
    <w:link w:val="9"/>
    <w:autoRedefine/>
    <w:qFormat/>
    <w:uiPriority w:val="0"/>
    <w:pPr>
      <w:spacing w:line="560" w:lineRule="exact"/>
      <w:ind w:left="449" w:firstLine="602" w:firstLineChars="200"/>
      <w:jc w:val="left"/>
    </w:pPr>
    <w:rPr>
      <w:rFonts w:hint="eastAsia" w:ascii="仿宋_GB2312" w:hAnsi="仿宋_GB2312" w:eastAsia="黑体" w:cs="宋体"/>
      <w:kern w:val="0"/>
      <w:sz w:val="32"/>
      <w:szCs w:val="32"/>
    </w:rPr>
  </w:style>
  <w:style w:type="character" w:customStyle="1" w:styleId="9">
    <w:name w:val="二级 Char"/>
    <w:link w:val="8"/>
    <w:autoRedefine/>
    <w:qFormat/>
    <w:uiPriority w:val="0"/>
    <w:rPr>
      <w:rFonts w:hint="eastAsia" w:ascii="仿宋_GB2312" w:hAnsi="仿宋_GB2312" w:eastAsia="黑体" w:cs="宋体"/>
      <w:kern w:val="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2024-09-05T04:51:00Z</dcterms:created>
  <dc:creator>林癫癫-</dc:creator>
  <cp:lastModifiedBy>林癫癫-</cp:lastModifiedBy>
  <dcterms:modified xsi:type="dcterms:W3CDTF">2024-09-05T05:11:22Z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D072F4369DE148D2B8A85C3143BA24B9_11</vt:lpwstr>
  </property>
</Properties>
</file>