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adjustRightInd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附件1</w:t>
      </w:r>
    </w:p>
    <w:p>
      <w:pPr>
        <w:pStyle w:val="11"/>
        <w:adjustRightInd w:val="0"/>
        <w:spacing w:after="240" w:line="58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物业管理费</w:t>
      </w:r>
    </w:p>
    <w:p>
      <w:pPr>
        <w:pStyle w:val="11"/>
        <w:adjustRightInd w:val="0"/>
        <w:spacing w:after="240" w:line="58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财政支出绩效自评报告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一、项目背景及基本情况</w:t>
      </w:r>
    </w:p>
    <w:p>
      <w:pPr>
        <w:spacing w:line="580" w:lineRule="exact"/>
        <w:ind w:firstLine="482" w:firstLineChars="200"/>
        <w:rPr>
          <w:rFonts w:cs="仿宋_GB2312" w:asciiTheme="minorEastAsia" w:hAnsiTheme="minorEastAsia" w:eastAsiaTheme="minorEastAsia"/>
          <w:b/>
          <w:spacing w:val="-4"/>
          <w:kern w:val="44"/>
          <w:szCs w:val="32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（一）项目实施情况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1、实施背景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ascii="仿宋" w:hAnsi="仿宋" w:eastAsia="仿宋" w:cs="仿宋"/>
          <w:kern w:val="2"/>
          <w:sz w:val="24"/>
        </w:rPr>
        <w:t>年禾山街道办事处为提升后勤管理质量和保障服务水平，</w:t>
      </w:r>
      <w:r>
        <w:rPr>
          <w:rFonts w:hint="eastAsia" w:ascii="仿宋" w:hAnsi="仿宋" w:eastAsia="仿宋" w:cs="仿宋"/>
          <w:kern w:val="2"/>
          <w:sz w:val="24"/>
        </w:rPr>
        <w:t>实现禾山街道社区服务中心综合楼项目内房屋建筑物安全管理、公共秩序维护、交通和车辆停放秩序的管理、保洁、绿化管理、会务服务、日常工程维修等政府要求的其他保障工作。</w:t>
      </w:r>
      <w:r>
        <w:rPr>
          <w:rFonts w:ascii="仿宋" w:hAnsi="仿宋" w:eastAsia="仿宋" w:cs="仿宋"/>
          <w:kern w:val="2"/>
          <w:sz w:val="24"/>
        </w:rPr>
        <w:t>，扎实推进禾山街道办公大楼物业管理服务正常运行，根据《厦门市政府采购合同》文件，中标单位为厦门芊慧物业服务有限公司，主要负责禾山街道办公大楼物业管理服务，其中包括日常维护、保洁、安保、水电等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2、主要依据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（</w:t>
      </w:r>
      <w:r>
        <w:rPr>
          <w:rFonts w:ascii="仿宋" w:hAnsi="仿宋" w:eastAsia="仿宋" w:cs="仿宋"/>
          <w:kern w:val="2"/>
          <w:sz w:val="24"/>
        </w:rPr>
        <w:t>1</w:t>
      </w:r>
      <w:r>
        <w:rPr>
          <w:rFonts w:hint="eastAsia" w:ascii="仿宋" w:hAnsi="仿宋" w:eastAsia="仿宋" w:cs="仿宋"/>
          <w:kern w:val="2"/>
          <w:sz w:val="24"/>
        </w:rPr>
        <w:t>）《厦门市政府采购合同》。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3、实施年度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物业管理费项目实施年度为</w:t>
      </w:r>
      <w:r>
        <w:rPr>
          <w:rFonts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4、实施范围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本项目经费全部用于物业管理费。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5、实施程序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禾山街道办事处委托招标公司（厦门建兴工程管理有限公司）对禾山街道办公大楼物业管理服务项目进行公开招投标，地点位于福建省厦门市湖里区枋湖北二路</w:t>
      </w:r>
      <w:r>
        <w:rPr>
          <w:rFonts w:ascii="仿宋" w:hAnsi="仿宋" w:eastAsia="仿宋" w:cs="仿宋"/>
          <w:kern w:val="2"/>
          <w:sz w:val="24"/>
        </w:rPr>
        <w:t>889号，中标单位为厦门芊慧物业服务有限公司，负责禾山街道办公大楼物业管理服务</w:t>
      </w:r>
      <w:r>
        <w:rPr>
          <w:rFonts w:hint="eastAsia" w:ascii="仿宋" w:hAnsi="仿宋" w:eastAsia="仿宋" w:cs="仿宋"/>
          <w:kern w:val="2"/>
          <w:sz w:val="24"/>
        </w:rPr>
        <w:t>，包括：物业管理电梯维护，维修经费、消防维修、物业管理监控改造、办公大楼修缮、空调维护保养、水电费、保洁服务费。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二、资金安排及使用情况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（一）支出预算情况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color w:val="0000FF"/>
          <w:kern w:val="2"/>
          <w:sz w:val="24"/>
        </w:rPr>
      </w:pPr>
      <w:r>
        <w:rPr>
          <w:rFonts w:ascii="仿宋" w:hAnsi="仿宋" w:eastAsia="仿宋" w:cs="仿宋"/>
          <w:color w:val="0000FF"/>
          <w:kern w:val="2"/>
          <w:sz w:val="24"/>
        </w:rPr>
        <w:t>202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年本项目年初预算</w:t>
      </w:r>
      <w:r>
        <w:rPr>
          <w:rFonts w:hint="eastAsia" w:ascii="仿宋" w:hAnsi="仿宋" w:eastAsia="仿宋" w:cs="仿宋"/>
          <w:color w:val="0000FF"/>
          <w:kern w:val="2"/>
          <w:sz w:val="24"/>
          <w:lang w:val="en-US" w:eastAsia="zh-CN"/>
        </w:rPr>
        <w:t>250</w:t>
      </w:r>
      <w:r>
        <w:rPr>
          <w:rFonts w:ascii="仿宋" w:hAnsi="仿宋" w:eastAsia="仿宋" w:cs="仿宋"/>
          <w:color w:val="0000FF"/>
          <w:kern w:val="2"/>
          <w:sz w:val="24"/>
        </w:rPr>
        <w:t>.00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万元，预算追加</w:t>
      </w:r>
      <w:r>
        <w:rPr>
          <w:rFonts w:ascii="仿宋" w:hAnsi="仿宋" w:eastAsia="仿宋" w:cs="仿宋"/>
          <w:color w:val="0000FF"/>
          <w:kern w:val="2"/>
          <w:sz w:val="24"/>
        </w:rPr>
        <w:t>0.00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万元，总预算</w:t>
      </w:r>
      <w:r>
        <w:rPr>
          <w:rFonts w:hint="eastAsia" w:ascii="仿宋" w:hAnsi="仿宋" w:eastAsia="仿宋" w:cs="仿宋"/>
          <w:color w:val="0000FF"/>
          <w:kern w:val="2"/>
          <w:sz w:val="24"/>
          <w:lang w:val="en-US" w:eastAsia="zh-CN"/>
        </w:rPr>
        <w:t>250</w:t>
      </w:r>
      <w:r>
        <w:rPr>
          <w:rFonts w:ascii="仿宋" w:hAnsi="仿宋" w:eastAsia="仿宋" w:cs="仿宋"/>
          <w:color w:val="0000FF"/>
          <w:kern w:val="2"/>
          <w:sz w:val="24"/>
        </w:rPr>
        <w:t>.00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万元，实际支出数</w:t>
      </w:r>
      <w:r>
        <w:rPr>
          <w:rFonts w:hint="eastAsia" w:ascii="仿宋" w:hAnsi="仿宋" w:eastAsia="仿宋" w:cs="仿宋"/>
          <w:color w:val="0000FF"/>
          <w:kern w:val="2"/>
          <w:sz w:val="24"/>
          <w:lang w:val="en-US" w:eastAsia="zh-CN"/>
        </w:rPr>
        <w:t>21.695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万元。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color w:val="0000FF"/>
          <w:kern w:val="2"/>
          <w:sz w:val="24"/>
        </w:rPr>
      </w:pPr>
      <w:r>
        <w:rPr>
          <w:rFonts w:hint="eastAsia" w:ascii="仿宋" w:hAnsi="仿宋" w:eastAsia="仿宋" w:cs="仿宋"/>
          <w:b/>
          <w:bCs/>
          <w:color w:val="0000FF"/>
          <w:kern w:val="2"/>
          <w:sz w:val="24"/>
        </w:rPr>
        <w:t>（二）资金使用范围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color w:val="0000FF"/>
          <w:kern w:val="2"/>
          <w:sz w:val="24"/>
        </w:rPr>
      </w:pPr>
      <w:r>
        <w:rPr>
          <w:rFonts w:hint="eastAsia" w:ascii="仿宋" w:hAnsi="仿宋" w:eastAsia="仿宋" w:cs="仿宋"/>
          <w:color w:val="0000FF"/>
          <w:kern w:val="2"/>
          <w:sz w:val="24"/>
        </w:rPr>
        <w:t>本项目资金全部用于物业管理费，共计</w:t>
      </w:r>
      <w:r>
        <w:rPr>
          <w:rFonts w:hint="eastAsia" w:ascii="仿宋" w:hAnsi="仿宋" w:eastAsia="仿宋" w:cs="仿宋"/>
          <w:color w:val="0000FF"/>
          <w:kern w:val="2"/>
          <w:sz w:val="24"/>
          <w:lang w:val="en-US" w:eastAsia="zh-CN"/>
        </w:rPr>
        <w:t>212.695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万元。</w:t>
      </w:r>
    </w:p>
    <w:tbl>
      <w:tblPr>
        <w:tblStyle w:val="10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3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</w:tcPr>
          <w:p>
            <w:pPr>
              <w:spacing w:line="440" w:lineRule="exact"/>
              <w:ind w:firstLine="482" w:firstLineChars="200"/>
              <w:jc w:val="center"/>
              <w:rPr>
                <w:rFonts w:ascii="仿宋" w:hAnsi="仿宋" w:eastAsia="仿宋" w:cs="仿宋"/>
                <w:b/>
                <w:bCs/>
                <w:color w:val="0000FF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kern w:val="2"/>
                <w:sz w:val="24"/>
              </w:rPr>
              <w:t xml:space="preserve">项 </w:t>
            </w:r>
            <w:r>
              <w:rPr>
                <w:rFonts w:ascii="仿宋" w:hAnsi="仿宋" w:eastAsia="仿宋" w:cs="仿宋"/>
                <w:b/>
                <w:bCs/>
                <w:color w:val="0000FF"/>
                <w:kern w:val="2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kern w:val="2"/>
                <w:sz w:val="24"/>
              </w:rPr>
              <w:t>目</w:t>
            </w:r>
          </w:p>
        </w:tc>
        <w:tc>
          <w:tcPr>
            <w:tcW w:w="3850" w:type="dxa"/>
          </w:tcPr>
          <w:p>
            <w:pPr>
              <w:spacing w:line="440" w:lineRule="exact"/>
              <w:ind w:firstLine="482" w:firstLineChars="200"/>
              <w:jc w:val="center"/>
              <w:rPr>
                <w:rFonts w:ascii="仿宋" w:hAnsi="仿宋" w:eastAsia="仿宋" w:cs="仿宋"/>
                <w:b/>
                <w:bCs/>
                <w:color w:val="0000FF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kern w:val="2"/>
                <w:sz w:val="24"/>
              </w:rPr>
              <w:t xml:space="preserve">金 </w:t>
            </w:r>
            <w:r>
              <w:rPr>
                <w:rFonts w:ascii="仿宋" w:hAnsi="仿宋" w:eastAsia="仿宋" w:cs="仿宋"/>
                <w:b/>
                <w:bCs/>
                <w:color w:val="0000FF"/>
                <w:kern w:val="2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kern w:val="2"/>
                <w:sz w:val="24"/>
              </w:rPr>
              <w:t>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</w:tcPr>
          <w:p>
            <w:pPr>
              <w:spacing w:line="440" w:lineRule="exact"/>
              <w:rPr>
                <w:rFonts w:ascii="仿宋" w:hAnsi="仿宋" w:eastAsia="仿宋" w:cs="仿宋"/>
                <w:color w:val="0000FF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color w:val="0000FF"/>
                <w:kern w:val="2"/>
                <w:sz w:val="24"/>
                <w:lang w:val="en-US" w:eastAsia="zh-CN"/>
              </w:rPr>
              <w:t>1-12</w:t>
            </w:r>
            <w:r>
              <w:rPr>
                <w:rFonts w:ascii="仿宋" w:hAnsi="仿宋" w:eastAsia="仿宋" w:cs="仿宋"/>
                <w:color w:val="0000FF"/>
                <w:kern w:val="2"/>
                <w:sz w:val="24"/>
              </w:rPr>
              <w:t>月物业管理费</w:t>
            </w:r>
          </w:p>
        </w:tc>
        <w:tc>
          <w:tcPr>
            <w:tcW w:w="3850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color w:val="0000FF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2"/>
                <w:sz w:val="24"/>
                <w:lang w:val="en-US" w:eastAsia="zh-CN"/>
              </w:rPr>
              <w:t>172.6680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</w:tcPr>
          <w:p>
            <w:pPr>
              <w:spacing w:line="440" w:lineRule="exact"/>
              <w:rPr>
                <w:rFonts w:ascii="仿宋" w:hAnsi="仿宋" w:eastAsia="仿宋" w:cs="仿宋"/>
                <w:color w:val="0000FF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color w:val="0000FF"/>
                <w:kern w:val="2"/>
                <w:sz w:val="24"/>
                <w:lang w:val="en-US" w:eastAsia="zh-CN"/>
              </w:rPr>
              <w:t>1-12月</w:t>
            </w:r>
            <w:r>
              <w:rPr>
                <w:rFonts w:hint="eastAsia" w:ascii="仿宋" w:hAnsi="仿宋" w:eastAsia="仿宋" w:cs="仿宋"/>
                <w:color w:val="0000FF"/>
                <w:kern w:val="2"/>
                <w:sz w:val="24"/>
              </w:rPr>
              <w:t>办公楼</w:t>
            </w:r>
            <w:r>
              <w:rPr>
                <w:rFonts w:hint="eastAsia" w:ascii="仿宋" w:hAnsi="仿宋" w:eastAsia="仿宋" w:cs="仿宋"/>
                <w:color w:val="0000FF"/>
                <w:kern w:val="2"/>
                <w:sz w:val="24"/>
                <w:lang w:eastAsia="zh-CN"/>
              </w:rPr>
              <w:t>设施设备维护及修缮</w:t>
            </w:r>
          </w:p>
        </w:tc>
        <w:tc>
          <w:tcPr>
            <w:tcW w:w="3850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color w:val="0000FF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kern w:val="2"/>
                <w:sz w:val="24"/>
                <w:lang w:val="en-US" w:eastAsia="zh-CN"/>
              </w:rPr>
              <w:t>40.0270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</w:tcPr>
          <w:p>
            <w:pPr>
              <w:spacing w:line="440" w:lineRule="exact"/>
              <w:ind w:firstLine="482" w:firstLineChars="200"/>
              <w:rPr>
                <w:rFonts w:ascii="仿宋" w:hAnsi="仿宋" w:eastAsia="仿宋" w:cs="仿宋"/>
                <w:b/>
                <w:bCs/>
                <w:color w:val="0000FF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kern w:val="2"/>
                <w:sz w:val="24"/>
              </w:rPr>
              <w:t xml:space="preserve">合 </w:t>
            </w:r>
            <w:r>
              <w:rPr>
                <w:rFonts w:ascii="仿宋" w:hAnsi="仿宋" w:eastAsia="仿宋" w:cs="仿宋"/>
                <w:b/>
                <w:bCs/>
                <w:color w:val="0000FF"/>
                <w:kern w:val="2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kern w:val="2"/>
                <w:sz w:val="24"/>
              </w:rPr>
              <w:t>计</w:t>
            </w:r>
          </w:p>
        </w:tc>
        <w:tc>
          <w:tcPr>
            <w:tcW w:w="3850" w:type="dxa"/>
          </w:tcPr>
          <w:p>
            <w:pPr>
              <w:spacing w:line="440" w:lineRule="exact"/>
              <w:ind w:firstLine="482" w:firstLineChars="200"/>
              <w:jc w:val="right"/>
              <w:rPr>
                <w:rFonts w:ascii="仿宋" w:hAnsi="仿宋" w:eastAsia="仿宋" w:cs="仿宋"/>
                <w:b/>
                <w:bCs/>
                <w:color w:val="0000FF"/>
                <w:kern w:val="2"/>
                <w:sz w:val="24"/>
              </w:rPr>
            </w:pPr>
          </w:p>
        </w:tc>
      </w:tr>
    </w:tbl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（三）分配标准、程序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根据《厦门市政府采购合同》文件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，</w:t>
      </w:r>
      <w:r>
        <w:rPr>
          <w:rFonts w:hint="eastAsia" w:ascii="仿宋" w:hAnsi="仿宋" w:eastAsia="仿宋" w:cs="仿宋"/>
          <w:kern w:val="2"/>
          <w:sz w:val="24"/>
        </w:rPr>
        <w:t>支付厦门芊慧物业服务有限公司物业服务管理经费。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（四）资金管控情况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项目资金专项用于物业管理项目，专项资金实行专款专用，及时下拨经费，无使用不合理的情况。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（五）支出政策执行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本项目严格按照《厦门市政府采购合同》等文件执行。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（六）支出分担体制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本项目资金由区财政局承担。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三、绩效分析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（一）项目效益分析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1、任务完成情况及绩效目标完成情况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2</w:t>
      </w:r>
      <w:r>
        <w:rPr>
          <w:rFonts w:ascii="仿宋" w:hAnsi="仿宋" w:eastAsia="仿宋" w:cs="仿宋"/>
          <w:kern w:val="2"/>
          <w:sz w:val="24"/>
        </w:rPr>
        <w:t>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年物业管理项目完成支付各项物业管理经费，对大楼内的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电梯</w:t>
      </w:r>
      <w:r>
        <w:rPr>
          <w:rFonts w:hint="eastAsia" w:ascii="仿宋" w:hAnsi="仿宋" w:eastAsia="仿宋" w:cs="仿宋"/>
          <w:kern w:val="2"/>
          <w:sz w:val="24"/>
        </w:rPr>
        <w:t>进行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更换钢丝绳</w:t>
      </w:r>
      <w:r>
        <w:rPr>
          <w:rFonts w:hint="eastAsia" w:ascii="仿宋" w:hAnsi="仿宋" w:eastAsia="仿宋" w:cs="仿宋"/>
          <w:kern w:val="2"/>
          <w:sz w:val="24"/>
        </w:rPr>
        <w:t>，开展消防排查，对不合格的消防设备进行维修和更换，聘请保洁人员，承担大楼日常打扫工作，以及对办公大楼的日常维护和修缮工作。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color w:val="FF0000"/>
          <w:kern w:val="2"/>
          <w:sz w:val="24"/>
        </w:rPr>
      </w:pPr>
      <w:r>
        <w:rPr>
          <w:rFonts w:hint="eastAsia" w:ascii="仿宋" w:hAnsi="仿宋" w:eastAsia="仿宋" w:cs="仿宋"/>
          <w:color w:val="0000FF"/>
          <w:kern w:val="2"/>
          <w:sz w:val="24"/>
        </w:rPr>
        <w:t>截至202</w:t>
      </w:r>
      <w:r>
        <w:rPr>
          <w:rFonts w:hint="eastAsia" w:ascii="仿宋" w:hAnsi="仿宋" w:eastAsia="仿宋" w:cs="仿宋"/>
          <w:color w:val="0000FF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年12月，本项目共支出</w:t>
      </w:r>
      <w:r>
        <w:rPr>
          <w:rFonts w:hint="eastAsia" w:ascii="仿宋" w:hAnsi="仿宋" w:eastAsia="仿宋" w:cs="仿宋"/>
          <w:color w:val="0000FF"/>
          <w:kern w:val="2"/>
          <w:sz w:val="24"/>
          <w:lang w:val="en-US" w:eastAsia="zh-CN"/>
        </w:rPr>
        <w:t>212.695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万元，支出率</w:t>
      </w:r>
      <w:r>
        <w:rPr>
          <w:rFonts w:hint="eastAsia" w:ascii="仿宋" w:hAnsi="仿宋" w:eastAsia="仿宋" w:cs="仿宋"/>
          <w:color w:val="0000FF"/>
          <w:kern w:val="2"/>
          <w:sz w:val="24"/>
          <w:lang w:eastAsia="zh-CN"/>
        </w:rPr>
        <w:t>只有</w:t>
      </w:r>
      <w:r>
        <w:rPr>
          <w:rFonts w:hint="eastAsia" w:ascii="仿宋" w:hAnsi="仿宋" w:eastAsia="仿宋" w:cs="仿宋"/>
          <w:color w:val="0000FF"/>
          <w:kern w:val="2"/>
          <w:sz w:val="24"/>
          <w:lang w:val="en-US" w:eastAsia="zh-CN"/>
        </w:rPr>
        <w:t>85</w:t>
      </w:r>
      <w:r>
        <w:rPr>
          <w:rFonts w:ascii="仿宋" w:hAnsi="仿宋" w:eastAsia="仿宋" w:cs="仿宋"/>
          <w:color w:val="0000FF"/>
          <w:kern w:val="2"/>
          <w:sz w:val="24"/>
        </w:rPr>
        <w:t>.</w:t>
      </w:r>
      <w:r>
        <w:rPr>
          <w:rFonts w:hint="eastAsia" w:ascii="仿宋" w:hAnsi="仿宋" w:eastAsia="仿宋" w:cs="仿宋"/>
          <w:color w:val="0000FF"/>
          <w:kern w:val="2"/>
          <w:sz w:val="24"/>
          <w:lang w:val="en-US" w:eastAsia="zh-CN"/>
        </w:rPr>
        <w:t>08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%。</w:t>
      </w:r>
      <w:r>
        <w:rPr>
          <w:rFonts w:hint="eastAsia" w:ascii="仿宋" w:hAnsi="仿宋" w:eastAsia="仿宋" w:cs="仿宋"/>
          <w:color w:val="FF0000"/>
          <w:kern w:val="2"/>
          <w:sz w:val="24"/>
        </w:rPr>
        <w:t>经费下拨及时率</w:t>
      </w:r>
      <w:r>
        <w:rPr>
          <w:rFonts w:hint="eastAsia" w:ascii="仿宋" w:hAnsi="仿宋" w:eastAsia="仿宋" w:cs="仿宋"/>
          <w:color w:val="FF0000"/>
          <w:kern w:val="2"/>
          <w:sz w:val="24"/>
          <w:lang w:val="en-US" w:eastAsia="zh-CN"/>
        </w:rPr>
        <w:t>100</w:t>
      </w:r>
      <w:r>
        <w:rPr>
          <w:rFonts w:hint="eastAsia" w:ascii="仿宋" w:hAnsi="仿宋" w:eastAsia="仿宋" w:cs="仿宋"/>
          <w:color w:val="FF0000"/>
          <w:kern w:val="2"/>
          <w:sz w:val="24"/>
        </w:rPr>
        <w:t>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2、项目实施带动的社会效益</w:t>
      </w:r>
      <w:bookmarkStart w:id="0" w:name="_GoBack"/>
      <w:bookmarkEnd w:id="0"/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扎实推进禾山街道办公大楼物业管理服务，提升后勤管理质量和服务水平，保障办公大楼日常的运行。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3、项目实施带动的公众满意度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居民满意度≧95%。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（二）支出效益分析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1、支出进度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年本项目年初预算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250</w:t>
      </w:r>
      <w:r>
        <w:rPr>
          <w:rFonts w:ascii="仿宋" w:hAnsi="仿宋" w:eastAsia="仿宋" w:cs="仿宋"/>
          <w:kern w:val="2"/>
          <w:sz w:val="24"/>
        </w:rPr>
        <w:t>.00</w:t>
      </w:r>
      <w:r>
        <w:rPr>
          <w:rFonts w:hint="eastAsia" w:ascii="仿宋" w:hAnsi="仿宋" w:eastAsia="仿宋" w:cs="仿宋"/>
          <w:kern w:val="2"/>
          <w:sz w:val="24"/>
        </w:rPr>
        <w:t>万元，预算追加</w:t>
      </w:r>
      <w:r>
        <w:rPr>
          <w:rFonts w:ascii="仿宋" w:hAnsi="仿宋" w:eastAsia="仿宋" w:cs="仿宋"/>
          <w:kern w:val="2"/>
          <w:sz w:val="24"/>
        </w:rPr>
        <w:t>0.00</w:t>
      </w:r>
      <w:r>
        <w:rPr>
          <w:rFonts w:hint="eastAsia" w:ascii="仿宋" w:hAnsi="仿宋" w:eastAsia="仿宋" w:cs="仿宋"/>
          <w:kern w:val="2"/>
          <w:sz w:val="24"/>
        </w:rPr>
        <w:t>万元，总预算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250</w:t>
      </w:r>
      <w:r>
        <w:rPr>
          <w:rFonts w:ascii="仿宋" w:hAnsi="仿宋" w:eastAsia="仿宋" w:cs="仿宋"/>
          <w:kern w:val="2"/>
          <w:sz w:val="24"/>
        </w:rPr>
        <w:t>.00</w:t>
      </w:r>
      <w:r>
        <w:rPr>
          <w:rFonts w:hint="eastAsia" w:ascii="仿宋" w:hAnsi="仿宋" w:eastAsia="仿宋" w:cs="仿宋"/>
          <w:kern w:val="2"/>
          <w:sz w:val="24"/>
        </w:rPr>
        <w:t>万元，实际授权支付数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212.695</w:t>
      </w:r>
      <w:r>
        <w:rPr>
          <w:rFonts w:hint="eastAsia" w:ascii="仿宋" w:hAnsi="仿宋" w:eastAsia="仿宋" w:cs="仿宋"/>
          <w:kern w:val="2"/>
          <w:sz w:val="24"/>
        </w:rPr>
        <w:t>万元，支出进度达到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85.08</w:t>
      </w:r>
      <w:r>
        <w:rPr>
          <w:rFonts w:hint="eastAsia" w:ascii="仿宋" w:hAnsi="仿宋" w:eastAsia="仿宋" w:cs="仿宋"/>
          <w:kern w:val="2"/>
          <w:sz w:val="24"/>
        </w:rPr>
        <w:t>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2、支出效率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color w:val="0000FF"/>
          <w:kern w:val="2"/>
          <w:sz w:val="24"/>
          <w:lang w:eastAsia="zh-CN"/>
        </w:rPr>
        <w:t>因原计划</w:t>
      </w:r>
      <w:r>
        <w:rPr>
          <w:rFonts w:hint="eastAsia" w:ascii="仿宋" w:hAnsi="仿宋" w:eastAsia="仿宋" w:cs="仿宋"/>
          <w:color w:val="0000FF"/>
          <w:kern w:val="2"/>
          <w:sz w:val="24"/>
          <w:lang w:val="en-US" w:eastAsia="zh-CN"/>
        </w:rPr>
        <w:t>9楼屋面开裂修缮工作滞后，所以</w:t>
      </w:r>
      <w:r>
        <w:rPr>
          <w:rFonts w:hint="eastAsia" w:ascii="仿宋" w:hAnsi="仿宋" w:eastAsia="仿宋" w:cs="仿宋"/>
          <w:kern w:val="2"/>
          <w:sz w:val="24"/>
        </w:rPr>
        <w:t>截至202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年12月，本项目共支出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212.695</w:t>
      </w:r>
      <w:r>
        <w:rPr>
          <w:rFonts w:hint="eastAsia" w:ascii="仿宋" w:hAnsi="仿宋" w:eastAsia="仿宋" w:cs="仿宋"/>
          <w:kern w:val="2"/>
          <w:sz w:val="24"/>
        </w:rPr>
        <w:t>万元，支出率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只有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85</w:t>
      </w:r>
      <w:r>
        <w:rPr>
          <w:rFonts w:ascii="仿宋" w:hAnsi="仿宋" w:eastAsia="仿宋" w:cs="仿宋"/>
          <w:kern w:val="2"/>
          <w:sz w:val="24"/>
        </w:rPr>
        <w:t>.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08</w:t>
      </w:r>
      <w:r>
        <w:rPr>
          <w:rFonts w:hint="eastAsia" w:ascii="仿宋" w:hAnsi="仿宋" w:eastAsia="仿宋" w:cs="仿宋"/>
          <w:kern w:val="2"/>
          <w:sz w:val="24"/>
        </w:rPr>
        <w:t>%。</w:t>
      </w:r>
      <w:r>
        <w:rPr>
          <w:rFonts w:hint="eastAsia" w:ascii="仿宋" w:hAnsi="仿宋" w:eastAsia="仿宋" w:cs="仿宋"/>
          <w:color w:val="FF0000"/>
          <w:kern w:val="2"/>
          <w:sz w:val="24"/>
        </w:rPr>
        <w:t>经费下拨及时率</w:t>
      </w:r>
      <w:r>
        <w:rPr>
          <w:rFonts w:hint="eastAsia" w:ascii="仿宋" w:hAnsi="仿宋" w:eastAsia="仿宋" w:cs="仿宋"/>
          <w:color w:val="FF0000"/>
          <w:kern w:val="2"/>
          <w:sz w:val="24"/>
          <w:lang w:val="en-US" w:eastAsia="zh-CN"/>
        </w:rPr>
        <w:t>100</w:t>
      </w:r>
      <w:r>
        <w:rPr>
          <w:rFonts w:hint="eastAsia" w:ascii="仿宋" w:hAnsi="仿宋" w:eastAsia="仿宋" w:cs="仿宋"/>
          <w:color w:val="FF0000"/>
          <w:kern w:val="2"/>
          <w:sz w:val="24"/>
        </w:rPr>
        <w:t>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3、成本控制分析及效益情况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区财政局通过国库集中支付系统分配下发本项目资金共计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250.00</w:t>
      </w:r>
      <w:r>
        <w:rPr>
          <w:rFonts w:ascii="仿宋" w:hAnsi="仿宋" w:eastAsia="仿宋" w:cs="仿宋"/>
          <w:kern w:val="2"/>
          <w:sz w:val="24"/>
        </w:rPr>
        <w:t>万元，禾山街道办事处按照年初项目工作计划，控制项目成本，及时下拨物业管理项目经费，保障禾山街道办公大楼日常运行。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（三）评价分值和等级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根据上述分析，确定本项目绩效评价分值</w:t>
      </w:r>
      <w:r>
        <w:rPr>
          <w:rFonts w:hint="eastAsia" w:ascii="仿宋" w:hAnsi="仿宋" w:eastAsia="仿宋" w:cs="仿宋"/>
          <w:color w:val="0000FF"/>
          <w:kern w:val="2"/>
          <w:sz w:val="24"/>
          <w:lang w:val="en-US" w:eastAsia="zh-CN"/>
        </w:rPr>
        <w:t>85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分，等级为</w:t>
      </w:r>
      <w:r>
        <w:rPr>
          <w:rFonts w:hint="eastAsia" w:ascii="仿宋" w:hAnsi="仿宋" w:eastAsia="仿宋" w:cs="仿宋"/>
          <w:color w:val="0000FF"/>
          <w:kern w:val="2"/>
          <w:sz w:val="24"/>
          <w:lang w:eastAsia="zh-CN"/>
        </w:rPr>
        <w:t>良好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四、存在问题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（一）项目实施存在的问题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本项目按照序时进行，严格按照项目管理办法的相关规定开展项目实施，不存在问题。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（二）财政支出存在的问题</w:t>
      </w:r>
    </w:p>
    <w:p>
      <w:pPr>
        <w:ind w:firstLine="480" w:firstLineChars="200"/>
        <w:rPr>
          <w:rFonts w:hint="eastAsia" w:ascii="仿宋" w:hAnsi="仿宋" w:eastAsia="仿宋" w:cs="仿宋"/>
          <w:color w:val="0000FF"/>
          <w:kern w:val="2"/>
          <w:sz w:val="24"/>
        </w:rPr>
      </w:pPr>
      <w:r>
        <w:rPr>
          <w:rFonts w:hint="eastAsia" w:ascii="仿宋" w:hAnsi="仿宋" w:eastAsia="仿宋" w:cs="仿宋"/>
          <w:color w:val="0000FF"/>
          <w:kern w:val="2"/>
          <w:sz w:val="24"/>
        </w:rPr>
        <w:t>在资金使用上严格按照规定执行，做到资金使用的安全规范，对项目经费实行专项管理，保证经费及时到位和合理使用。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（三）支出政策制定方面存在的问题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本项目严格按照相关文件执行，不存在支出政策制定方面相关问题。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五、相关建议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  <w:lang w:eastAsia="zh-CN"/>
        </w:rPr>
        <w:t>（一）</w:t>
      </w:r>
      <w:r>
        <w:rPr>
          <w:rFonts w:hint="eastAsia" w:ascii="仿宋" w:hAnsi="仿宋" w:eastAsia="仿宋" w:cs="仿宋"/>
          <w:kern w:val="2"/>
          <w:sz w:val="24"/>
        </w:rPr>
        <w:t>我街道严格按照相关文件标准实施项目，及时下拨物业管理经费，认真开展年初绩效目标设定，年中绩效目标监控工作，及时足额发放经费，合理、合规使用项目资金，落实资金到位，保障项目顺利开展。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仿宋"/>
          <w:color w:val="0000FF"/>
          <w:kern w:val="2"/>
          <w:sz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0000FF"/>
          <w:kern w:val="2"/>
          <w:sz w:val="24"/>
          <w:szCs w:val="24"/>
          <w:lang w:eastAsia="zh-CN"/>
        </w:rPr>
        <w:t>二）</w:t>
      </w:r>
      <w:r>
        <w:rPr>
          <w:rFonts w:hint="eastAsia" w:ascii="仿宋" w:hAnsi="仿宋" w:eastAsia="仿宋" w:cs="仿宋"/>
          <w:color w:val="0000FF"/>
          <w:kern w:val="2"/>
          <w:sz w:val="24"/>
          <w:szCs w:val="24"/>
        </w:rPr>
        <w:t>科</w:t>
      </w:r>
      <w:r>
        <w:rPr>
          <w:rFonts w:hint="eastAsia" w:ascii="仿宋" w:hAnsi="仿宋" w:eastAsia="仿宋" w:cs="仿宋"/>
          <w:color w:val="0000FF"/>
          <w:kern w:val="2"/>
          <w:sz w:val="24"/>
        </w:rPr>
        <w:t>学设置预算绩效指标，合理安排经费和各项资金，使其物尽其用，更加贴合机关事务局财务工作的实际情况，合理运用现有资源，及时协调上级争取资金，保证预算绩效指标的顺利实施。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六、下一步工作计划</w:t>
      </w:r>
    </w:p>
    <w:p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kern w:val="2"/>
          <w:sz w:val="24"/>
          <w:szCs w:val="24"/>
        </w:rPr>
        <w:t>1、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进一步强化措施，细化各项绩效指标，使其</w:t>
      </w: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更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具有实用性和操作性。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kern w:val="2"/>
          <w:sz w:val="24"/>
          <w:szCs w:val="24"/>
        </w:rPr>
        <w:t>继续完善客户服务规范，为客户提供接待、投诉、求助、回访等服务。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kern w:val="2"/>
          <w:sz w:val="24"/>
          <w:szCs w:val="24"/>
        </w:rPr>
        <w:t>不断提升物业管理人员的服务水平。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/>
    <w:p/>
    <w:sectPr>
      <w:footerReference r:id="rId3" w:type="default"/>
      <w:pgSz w:w="11906" w:h="16838"/>
      <w:pgMar w:top="1701" w:right="1474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E59D6"/>
    <w:rsid w:val="0000476C"/>
    <w:rsid w:val="000062B4"/>
    <w:rsid w:val="00014C8F"/>
    <w:rsid w:val="000526D8"/>
    <w:rsid w:val="000D4F35"/>
    <w:rsid w:val="000D598A"/>
    <w:rsid w:val="00125762"/>
    <w:rsid w:val="00131FD4"/>
    <w:rsid w:val="0015307D"/>
    <w:rsid w:val="0018458E"/>
    <w:rsid w:val="00203B69"/>
    <w:rsid w:val="00211A27"/>
    <w:rsid w:val="00230CFF"/>
    <w:rsid w:val="002B4AA6"/>
    <w:rsid w:val="002C42D5"/>
    <w:rsid w:val="002D26E4"/>
    <w:rsid w:val="00301228"/>
    <w:rsid w:val="003020B6"/>
    <w:rsid w:val="00387A08"/>
    <w:rsid w:val="0039110E"/>
    <w:rsid w:val="003954C4"/>
    <w:rsid w:val="003A2391"/>
    <w:rsid w:val="003D0E83"/>
    <w:rsid w:val="003D5CDD"/>
    <w:rsid w:val="00425454"/>
    <w:rsid w:val="00431693"/>
    <w:rsid w:val="0046419D"/>
    <w:rsid w:val="004917B8"/>
    <w:rsid w:val="004A6C2C"/>
    <w:rsid w:val="004B461B"/>
    <w:rsid w:val="004B6784"/>
    <w:rsid w:val="004E2408"/>
    <w:rsid w:val="004E3D3F"/>
    <w:rsid w:val="0054098C"/>
    <w:rsid w:val="00565C2D"/>
    <w:rsid w:val="00570031"/>
    <w:rsid w:val="005E0281"/>
    <w:rsid w:val="005E1EEA"/>
    <w:rsid w:val="005E7E45"/>
    <w:rsid w:val="00602BEC"/>
    <w:rsid w:val="0060591C"/>
    <w:rsid w:val="00671ECA"/>
    <w:rsid w:val="00676CDF"/>
    <w:rsid w:val="006B5097"/>
    <w:rsid w:val="006B5522"/>
    <w:rsid w:val="006B7165"/>
    <w:rsid w:val="006D19B3"/>
    <w:rsid w:val="00710983"/>
    <w:rsid w:val="0074183F"/>
    <w:rsid w:val="007441BE"/>
    <w:rsid w:val="00751CB3"/>
    <w:rsid w:val="00764F40"/>
    <w:rsid w:val="007B7AC7"/>
    <w:rsid w:val="007C78B6"/>
    <w:rsid w:val="007E0CC8"/>
    <w:rsid w:val="007F68C3"/>
    <w:rsid w:val="00807AD1"/>
    <w:rsid w:val="008234C6"/>
    <w:rsid w:val="00845F17"/>
    <w:rsid w:val="00870FE9"/>
    <w:rsid w:val="008719B3"/>
    <w:rsid w:val="00871DAD"/>
    <w:rsid w:val="008B5022"/>
    <w:rsid w:val="00901609"/>
    <w:rsid w:val="0094540C"/>
    <w:rsid w:val="00954015"/>
    <w:rsid w:val="009F735D"/>
    <w:rsid w:val="00A02ECB"/>
    <w:rsid w:val="00A14E90"/>
    <w:rsid w:val="00A33E3D"/>
    <w:rsid w:val="00A47CB2"/>
    <w:rsid w:val="00A62D50"/>
    <w:rsid w:val="00A95D86"/>
    <w:rsid w:val="00AB2619"/>
    <w:rsid w:val="00AC17EA"/>
    <w:rsid w:val="00B06151"/>
    <w:rsid w:val="00B20088"/>
    <w:rsid w:val="00B20A6C"/>
    <w:rsid w:val="00B21E1B"/>
    <w:rsid w:val="00B21FAD"/>
    <w:rsid w:val="00B240FD"/>
    <w:rsid w:val="00B30F01"/>
    <w:rsid w:val="00B83DB6"/>
    <w:rsid w:val="00BA732D"/>
    <w:rsid w:val="00BA7731"/>
    <w:rsid w:val="00BB3AC5"/>
    <w:rsid w:val="00BC176F"/>
    <w:rsid w:val="00BC5724"/>
    <w:rsid w:val="00C0221D"/>
    <w:rsid w:val="00C1595E"/>
    <w:rsid w:val="00C56311"/>
    <w:rsid w:val="00C563FA"/>
    <w:rsid w:val="00CC4BDC"/>
    <w:rsid w:val="00CE66A9"/>
    <w:rsid w:val="00CF32C5"/>
    <w:rsid w:val="00D33787"/>
    <w:rsid w:val="00D51E09"/>
    <w:rsid w:val="00D55FE5"/>
    <w:rsid w:val="00D57383"/>
    <w:rsid w:val="00D65016"/>
    <w:rsid w:val="00D7072B"/>
    <w:rsid w:val="00D866F0"/>
    <w:rsid w:val="00E033FF"/>
    <w:rsid w:val="00E21D47"/>
    <w:rsid w:val="00E626D3"/>
    <w:rsid w:val="00E64673"/>
    <w:rsid w:val="00EA3C24"/>
    <w:rsid w:val="00EB2A04"/>
    <w:rsid w:val="00EE15F3"/>
    <w:rsid w:val="00EF599B"/>
    <w:rsid w:val="00F22A3B"/>
    <w:rsid w:val="00F248E0"/>
    <w:rsid w:val="00F34A08"/>
    <w:rsid w:val="00F61B2D"/>
    <w:rsid w:val="00F651D9"/>
    <w:rsid w:val="00F75EE3"/>
    <w:rsid w:val="00F77E71"/>
    <w:rsid w:val="00FC2933"/>
    <w:rsid w:val="00FE6F81"/>
    <w:rsid w:val="0BF4727B"/>
    <w:rsid w:val="11CC0300"/>
    <w:rsid w:val="1C2570BA"/>
    <w:rsid w:val="30FE59D6"/>
    <w:rsid w:val="35F6028E"/>
    <w:rsid w:val="37F23577"/>
    <w:rsid w:val="410F4352"/>
    <w:rsid w:val="48BC278D"/>
    <w:rsid w:val="514656E5"/>
    <w:rsid w:val="59192955"/>
    <w:rsid w:val="5BA85C55"/>
    <w:rsid w:val="5BD9112E"/>
    <w:rsid w:val="71D25752"/>
    <w:rsid w:val="7396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宋体" w:eastAsia="仿宋_GB2312" w:cs="Times New Roman"/>
      <w:kern w:val="96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rFonts w:ascii="Times New Roman" w:hAnsi="Times New Roman" w:eastAsia="宋体"/>
      <w:b/>
      <w:bCs/>
      <w:kern w:val="44"/>
      <w:sz w:val="2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kern w:val="28"/>
      <w:sz w:val="28"/>
      <w:szCs w:val="2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无间隔1"/>
    <w:basedOn w:val="1"/>
    <w:qFormat/>
    <w:uiPriority w:val="0"/>
    <w:rPr>
      <w:rFonts w:ascii="Times New Roman" w:hAnsi="Times New Roman" w:eastAsia="宋体"/>
      <w:kern w:val="2"/>
      <w:sz w:val="21"/>
      <w:szCs w:val="21"/>
    </w:rPr>
  </w:style>
  <w:style w:type="character" w:customStyle="1" w:styleId="12">
    <w:name w:val="标题 1 字符"/>
    <w:basedOn w:val="8"/>
    <w:link w:val="3"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325</Words>
  <Characters>1856</Characters>
  <Lines>15</Lines>
  <Paragraphs>4</Paragraphs>
  <TotalTime>8</TotalTime>
  <ScaleCrop>false</ScaleCrop>
  <LinksUpToDate>false</LinksUpToDate>
  <CharactersWithSpaces>2177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2020-08-10T11:36:00Z</dcterms:created>
  <dc:creator>ミESCAPE-婕┞▓</dc:creator>
  <cp:lastModifiedBy>Administrator</cp:lastModifiedBy>
  <dcterms:modified xsi:type="dcterms:W3CDTF">2023-10-25T02:40:09Z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636B4186D20B48228E15594CA3A8DEC2</vt:lpwstr>
  </property>
</Properties>
</file>