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adjustRightInd w:val="0"/>
        <w:rPr>
          <w:rFonts w:eastAsia="黑体"/>
          <w:sz w:val="32"/>
          <w:szCs w:val="32"/>
        </w:rPr>
      </w:pPr>
      <w:r>
        <w:rPr>
          <w:rFonts w:hint="eastAsia" w:eastAsia="黑体"/>
          <w:sz w:val="32"/>
          <w:szCs w:val="32"/>
        </w:rPr>
        <w:t>附件1</w:t>
      </w:r>
    </w:p>
    <w:p>
      <w:pPr>
        <w:pStyle w:val="10"/>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社区公交</w:t>
      </w:r>
    </w:p>
    <w:p>
      <w:pPr>
        <w:pStyle w:val="10"/>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财政支出绩效自评报告</w:t>
      </w:r>
    </w:p>
    <w:p>
      <w:pPr>
        <w:pStyle w:val="3"/>
        <w:spacing w:before="0" w:after="0"/>
        <w:ind w:left="1219" w:hanging="658"/>
        <w:rPr>
          <w:sz w:val="28"/>
          <w:szCs w:val="28"/>
        </w:rPr>
      </w:pPr>
      <w:r>
        <w:rPr>
          <w:rFonts w:hint="eastAsia"/>
          <w:sz w:val="28"/>
          <w:szCs w:val="28"/>
        </w:rPr>
        <w:t>一、项目背景及基本情况</w:t>
      </w:r>
    </w:p>
    <w:p>
      <w:pPr>
        <w:spacing w:line="580" w:lineRule="exact"/>
        <w:ind w:firstLine="482" w:firstLineChars="200"/>
        <w:rPr>
          <w:rFonts w:cs="仿宋_GB2312" w:asciiTheme="minorEastAsia" w:hAnsiTheme="minorEastAsia" w:eastAsiaTheme="minorEastAsia"/>
          <w:b/>
          <w:spacing w:val="-4"/>
          <w:kern w:val="44"/>
          <w:szCs w:val="32"/>
        </w:rPr>
      </w:pPr>
      <w:r>
        <w:rPr>
          <w:rFonts w:hint="eastAsia" w:ascii="仿宋" w:hAnsi="仿宋" w:eastAsia="仿宋" w:cs="仿宋"/>
          <w:b/>
          <w:bCs/>
          <w:kern w:val="2"/>
          <w:sz w:val="24"/>
        </w:rPr>
        <w:t>（一）项目实施情况</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1、实施背景</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社区公交是禾山街道破解辖区内“城中村”公共交通难题的一次积极尝试；是禾山街道为民办实事、办好事、解难事的一项重要举措；是解决大公交最后一公里延伸的问题；是遏制和打击“摩的”及非法营运由只堵不疏向疏堵结合的转变。禾山“社区公交”的开通成功得到了湖里区领导和区道安办等部门的充分肯定。为进一步推动厦门市城乡公交一体化优先发展战略，营造禾山街道辖区居民出行畅通的交通安全环境。我街道在街道党工委及办事处的领导下，以预防和减少重特大交通事故为核心，以解决影响和制约道路交通安全的基础性、源头性、根本性问题为重点，以落实道路交通安全责任为保障，着力建立健全道路交通安全管理大格局，采取“五到位”、“一做好”等措施，认真落实各项道安工作。</w:t>
      </w:r>
    </w:p>
    <w:p>
      <w:pPr>
        <w:spacing w:line="440" w:lineRule="exact"/>
        <w:ind w:firstLine="482" w:firstLineChars="200"/>
        <w:rPr>
          <w:rFonts w:ascii="仿宋" w:hAnsi="仿宋" w:eastAsia="仿宋" w:cs="仿宋"/>
          <w:b/>
          <w:bCs/>
          <w:kern w:val="2"/>
          <w:sz w:val="24"/>
        </w:rPr>
      </w:pPr>
      <w:r>
        <w:rPr>
          <w:rFonts w:ascii="仿宋" w:hAnsi="仿宋" w:eastAsia="仿宋" w:cs="仿宋"/>
          <w:b/>
          <w:bCs/>
          <w:kern w:val="2"/>
          <w:sz w:val="24"/>
        </w:rPr>
        <w:t>2</w:t>
      </w:r>
      <w:r>
        <w:rPr>
          <w:rFonts w:hint="eastAsia" w:ascii="仿宋" w:hAnsi="仿宋" w:eastAsia="仿宋" w:cs="仿宋"/>
          <w:b/>
          <w:bCs/>
          <w:kern w:val="2"/>
          <w:sz w:val="24"/>
        </w:rPr>
        <w:t>、实施年度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社区公交项目实施年度为</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w:t>
      </w:r>
    </w:p>
    <w:p>
      <w:pPr>
        <w:spacing w:line="440" w:lineRule="exact"/>
        <w:ind w:firstLine="482" w:firstLineChars="200"/>
        <w:rPr>
          <w:rFonts w:ascii="仿宋" w:hAnsi="仿宋" w:eastAsia="仿宋" w:cs="仿宋"/>
          <w:b/>
          <w:bCs/>
          <w:kern w:val="2"/>
          <w:sz w:val="24"/>
        </w:rPr>
      </w:pPr>
      <w:r>
        <w:rPr>
          <w:rFonts w:ascii="仿宋" w:hAnsi="仿宋" w:eastAsia="仿宋" w:cs="仿宋"/>
          <w:b/>
          <w:bCs/>
          <w:kern w:val="2"/>
          <w:sz w:val="24"/>
        </w:rPr>
        <w:t>3</w:t>
      </w:r>
      <w:r>
        <w:rPr>
          <w:rFonts w:hint="eastAsia" w:ascii="仿宋" w:hAnsi="仿宋" w:eastAsia="仿宋" w:cs="仿宋"/>
          <w:b/>
          <w:bCs/>
          <w:kern w:val="2"/>
          <w:sz w:val="24"/>
        </w:rPr>
        <w:t>、实施范围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本项目经费全部用于社区公交。</w:t>
      </w:r>
    </w:p>
    <w:p>
      <w:pPr>
        <w:spacing w:line="440" w:lineRule="exact"/>
        <w:ind w:firstLine="482" w:firstLineChars="200"/>
        <w:rPr>
          <w:rFonts w:ascii="仿宋" w:hAnsi="仿宋" w:eastAsia="仿宋" w:cs="仿宋"/>
          <w:b/>
          <w:bCs/>
          <w:kern w:val="2"/>
          <w:sz w:val="24"/>
        </w:rPr>
      </w:pPr>
      <w:r>
        <w:rPr>
          <w:rFonts w:ascii="仿宋" w:hAnsi="仿宋" w:eastAsia="仿宋" w:cs="仿宋"/>
          <w:b/>
          <w:bCs/>
          <w:kern w:val="2"/>
          <w:sz w:val="24"/>
        </w:rPr>
        <w:t>4</w:t>
      </w:r>
      <w:r>
        <w:rPr>
          <w:rFonts w:hint="eastAsia" w:ascii="仿宋" w:hAnsi="仿宋" w:eastAsia="仿宋" w:cs="仿宋"/>
          <w:b/>
          <w:bCs/>
          <w:kern w:val="2"/>
          <w:sz w:val="24"/>
        </w:rPr>
        <w:t>、实施程序</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根据人员调动及时调整道路交通安全综合整治“三年提升工程”领导小组成员，街道办事处李斌主任任组长，街道办吴首钢二级调研员、禾山交警中队叶晓东中队长任副组长，各社区及相关部门主要负责人为成员，领导小组下设办公室，负责道安办日常工作，由街道城管办负责人刘小涛任办公室主任。加强对道路安全隐患综合整治工作的组织领导，定期分析研判安全形势和道路隐患整治情况，研究部署重点工作，解决存在的突出问题，确保各项整治工作的落实。</w:t>
      </w:r>
    </w:p>
    <w:p>
      <w:pPr>
        <w:pStyle w:val="3"/>
        <w:spacing w:before="0" w:after="0"/>
        <w:ind w:left="1219" w:hanging="658"/>
        <w:rPr>
          <w:sz w:val="28"/>
          <w:szCs w:val="28"/>
        </w:rPr>
      </w:pPr>
      <w:r>
        <w:rPr>
          <w:rFonts w:hint="eastAsia"/>
          <w:sz w:val="28"/>
          <w:szCs w:val="28"/>
        </w:rPr>
        <w:t>二、资金安排及使用情况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（一）支出预算情况</w:t>
      </w:r>
    </w:p>
    <w:p>
      <w:pPr>
        <w:spacing w:line="440" w:lineRule="exact"/>
        <w:ind w:firstLine="480" w:firstLineChars="200"/>
        <w:rPr>
          <w:rFonts w:hint="eastAsia" w:ascii="仿宋" w:hAnsi="仿宋" w:eastAsia="仿宋" w:cs="仿宋"/>
          <w:kern w:val="2"/>
          <w:sz w:val="24"/>
        </w:rPr>
      </w:pPr>
      <w:r>
        <w:rPr>
          <w:rFonts w:ascii="仿宋" w:hAnsi="仿宋" w:eastAsia="仿宋" w:cs="仿宋"/>
          <w:kern w:val="2"/>
          <w:sz w:val="24"/>
        </w:rPr>
        <w:t>202</w:t>
      </w:r>
      <w:r>
        <w:rPr>
          <w:rFonts w:hint="eastAsia" w:ascii="仿宋" w:hAnsi="仿宋" w:eastAsia="仿宋" w:cs="仿宋"/>
          <w:kern w:val="2"/>
          <w:sz w:val="24"/>
          <w:lang w:val="en-US" w:eastAsia="zh-CN"/>
        </w:rPr>
        <w:t>2</w:t>
      </w:r>
      <w:r>
        <w:rPr>
          <w:rFonts w:ascii="仿宋" w:hAnsi="仿宋" w:eastAsia="仿宋" w:cs="仿宋"/>
          <w:kern w:val="2"/>
          <w:sz w:val="24"/>
        </w:rPr>
        <w:t>年社区公交项目年初预算108.00万元，实际经费支出108.00万元，</w:t>
      </w:r>
      <w:r>
        <w:rPr>
          <w:rFonts w:hint="eastAsia" w:ascii="仿宋" w:hAnsi="仿宋" w:eastAsia="仿宋" w:cs="仿宋"/>
          <w:kern w:val="2"/>
          <w:sz w:val="24"/>
        </w:rPr>
        <w:t>用于社区公交营运补贴。</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（二）资金使用范围</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本项目资金全部用于社区公交营运补贴，共计</w:t>
      </w:r>
      <w:r>
        <w:rPr>
          <w:rFonts w:ascii="仿宋" w:hAnsi="仿宋" w:eastAsia="仿宋" w:cs="仿宋"/>
          <w:kern w:val="2"/>
          <w:sz w:val="24"/>
        </w:rPr>
        <w:t>108.00</w:t>
      </w:r>
      <w:r>
        <w:rPr>
          <w:rFonts w:hint="eastAsia" w:ascii="仿宋" w:hAnsi="仿宋" w:eastAsia="仿宋" w:cs="仿宋"/>
          <w:kern w:val="2"/>
          <w:sz w:val="24"/>
        </w:rPr>
        <w:t>万元。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（三）资金管控情况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本项目资金严格按预算规定用途使用，支出程序、结算手续严格按现行财政项目资金管理有关要求，做到专款专用。</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（四）支出政策执行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本项目严格按照相关文件规定执行，我街道应做好款项手续齐全并及时拨付到社区公交项目建中去，保证工作顺利完成。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（五）支出分担体制</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本项目扶持资金由区财政承担。</w:t>
      </w:r>
    </w:p>
    <w:p>
      <w:pPr>
        <w:pStyle w:val="3"/>
        <w:spacing w:before="0" w:after="0"/>
        <w:ind w:left="1219" w:hanging="658"/>
        <w:rPr>
          <w:sz w:val="28"/>
          <w:szCs w:val="28"/>
        </w:rPr>
      </w:pPr>
      <w:r>
        <w:rPr>
          <w:rFonts w:hint="eastAsia"/>
          <w:sz w:val="28"/>
          <w:szCs w:val="28"/>
        </w:rPr>
        <w:t>三、绩效分析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1、任务完成情况及绩效目标完成情况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街道道安办经常性对枋湖客运中心、特运集团鹭岛长途客运有限公司、厦门海峡出租汽车股份有限公司、厦门建豪市政工程有限公司等客货运企业进行现场巡查，检查企业安全规章制度、员工的教育培训、道路交通安全的宣传等落实情况，同时了解企业客货运情况，对企业反映的问题做好协调处理工作。特别是在春运及重要节假日期间，街道领导深入企业一线进行督导检查，了解客运情况，及时掌握新情况、新问题，根据不同交通情况，确定工作重点，及时跟进。</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街道发动</w:t>
      </w:r>
      <w:r>
        <w:rPr>
          <w:rFonts w:hint="eastAsia" w:ascii="仿宋" w:hAnsi="仿宋" w:eastAsia="仿宋" w:cs="仿宋"/>
          <w:kern w:val="2"/>
          <w:sz w:val="24"/>
          <w:lang w:val="en-US" w:eastAsia="zh-CN"/>
        </w:rPr>
        <w:t>20</w:t>
      </w:r>
      <w:r>
        <w:rPr>
          <w:rFonts w:hint="eastAsia" w:ascii="仿宋" w:hAnsi="仿宋" w:eastAsia="仿宋" w:cs="仿宋"/>
          <w:kern w:val="2"/>
          <w:sz w:val="24"/>
        </w:rPr>
        <w:t>名志愿者在辖区主要路口进行佩戴头盔安全出行文明劝导工作；通过街道、社区畅享网格化平台、群发短信等多种形式开展道路安全宣传教育活动，张贴海报</w:t>
      </w:r>
      <w:r>
        <w:rPr>
          <w:rFonts w:hint="eastAsia" w:ascii="仿宋" w:hAnsi="仿宋" w:eastAsia="仿宋" w:cs="仿宋"/>
          <w:kern w:val="2"/>
          <w:sz w:val="24"/>
          <w:lang w:val="en-US" w:eastAsia="zh-CN"/>
        </w:rPr>
        <w:t>48</w:t>
      </w:r>
      <w:r>
        <w:rPr>
          <w:rFonts w:hint="eastAsia" w:ascii="仿宋" w:hAnsi="仿宋" w:eastAsia="仿宋" w:cs="仿宋"/>
          <w:kern w:val="2"/>
          <w:sz w:val="24"/>
        </w:rPr>
        <w:t>张，发放宣传单</w:t>
      </w:r>
      <w:r>
        <w:rPr>
          <w:rFonts w:hint="eastAsia" w:ascii="仿宋" w:hAnsi="仿宋" w:eastAsia="仿宋" w:cs="仿宋"/>
          <w:kern w:val="2"/>
          <w:sz w:val="24"/>
          <w:lang w:val="en-US" w:eastAsia="zh-CN"/>
        </w:rPr>
        <w:t>64</w:t>
      </w:r>
      <w:r>
        <w:rPr>
          <w:rFonts w:hint="eastAsia" w:ascii="仿宋" w:hAnsi="仿宋" w:eastAsia="仿宋" w:cs="仿宋"/>
          <w:kern w:val="2"/>
          <w:sz w:val="24"/>
        </w:rPr>
        <w:t>000份。禾山交警中队针对电动车违法行为发生的规律特点，科学布警，采取流动巡查与定点设卡相结合的方法，加大对中午、夜间等重点时段的管控，在城乡结合部，加强对电动车违法行为的查控，依法从严处罚。</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排查道路交通隐患</w:t>
      </w:r>
      <w:r>
        <w:rPr>
          <w:rFonts w:ascii="仿宋" w:hAnsi="仿宋" w:eastAsia="仿宋" w:cs="仿宋"/>
          <w:kern w:val="2"/>
          <w:sz w:val="24"/>
        </w:rPr>
        <w:t>70余处（其中标志25处、标线30处、增设隔离护栏1处、红绿灯1个，其他隐患13余处），对排查出安全隐患的路段详细登记道路名称、位置及相关图片，并上报相关部门落实整改，完善了钟宅西三路、金尚路、枋湖西路、云顶北路以及校园周边等道路交通设施</w:t>
      </w:r>
      <w:r>
        <w:rPr>
          <w:rFonts w:hint="eastAsia" w:ascii="仿宋" w:hAnsi="仿宋" w:eastAsia="仿宋" w:cs="仿宋"/>
          <w:kern w:val="2"/>
          <w:sz w:val="24"/>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深入渣土车运输企业，摸清渣土车数量和渣土车驾驶人人数，完善辖区渣土车及驾驶人数据</w:t>
      </w:r>
      <w:r>
        <w:rPr>
          <w:rFonts w:hint="eastAsia" w:ascii="仿宋" w:hAnsi="仿宋" w:eastAsia="仿宋" w:cs="仿宋"/>
          <w:kern w:val="2"/>
          <w:sz w:val="24"/>
          <w:lang w:eastAsia="zh-CN"/>
        </w:rPr>
        <w:t>台账</w:t>
      </w:r>
      <w:r>
        <w:rPr>
          <w:rFonts w:hint="eastAsia" w:ascii="仿宋" w:hAnsi="仿宋" w:eastAsia="仿宋" w:cs="仿宋"/>
          <w:kern w:val="2"/>
          <w:sz w:val="24"/>
        </w:rPr>
        <w:t>，现有渣土车企业4家，分别是厦门建豪市政工程有限公司、厦门鹭建兴土石方工程有限公司、厦门市平实土石方工程有限公司，共有渣土车128辆，车辆年检率100%，车辆GPS安装100%。街道联合禾山交警中队、禾山执法中队对渣土车进行整治，共查处土方车违规现象50余起。</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联合社建办、禾山交警中队、区教育局、区道安办等部门，深入辖区中小学、幼儿园周边开展道路安全隐患排查，共排查安全隐患</w:t>
      </w:r>
      <w:r>
        <w:rPr>
          <w:rFonts w:ascii="仿宋" w:hAnsi="仿宋" w:eastAsia="仿宋" w:cs="仿宋"/>
          <w:kern w:val="2"/>
          <w:sz w:val="24"/>
        </w:rPr>
        <w:t>50处。联合禾山交警中队等单位，加大对机动车违法停放、电动车无牌上路、摩托车载客、货车超载、无证驾驶、酒驾等违法行为进行重点整治。针对“社区公交”部分线路运行于成功大道辅道、安墩路等狭窄的小街巷，组织社区居民自觉维护线路的畅通以及占道经营的劝导工作，由</w:t>
      </w:r>
      <w:r>
        <w:rPr>
          <w:rFonts w:hint="eastAsia" w:ascii="仿宋" w:hAnsi="仿宋" w:eastAsia="仿宋" w:cs="仿宋"/>
          <w:kern w:val="2"/>
          <w:sz w:val="24"/>
          <w:lang w:eastAsia="zh-CN"/>
        </w:rPr>
        <w:t>禾山</w:t>
      </w:r>
      <w:r>
        <w:rPr>
          <w:rFonts w:ascii="仿宋" w:hAnsi="仿宋" w:eastAsia="仿宋" w:cs="仿宋"/>
          <w:kern w:val="2"/>
          <w:sz w:val="24"/>
        </w:rPr>
        <w:t>交警中队和禾山执法中队组成的联合执法队在晚上9：30前加强对车辆违停、占道经营检查、纠正及查处工作，确保了社区公交线路的畅通运行。每月组织开展</w:t>
      </w:r>
      <w:r>
        <w:rPr>
          <w:rFonts w:hint="eastAsia" w:ascii="仿宋" w:hAnsi="仿宋" w:eastAsia="仿宋" w:cs="仿宋"/>
          <w:kern w:val="2"/>
          <w:sz w:val="24"/>
          <w:lang w:val="en-US" w:eastAsia="zh-CN"/>
        </w:rPr>
        <w:t>3次</w:t>
      </w:r>
      <w:r>
        <w:rPr>
          <w:rFonts w:hint="eastAsia" w:ascii="仿宋" w:hAnsi="仿宋" w:eastAsia="仿宋" w:cs="仿宋"/>
          <w:kern w:val="2"/>
          <w:sz w:val="24"/>
        </w:rPr>
        <w:t>市容组</w:t>
      </w:r>
      <w:r>
        <w:rPr>
          <w:rFonts w:hint="eastAsia" w:ascii="仿宋" w:hAnsi="仿宋" w:eastAsia="仿宋" w:cs="仿宋"/>
          <w:kern w:val="2"/>
          <w:sz w:val="24"/>
          <w:lang w:eastAsia="zh-CN"/>
        </w:rPr>
        <w:t>联合执法</w:t>
      </w:r>
      <w:r>
        <w:rPr>
          <w:rFonts w:hint="eastAsia" w:ascii="仿宋" w:hAnsi="仿宋" w:eastAsia="仿宋" w:cs="仿宋"/>
          <w:kern w:val="2"/>
          <w:sz w:val="24"/>
        </w:rPr>
        <w:t>重点查扣违规停放的电动自行车（静态），沿街进行巡查流动，</w:t>
      </w:r>
      <w:r>
        <w:rPr>
          <w:rFonts w:ascii="仿宋" w:hAnsi="仿宋" w:eastAsia="仿宋" w:cs="仿宋"/>
          <w:kern w:val="2"/>
          <w:sz w:val="24"/>
        </w:rPr>
        <w:t>突出对</w:t>
      </w:r>
      <w:r>
        <w:rPr>
          <w:rFonts w:hint="eastAsia" w:ascii="仿宋" w:hAnsi="仿宋" w:eastAsia="仿宋" w:cs="仿宋"/>
          <w:kern w:val="2"/>
          <w:sz w:val="24"/>
          <w:lang w:eastAsia="zh-CN"/>
        </w:rPr>
        <w:t>阻碍交通</w:t>
      </w:r>
      <w:r>
        <w:rPr>
          <w:rFonts w:ascii="仿宋" w:hAnsi="仿宋" w:eastAsia="仿宋" w:cs="仿宋"/>
          <w:kern w:val="2"/>
          <w:sz w:val="24"/>
        </w:rPr>
        <w:t>道路</w:t>
      </w:r>
      <w:r>
        <w:rPr>
          <w:rFonts w:hint="eastAsia" w:ascii="仿宋" w:hAnsi="仿宋" w:eastAsia="仿宋" w:cs="仿宋"/>
          <w:kern w:val="2"/>
          <w:sz w:val="24"/>
          <w:lang w:eastAsia="zh-CN"/>
        </w:rPr>
        <w:t>的</w:t>
      </w:r>
      <w:r>
        <w:rPr>
          <w:rFonts w:ascii="仿宋" w:hAnsi="仿宋" w:eastAsia="仿宋" w:cs="仿宋"/>
          <w:kern w:val="2"/>
          <w:sz w:val="24"/>
        </w:rPr>
        <w:t>违法行为进行整治和劝导。</w:t>
      </w:r>
      <w:r>
        <w:rPr>
          <w:rFonts w:ascii="仿宋" w:hAnsi="仿宋" w:eastAsia="仿宋" w:cs="仿宋"/>
          <w:color w:val="auto"/>
          <w:kern w:val="2"/>
          <w:sz w:val="24"/>
        </w:rPr>
        <w:t xml:space="preserve"> </w:t>
      </w:r>
      <w:r>
        <w:rPr>
          <w:rFonts w:hint="eastAsia" w:ascii="仿宋" w:hAnsi="仿宋" w:eastAsia="仿宋" w:cs="仿宋"/>
          <w:color w:val="auto"/>
          <w:kern w:val="2"/>
          <w:sz w:val="24"/>
          <w:lang w:eastAsia="zh-CN"/>
        </w:rPr>
        <w:t>2022</w:t>
      </w:r>
      <w:r>
        <w:rPr>
          <w:rFonts w:ascii="仿宋" w:hAnsi="仿宋" w:eastAsia="仿宋" w:cs="仿宋"/>
          <w:color w:val="auto"/>
          <w:kern w:val="2"/>
          <w:sz w:val="24"/>
        </w:rPr>
        <w:t>年</w:t>
      </w:r>
      <w:r>
        <w:rPr>
          <w:rFonts w:hint="eastAsia" w:ascii="仿宋" w:hAnsi="仿宋" w:eastAsia="仿宋" w:cs="仿宋"/>
          <w:color w:val="auto"/>
          <w:kern w:val="2"/>
          <w:sz w:val="24"/>
          <w:lang w:eastAsia="zh-CN"/>
        </w:rPr>
        <w:t>，</w:t>
      </w:r>
      <w:r>
        <w:rPr>
          <w:rFonts w:ascii="仿宋" w:hAnsi="仿宋" w:eastAsia="仿宋" w:cs="仿宋"/>
          <w:color w:val="auto"/>
          <w:kern w:val="2"/>
          <w:sz w:val="24"/>
        </w:rPr>
        <w:t>共查处各类</w:t>
      </w:r>
      <w:r>
        <w:rPr>
          <w:rFonts w:hint="eastAsia" w:ascii="仿宋" w:hAnsi="仿宋" w:eastAsia="仿宋" w:cs="仿宋"/>
          <w:color w:val="auto"/>
          <w:kern w:val="2"/>
          <w:sz w:val="24"/>
          <w:lang w:eastAsia="zh-CN"/>
        </w:rPr>
        <w:t>交通</w:t>
      </w:r>
      <w:r>
        <w:rPr>
          <w:rFonts w:ascii="仿宋" w:hAnsi="仿宋" w:eastAsia="仿宋" w:cs="仿宋"/>
          <w:color w:val="auto"/>
          <w:kern w:val="2"/>
          <w:sz w:val="24"/>
        </w:rPr>
        <w:t>违法行为总数</w:t>
      </w:r>
      <w:r>
        <w:rPr>
          <w:rFonts w:hint="eastAsia" w:ascii="仿宋" w:hAnsi="仿宋" w:eastAsia="仿宋" w:cs="仿宋"/>
          <w:color w:val="auto"/>
          <w:kern w:val="2"/>
          <w:sz w:val="24"/>
          <w:lang w:val="en-US" w:eastAsia="zh-CN"/>
        </w:rPr>
        <w:t>106082</w:t>
      </w:r>
      <w:r>
        <w:rPr>
          <w:rFonts w:ascii="仿宋" w:hAnsi="仿宋" w:eastAsia="仿宋" w:cs="仿宋"/>
          <w:color w:val="auto"/>
          <w:kern w:val="2"/>
          <w:sz w:val="24"/>
        </w:rPr>
        <w:t>起，其中</w:t>
      </w:r>
      <w:r>
        <w:rPr>
          <w:rFonts w:hint="eastAsia" w:ascii="仿宋" w:hAnsi="仿宋" w:eastAsia="仿宋" w:cs="仿宋"/>
          <w:color w:val="auto"/>
          <w:kern w:val="2"/>
          <w:sz w:val="24"/>
          <w:lang w:eastAsia="zh-CN"/>
        </w:rPr>
        <w:t>电动车违法行为</w:t>
      </w:r>
      <w:r>
        <w:rPr>
          <w:rFonts w:hint="eastAsia" w:ascii="仿宋" w:hAnsi="仿宋" w:eastAsia="仿宋" w:cs="仿宋"/>
          <w:color w:val="auto"/>
          <w:kern w:val="2"/>
          <w:sz w:val="24"/>
          <w:lang w:val="en-US" w:eastAsia="zh-CN"/>
        </w:rPr>
        <w:t>50014起，</w:t>
      </w:r>
      <w:r>
        <w:rPr>
          <w:rFonts w:ascii="仿宋" w:hAnsi="仿宋" w:eastAsia="仿宋" w:cs="仿宋"/>
          <w:color w:val="auto"/>
          <w:kern w:val="2"/>
          <w:sz w:val="24"/>
        </w:rPr>
        <w:t>酒后驾车3</w:t>
      </w:r>
      <w:r>
        <w:rPr>
          <w:rFonts w:hint="eastAsia" w:ascii="仿宋" w:hAnsi="仿宋" w:eastAsia="仿宋" w:cs="仿宋"/>
          <w:color w:val="auto"/>
          <w:kern w:val="2"/>
          <w:sz w:val="24"/>
          <w:lang w:val="en-US" w:eastAsia="zh-CN"/>
        </w:rPr>
        <w:t>6</w:t>
      </w:r>
      <w:r>
        <w:rPr>
          <w:rFonts w:ascii="仿宋" w:hAnsi="仿宋" w:eastAsia="仿宋" w:cs="仿宋"/>
          <w:color w:val="auto"/>
          <w:kern w:val="2"/>
          <w:sz w:val="24"/>
        </w:rPr>
        <w:t>起，醉酒驾驶</w:t>
      </w:r>
      <w:r>
        <w:rPr>
          <w:rFonts w:hint="eastAsia" w:ascii="仿宋" w:hAnsi="仿宋" w:eastAsia="仿宋" w:cs="仿宋"/>
          <w:color w:val="auto"/>
          <w:kern w:val="2"/>
          <w:sz w:val="24"/>
          <w:lang w:val="en-US" w:eastAsia="zh-CN"/>
        </w:rPr>
        <w:t>49</w:t>
      </w:r>
      <w:r>
        <w:rPr>
          <w:rFonts w:ascii="仿宋" w:hAnsi="仿宋" w:eastAsia="仿宋" w:cs="仿宋"/>
          <w:color w:val="auto"/>
          <w:kern w:val="2"/>
          <w:sz w:val="24"/>
        </w:rPr>
        <w:t>起，摩托车超员32起，货车超载1</w:t>
      </w:r>
      <w:r>
        <w:rPr>
          <w:rFonts w:hint="eastAsia" w:ascii="仿宋" w:hAnsi="仿宋" w:eastAsia="仿宋" w:cs="仿宋"/>
          <w:color w:val="auto"/>
          <w:kern w:val="2"/>
          <w:sz w:val="24"/>
          <w:lang w:val="en-US" w:eastAsia="zh-CN"/>
        </w:rPr>
        <w:t>09</w:t>
      </w:r>
      <w:r>
        <w:rPr>
          <w:rFonts w:ascii="仿宋" w:hAnsi="仿宋" w:eastAsia="仿宋" w:cs="仿宋"/>
          <w:color w:val="auto"/>
          <w:kern w:val="2"/>
          <w:sz w:val="24"/>
        </w:rPr>
        <w:t>起，违法停车</w:t>
      </w:r>
      <w:r>
        <w:rPr>
          <w:rFonts w:hint="eastAsia" w:ascii="仿宋" w:hAnsi="仿宋" w:eastAsia="仿宋" w:cs="仿宋"/>
          <w:color w:val="auto"/>
          <w:kern w:val="2"/>
          <w:sz w:val="24"/>
          <w:lang w:val="en-US" w:eastAsia="zh-CN"/>
        </w:rPr>
        <w:t>1424</w:t>
      </w:r>
      <w:r>
        <w:rPr>
          <w:rFonts w:ascii="仿宋" w:hAnsi="仿宋" w:eastAsia="仿宋" w:cs="仿宋"/>
          <w:color w:val="auto"/>
          <w:kern w:val="2"/>
          <w:sz w:val="24"/>
        </w:rPr>
        <w:t>起，涉牌违法</w:t>
      </w:r>
      <w:r>
        <w:rPr>
          <w:rFonts w:hint="eastAsia" w:ascii="仿宋" w:hAnsi="仿宋" w:eastAsia="仿宋" w:cs="仿宋"/>
          <w:color w:val="auto"/>
          <w:kern w:val="2"/>
          <w:sz w:val="24"/>
          <w:lang w:val="en-US" w:eastAsia="zh-CN"/>
        </w:rPr>
        <w:t>281</w:t>
      </w:r>
      <w:r>
        <w:rPr>
          <w:rFonts w:ascii="仿宋" w:hAnsi="仿宋" w:eastAsia="仿宋" w:cs="仿宋"/>
          <w:color w:val="auto"/>
          <w:kern w:val="2"/>
          <w:sz w:val="24"/>
        </w:rPr>
        <w:t>起，涉证违法</w:t>
      </w:r>
      <w:r>
        <w:rPr>
          <w:rFonts w:hint="eastAsia" w:ascii="仿宋" w:hAnsi="仿宋" w:eastAsia="仿宋" w:cs="仿宋"/>
          <w:color w:val="auto"/>
          <w:kern w:val="2"/>
          <w:sz w:val="24"/>
          <w:lang w:val="en-US" w:eastAsia="zh-CN"/>
        </w:rPr>
        <w:t>418</w:t>
      </w:r>
      <w:r>
        <w:rPr>
          <w:rFonts w:ascii="仿宋" w:hAnsi="仿宋" w:eastAsia="仿宋" w:cs="仿宋"/>
          <w:color w:val="auto"/>
          <w:kern w:val="2"/>
          <w:sz w:val="24"/>
        </w:rPr>
        <w:t>起，查</w:t>
      </w:r>
      <w:r>
        <w:rPr>
          <w:rFonts w:hint="eastAsia" w:ascii="仿宋" w:hAnsi="仿宋" w:eastAsia="仿宋" w:cs="仿宋"/>
          <w:color w:val="auto"/>
          <w:kern w:val="2"/>
          <w:sz w:val="24"/>
          <w:lang w:eastAsia="zh-CN"/>
        </w:rPr>
        <w:t>扣</w:t>
      </w:r>
      <w:r>
        <w:rPr>
          <w:rFonts w:ascii="仿宋" w:hAnsi="仿宋" w:eastAsia="仿宋" w:cs="仿宋"/>
          <w:color w:val="auto"/>
          <w:kern w:val="2"/>
          <w:sz w:val="24"/>
        </w:rPr>
        <w:t>小型车辆</w:t>
      </w:r>
      <w:r>
        <w:rPr>
          <w:rFonts w:hint="eastAsia" w:ascii="仿宋" w:hAnsi="仿宋" w:eastAsia="仿宋" w:cs="仿宋"/>
          <w:color w:val="auto"/>
          <w:kern w:val="2"/>
          <w:sz w:val="24"/>
          <w:lang w:val="en-US" w:eastAsia="zh-CN"/>
        </w:rPr>
        <w:t>85辆</w:t>
      </w:r>
      <w:r>
        <w:rPr>
          <w:rFonts w:ascii="仿宋" w:hAnsi="仿宋" w:eastAsia="仿宋" w:cs="仿宋"/>
          <w:color w:val="auto"/>
          <w:kern w:val="2"/>
          <w:sz w:val="24"/>
        </w:rPr>
        <w:t>，摩托车12</w:t>
      </w:r>
      <w:r>
        <w:rPr>
          <w:rFonts w:hint="eastAsia" w:ascii="仿宋" w:hAnsi="仿宋" w:eastAsia="仿宋" w:cs="仿宋"/>
          <w:color w:val="auto"/>
          <w:kern w:val="2"/>
          <w:sz w:val="24"/>
          <w:lang w:val="en-US" w:eastAsia="zh-CN"/>
        </w:rPr>
        <w:t>4部</w:t>
      </w:r>
      <w:r>
        <w:rPr>
          <w:rFonts w:ascii="仿宋" w:hAnsi="仿宋" w:eastAsia="仿宋" w:cs="仿宋"/>
          <w:color w:val="auto"/>
          <w:kern w:val="2"/>
          <w:sz w:val="24"/>
        </w:rPr>
        <w:t>，电动车</w:t>
      </w:r>
      <w:r>
        <w:rPr>
          <w:rFonts w:hint="eastAsia" w:ascii="仿宋" w:hAnsi="仿宋" w:eastAsia="仿宋" w:cs="仿宋"/>
          <w:color w:val="auto"/>
          <w:kern w:val="2"/>
          <w:sz w:val="24"/>
          <w:lang w:val="en-US" w:eastAsia="zh-CN"/>
        </w:rPr>
        <w:t>7016部</w:t>
      </w:r>
      <w:r>
        <w:rPr>
          <w:rFonts w:ascii="仿宋" w:hAnsi="仿宋" w:eastAsia="仿宋" w:cs="仿宋"/>
          <w:color w:val="auto"/>
          <w:kern w:val="2"/>
          <w:sz w:val="24"/>
        </w:rPr>
        <w:t>，整治“僵尸车”14部，车主自行移走19部。为辖区道路交通秩序整治工作取得了实实在在的效果。</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通过建立健全“资源共享、联合执法、社会参与、集约保障”工作机制，依托湖里区城市综合管理“路长制”的实施，按照“以点带面，先主后次”的工作步骤，集中治理机动车违停乱停、路面僵尸车、“二手车”占道经营等突出问题，持续强化街面停车秩序综合整治，坚持严格执法、严密管理，推动形成辖区范围内“遵章停车、按位停放、违停必处”的良好局面。重点整治枋湖西路、金湖路（金尚路</w:t>
      </w:r>
      <w:r>
        <w:rPr>
          <w:rFonts w:ascii="仿宋" w:hAnsi="仿宋" w:eastAsia="仿宋" w:cs="仿宋"/>
          <w:kern w:val="2"/>
          <w:sz w:val="24"/>
        </w:rPr>
        <w:t>-成功大道段）、环岛干道（禾山段）、枋钟路（禾山侧）、枋湖南路、枋湖路、枋湖东路等路段。同时社区加强对“城中村”道路停车秩序宣传活动，分发停车秩序整治宣传折</w:t>
      </w:r>
      <w:r>
        <w:rPr>
          <w:rFonts w:hint="eastAsia" w:ascii="仿宋" w:hAnsi="仿宋" w:eastAsia="仿宋" w:cs="仿宋"/>
          <w:kern w:val="2"/>
          <w:sz w:val="24"/>
        </w:rPr>
        <w:t>页</w:t>
      </w:r>
      <w:r>
        <w:rPr>
          <w:rFonts w:ascii="仿宋" w:hAnsi="仿宋" w:eastAsia="仿宋" w:cs="仿宋"/>
          <w:kern w:val="2"/>
          <w:sz w:val="24"/>
        </w:rPr>
        <w:t>1200份,分发“温馨提示”1200余份。</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街道强化组织领导，制定工作方案，明确工作责任，细化和分解工作任务，各成员单位结合辖区实际，积极行动，认真排查道路安全隐患，排查隐患70多处，街道道安办及时上报并协调处理。确定以客货运车辆、严重交通违法行为、道路交通事故多发、隐患较多、秩序混乱的地区为整治重点，采取有力措施，强化综合治理，确保专项整治工作有效开展。同时，街道联合区道安办、区市政园林局、区城市管理行政执法局、禾山交警中队在枋湖北二路、金湖路、宸鸿科技公司周边重点查处涉牌涉证、违反禁令标志行驶、驾驶机动车拨打手机、行人乱穿机动车道、违法停车、机动车斑马线不减速礼让行人等显见性交通违法行为。</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开展以“安全出行，平安春运”为主题的宣传活动，通过设置咨询台、摆放宣传展板、张贴宣传标语等形式，宣传交通安全法律法规和安全行车、乘车常识，倡议旅客坚决抵制超员超速车辆；在日常宣传方面，各社区的社会文化活动开展道路交通安全宣传工作，提高社区居民群众的交通安全意识，同时街道还分别在</w:t>
      </w:r>
      <w:r>
        <w:rPr>
          <w:rFonts w:hint="eastAsia" w:ascii="仿宋" w:hAnsi="仿宋" w:eastAsia="仿宋" w:cs="仿宋"/>
          <w:kern w:val="2"/>
          <w:sz w:val="24"/>
          <w:lang w:eastAsia="zh-CN"/>
        </w:rPr>
        <w:t>云顶北路</w:t>
      </w:r>
      <w:r>
        <w:rPr>
          <w:rFonts w:hint="eastAsia" w:ascii="仿宋" w:hAnsi="仿宋" w:eastAsia="仿宋" w:cs="仿宋"/>
          <w:kern w:val="2"/>
          <w:sz w:val="24"/>
        </w:rPr>
        <w:t>金湖路口</w:t>
      </w:r>
      <w:r>
        <w:rPr>
          <w:rFonts w:hint="eastAsia" w:ascii="仿宋" w:hAnsi="仿宋" w:eastAsia="仿宋" w:cs="仿宋"/>
          <w:kern w:val="2"/>
          <w:sz w:val="24"/>
          <w:lang w:eastAsia="zh-CN"/>
        </w:rPr>
        <w:t>至枋钟路口</w:t>
      </w:r>
      <w:r>
        <w:rPr>
          <w:rFonts w:hint="eastAsia" w:ascii="仿宋" w:hAnsi="仿宋" w:eastAsia="仿宋" w:cs="仿宋"/>
          <w:kern w:val="2"/>
          <w:sz w:val="24"/>
        </w:rPr>
        <w:t>、枋湖南路路口、枋湖路口、</w:t>
      </w:r>
      <w:r>
        <w:rPr>
          <w:rFonts w:hint="eastAsia" w:ascii="仿宋" w:hAnsi="仿宋" w:eastAsia="仿宋" w:cs="仿宋"/>
          <w:kern w:val="2"/>
          <w:sz w:val="24"/>
          <w:lang w:eastAsia="zh-CN"/>
        </w:rPr>
        <w:t>枋湖北二路安兜路口、枋湖东路禾山街道办</w:t>
      </w:r>
      <w:r>
        <w:rPr>
          <w:rFonts w:hint="eastAsia" w:ascii="仿宋" w:hAnsi="仿宋" w:eastAsia="仿宋" w:cs="仿宋"/>
          <w:kern w:val="2"/>
          <w:sz w:val="24"/>
        </w:rPr>
        <w:t>路口、</w:t>
      </w:r>
      <w:r>
        <w:rPr>
          <w:rFonts w:hint="eastAsia" w:ascii="仿宋" w:hAnsi="仿宋" w:eastAsia="仿宋" w:cs="仿宋"/>
          <w:kern w:val="2"/>
          <w:sz w:val="24"/>
          <w:lang w:eastAsia="zh-CN"/>
        </w:rPr>
        <w:t>枋钟路水利大厦云顶北路等</w:t>
      </w:r>
      <w:r>
        <w:rPr>
          <w:rFonts w:hint="eastAsia" w:ascii="仿宋" w:hAnsi="仿宋" w:eastAsia="仿宋" w:cs="仿宋"/>
          <w:kern w:val="2"/>
          <w:sz w:val="24"/>
        </w:rPr>
        <w:t>重点路口</w:t>
      </w:r>
      <w:r>
        <w:rPr>
          <w:rFonts w:hint="eastAsia" w:ascii="仿宋" w:hAnsi="仿宋" w:eastAsia="仿宋" w:cs="仿宋"/>
          <w:kern w:val="2"/>
          <w:sz w:val="24"/>
          <w:lang w:eastAsia="zh-CN"/>
        </w:rPr>
        <w:t>路段</w:t>
      </w:r>
      <w:r>
        <w:rPr>
          <w:rFonts w:hint="eastAsia" w:ascii="仿宋" w:hAnsi="仿宋" w:eastAsia="仿宋" w:cs="仿宋"/>
          <w:kern w:val="2"/>
          <w:sz w:val="24"/>
        </w:rPr>
        <w:t>安排交通督导员，通过播放文明交通语音提示，加强对过往行人文明交通劝导宣传，及时纠正不文明的交通行为。利用各社区的户外LED和“双微”等宣传媒介，开展道路交通安全宣传，编发交通安全信息，提示警示居民做好节日安全出行，从源头上把好预防事故的关卡。</w:t>
      </w:r>
      <w:bookmarkStart w:id="1" w:name="_GoBack"/>
      <w:bookmarkEnd w:id="1"/>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rPr>
        <w:t>在广泛征求社情民意的基础上，禾山街道先后开通了431、433及439社区公交线路，并进一步优化运行线路，补贴公交营运，确保安全运行。社区公交是禾山街道为民办实事、办好事、解难事的一项重要举措，满足了居民群众和企业员工的便捷出行，社会效果明显。目前431线路的日载客人数稳定在4500人左右，</w:t>
      </w:r>
      <w:bookmarkStart w:id="0" w:name="OLE_LINK1"/>
      <w:r>
        <w:rPr>
          <w:rFonts w:hint="eastAsia" w:ascii="仿宋" w:hAnsi="仿宋" w:eastAsia="仿宋" w:cs="仿宋"/>
          <w:kern w:val="2"/>
          <w:sz w:val="24"/>
        </w:rPr>
        <w:t>433线路的日载客人数稳定在2200多人</w:t>
      </w:r>
      <w:bookmarkEnd w:id="0"/>
      <w:r>
        <w:rPr>
          <w:rFonts w:hint="eastAsia" w:ascii="仿宋" w:hAnsi="仿宋" w:eastAsia="仿宋" w:cs="仿宋"/>
          <w:kern w:val="2"/>
          <w:sz w:val="24"/>
        </w:rPr>
        <w:t>，439（A、B）线路的日载客人数稳定在2000多人。同时，“社区公交”的营运有效地遏制了摩托车非法营运和电动自行车违规上路等道路交通违法行为，对提升“城中村”交通安全系数、改善“城中村”道路交通秩序和提高群众对公共交通的满意率发挥重要作用，为广大市民群众营造更加安全、畅通、便捷的道路交通环境。</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年12月，本项目共支出</w:t>
      </w:r>
      <w:r>
        <w:rPr>
          <w:rFonts w:ascii="仿宋" w:hAnsi="仿宋" w:eastAsia="仿宋" w:cs="仿宋"/>
          <w:kern w:val="2"/>
          <w:sz w:val="24"/>
        </w:rPr>
        <w:t>108.00</w:t>
      </w:r>
      <w:r>
        <w:rPr>
          <w:rFonts w:hint="eastAsia" w:ascii="仿宋" w:hAnsi="仿宋" w:eastAsia="仿宋" w:cs="仿宋"/>
          <w:kern w:val="2"/>
          <w:sz w:val="24"/>
        </w:rPr>
        <w:t>万元，支出率</w:t>
      </w:r>
      <w:r>
        <w:rPr>
          <w:rFonts w:ascii="仿宋" w:hAnsi="仿宋" w:eastAsia="仿宋" w:cs="仿宋"/>
          <w:kern w:val="2"/>
          <w:sz w:val="24"/>
        </w:rPr>
        <w:t>100.00</w:t>
      </w:r>
      <w:r>
        <w:rPr>
          <w:rFonts w:hint="eastAsia" w:ascii="仿宋" w:hAnsi="仿宋" w:eastAsia="仿宋" w:cs="仿宋"/>
          <w:kern w:val="2"/>
          <w:sz w:val="24"/>
        </w:rPr>
        <w:t>%。经费下拨及时率100</w:t>
      </w:r>
      <w:r>
        <w:rPr>
          <w:rFonts w:ascii="仿宋" w:hAnsi="仿宋" w:eastAsia="仿宋" w:cs="仿宋"/>
          <w:kern w:val="2"/>
          <w:sz w:val="24"/>
        </w:rPr>
        <w:t>.00</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2、项目实施带动的社会效益</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本项目的实施有利于开展道路交通亡人事故专项整治工作，进一步提升道路安全管理水平。</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3、项目实施带动的公众满意度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居民满意度≧95%。</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（二）支出效益分析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1、支出进度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lang w:eastAsia="zh-CN"/>
        </w:rPr>
        <w:t>2022</w:t>
      </w:r>
      <w:r>
        <w:rPr>
          <w:rFonts w:hint="eastAsia" w:ascii="仿宋" w:hAnsi="仿宋" w:eastAsia="仿宋" w:cs="仿宋"/>
          <w:kern w:val="2"/>
          <w:sz w:val="24"/>
        </w:rPr>
        <w:t>年本项目年初预算</w:t>
      </w:r>
      <w:r>
        <w:rPr>
          <w:rFonts w:ascii="仿宋" w:hAnsi="仿宋" w:eastAsia="仿宋" w:cs="仿宋"/>
          <w:kern w:val="2"/>
          <w:sz w:val="24"/>
        </w:rPr>
        <w:t>108.00</w:t>
      </w:r>
      <w:r>
        <w:rPr>
          <w:rFonts w:hint="eastAsia" w:ascii="仿宋" w:hAnsi="仿宋" w:eastAsia="仿宋" w:cs="仿宋"/>
          <w:kern w:val="2"/>
          <w:sz w:val="24"/>
        </w:rPr>
        <w:t>万元，预算追加</w:t>
      </w:r>
      <w:r>
        <w:rPr>
          <w:rFonts w:ascii="仿宋" w:hAnsi="仿宋" w:eastAsia="仿宋" w:cs="仿宋"/>
          <w:kern w:val="2"/>
          <w:sz w:val="24"/>
        </w:rPr>
        <w:t>0.00</w:t>
      </w:r>
      <w:r>
        <w:rPr>
          <w:rFonts w:hint="eastAsia" w:ascii="仿宋" w:hAnsi="仿宋" w:eastAsia="仿宋" w:cs="仿宋"/>
          <w:kern w:val="2"/>
          <w:sz w:val="24"/>
        </w:rPr>
        <w:t>万元，总预算</w:t>
      </w:r>
      <w:r>
        <w:rPr>
          <w:rFonts w:ascii="仿宋" w:hAnsi="仿宋" w:eastAsia="仿宋" w:cs="仿宋"/>
          <w:kern w:val="2"/>
          <w:sz w:val="24"/>
        </w:rPr>
        <w:t>108.00</w:t>
      </w:r>
      <w:r>
        <w:rPr>
          <w:rFonts w:hint="eastAsia" w:ascii="仿宋" w:hAnsi="仿宋" w:eastAsia="仿宋" w:cs="仿宋"/>
          <w:kern w:val="2"/>
          <w:sz w:val="24"/>
        </w:rPr>
        <w:t>万元，实际授权支付数</w:t>
      </w:r>
      <w:r>
        <w:rPr>
          <w:rFonts w:ascii="仿宋" w:hAnsi="仿宋" w:eastAsia="仿宋" w:cs="仿宋"/>
          <w:kern w:val="2"/>
          <w:sz w:val="24"/>
        </w:rPr>
        <w:t>108.00</w:t>
      </w:r>
      <w:r>
        <w:rPr>
          <w:rFonts w:hint="eastAsia" w:ascii="仿宋" w:hAnsi="仿宋" w:eastAsia="仿宋" w:cs="仿宋"/>
          <w:kern w:val="2"/>
          <w:sz w:val="24"/>
        </w:rPr>
        <w:t>万元，支出进度达到</w:t>
      </w:r>
      <w:r>
        <w:rPr>
          <w:rFonts w:ascii="仿宋" w:hAnsi="仿宋" w:eastAsia="仿宋" w:cs="仿宋"/>
          <w:kern w:val="2"/>
          <w:sz w:val="24"/>
        </w:rPr>
        <w:t>100</w:t>
      </w:r>
      <w:r>
        <w:rPr>
          <w:rFonts w:hint="eastAsia" w:ascii="仿宋" w:hAnsi="仿宋" w:eastAsia="仿宋" w:cs="仿宋"/>
          <w:kern w:val="2"/>
          <w:sz w:val="24"/>
        </w:rPr>
        <w:t>.0</w:t>
      </w:r>
      <w:r>
        <w:rPr>
          <w:rFonts w:ascii="仿宋" w:hAnsi="仿宋" w:eastAsia="仿宋" w:cs="仿宋"/>
          <w:kern w:val="2"/>
          <w:sz w:val="24"/>
        </w:rPr>
        <w:t>0</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2、支出效率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w:t>
      </w:r>
      <w:r>
        <w:rPr>
          <w:rFonts w:hint="eastAsia" w:ascii="仿宋" w:hAnsi="仿宋" w:eastAsia="仿宋" w:cs="仿宋"/>
          <w:kern w:val="2"/>
          <w:sz w:val="24"/>
          <w:lang w:eastAsia="zh-CN"/>
        </w:rPr>
        <w:t>2022</w:t>
      </w:r>
      <w:r>
        <w:rPr>
          <w:rFonts w:hint="eastAsia" w:ascii="仿宋" w:hAnsi="仿宋" w:eastAsia="仿宋" w:cs="仿宋"/>
          <w:kern w:val="2"/>
          <w:sz w:val="24"/>
        </w:rPr>
        <w:t>年12月，本项目已支出</w:t>
      </w:r>
      <w:r>
        <w:rPr>
          <w:rFonts w:ascii="仿宋" w:hAnsi="仿宋" w:eastAsia="仿宋" w:cs="仿宋"/>
          <w:kern w:val="2"/>
          <w:sz w:val="24"/>
        </w:rPr>
        <w:t>108.00</w:t>
      </w:r>
      <w:r>
        <w:rPr>
          <w:rFonts w:hint="eastAsia" w:ascii="仿宋" w:hAnsi="仿宋" w:eastAsia="仿宋" w:cs="仿宋"/>
          <w:kern w:val="2"/>
          <w:sz w:val="24"/>
        </w:rPr>
        <w:t>万元，经费下拨及时率100%。</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3、成本控制分析及效益情况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w:t>
      </w:r>
      <w:r>
        <w:rPr>
          <w:rFonts w:hint="eastAsia" w:ascii="仿宋" w:hAnsi="仿宋" w:eastAsia="仿宋" w:cs="仿宋"/>
          <w:kern w:val="2"/>
          <w:sz w:val="24"/>
          <w:lang w:eastAsia="zh-CN"/>
        </w:rPr>
        <w:t>2022</w:t>
      </w:r>
      <w:r>
        <w:rPr>
          <w:rFonts w:hint="eastAsia" w:ascii="仿宋" w:hAnsi="仿宋" w:eastAsia="仿宋" w:cs="仿宋"/>
          <w:kern w:val="2"/>
          <w:sz w:val="24"/>
        </w:rPr>
        <w:t>年年底，</w:t>
      </w:r>
      <w:r>
        <w:rPr>
          <w:rFonts w:ascii="仿宋" w:hAnsi="仿宋" w:eastAsia="仿宋" w:cs="仿宋"/>
          <w:kern w:val="2"/>
          <w:sz w:val="24"/>
        </w:rPr>
        <w:t>社区公交项目年初预算108.00万元，实际经费支出108.00万元，经费支出进度100%，基本完成项目目标，支出效率较好，按照实际实施进度，按时拨付进度款项。</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（三）评价分值和等级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根据上述分析，确定本项目绩效评价分值9</w:t>
      </w:r>
      <w:r>
        <w:rPr>
          <w:rFonts w:ascii="仿宋" w:hAnsi="仿宋" w:eastAsia="仿宋" w:cs="仿宋"/>
          <w:kern w:val="2"/>
          <w:sz w:val="24"/>
        </w:rPr>
        <w:t>9</w:t>
      </w:r>
      <w:r>
        <w:rPr>
          <w:rFonts w:hint="eastAsia" w:ascii="仿宋" w:hAnsi="仿宋" w:eastAsia="仿宋" w:cs="仿宋"/>
          <w:kern w:val="2"/>
          <w:sz w:val="24"/>
        </w:rPr>
        <w:t>分，等级为优。</w:t>
      </w:r>
    </w:p>
    <w:p>
      <w:pPr>
        <w:pStyle w:val="3"/>
        <w:spacing w:before="0" w:after="0"/>
        <w:ind w:left="1219" w:hanging="658"/>
        <w:rPr>
          <w:sz w:val="28"/>
          <w:szCs w:val="28"/>
        </w:rPr>
      </w:pPr>
      <w:r>
        <w:rPr>
          <w:rFonts w:hint="eastAsia"/>
          <w:sz w:val="28"/>
          <w:szCs w:val="28"/>
        </w:rPr>
        <w:t>四、存在问题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（一）项目实施存在的问题</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1、道路交通设施屡遭破坏。在附近设有人行天桥或地下通道的情况下，行人存在侥幸心理，贪图便利，屡次破坏道路中间设置的隔离护栏而横穿道路，易导致交通事故的发生，如环岛干道（路权属于市公路局）、钟宅路钟宅村口（路权属于区市政）、云顶北路（路权属于市市政）共有九处人为踩踏缺口，行人横穿道路，存在安全隐患。</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2、违规超速现象严重。环岛干道、云顶北路作为进出岛的主要通道，过往车辆多且车速较快，特别是环岛干道在夜间时段，车流人流较少，机动车驾驶人超速行驶又放松对路面的观察，易导致交通事故的发生。</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3、因施工造成辖区交通环境复杂。东通道施工区域经过环岛干道和枋钟路，因施工占道造成部分路段道路线形改变、慢行系统缺失、视线受阻等情况，造成机非混行现象突出，易导致交通事故的发生。</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4、外来务工人员安全出行意识淡薄。环岛干道、云顶北路等沿线周边城中村较多，如围里社区、坂尚社区、枋湖社区等，外来出租户多，导致这一带外来务工人员较为密集，且这部分群体的交通安全观念淡薄，造成电动自行车占道行驶、闯红灯及行人随意横穿的违法乱象，易导致交通事故的发生。</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5、车辆违停现象普遍难以消除。由于辖区处于城乡结合部，加上车辆越来越多，停车位严重不足，造成辖区内车辆违停现象严重，如枋湖东路、钟宅西二路以及城中村内的村道。特别是城中村道路的违停现象已经严重影响到了应急救援车辆的通行。</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6、BRT沿线各站点非机动车仍停放杂乱。辖区内市政务中心、双十中心、县后等BRT沿线站点的非机动车停放杂乱无序的现象，虽经多部门联合整治后有所改观，但仍需要相关执法部门和相关业主单位开展常态化的停车秩序整治。</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（二）财政支出存在的问题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本项目经费支出严格按照文件精神执行，有效把控资金，提高资金使用效率，保障资金用途使用准确，财政支出无存在问题。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（三）支出政策制定方面存在的问题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本项目资金符合预算确定的支出用途，不存在虚列项目支出的情况，资金使用产生效益，财政支出政策无问题。</w:t>
      </w:r>
    </w:p>
    <w:p>
      <w:pPr>
        <w:pStyle w:val="3"/>
        <w:spacing w:before="0" w:after="0"/>
        <w:ind w:left="1219" w:hanging="658"/>
        <w:rPr>
          <w:sz w:val="28"/>
          <w:szCs w:val="28"/>
        </w:rPr>
      </w:pPr>
      <w:r>
        <w:rPr>
          <w:rFonts w:hint="eastAsia"/>
          <w:sz w:val="28"/>
          <w:szCs w:val="28"/>
        </w:rPr>
        <w:t>五、相关建议</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多开展相应的道路交通安全宣传活动。排查道路安全隐患，及时补缺补漏，确保道路交通安全。</w:t>
      </w:r>
    </w:p>
    <w:p>
      <w:pPr>
        <w:pStyle w:val="3"/>
        <w:spacing w:before="0" w:after="0"/>
        <w:ind w:left="1219" w:hanging="658"/>
        <w:rPr>
          <w:sz w:val="28"/>
          <w:szCs w:val="28"/>
        </w:rPr>
      </w:pPr>
      <w:r>
        <w:rPr>
          <w:rFonts w:hint="eastAsia"/>
          <w:sz w:val="28"/>
          <w:szCs w:val="28"/>
        </w:rPr>
        <w:t>六、下一步工作计划</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1、加大宣传力度。坚持把道路交通安全宣传作为一项经常性的工作，利用宣传单、横幅、板报和</w:t>
      </w:r>
      <w:r>
        <w:rPr>
          <w:rFonts w:ascii="仿宋" w:hAnsi="仿宋" w:eastAsia="仿宋" w:cs="仿宋"/>
          <w:kern w:val="2"/>
          <w:sz w:val="24"/>
        </w:rPr>
        <w:t>LED屏幕不断加大道路交通安全整治宣传力度，进一步提高广大居民群众参与道路交通安全工作的氛围，增强安全意识。</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2、加大执法力度。积极协同禾山交警中队开展道路交通安全综合整治各种专项活动，协同禾山交警中队在辖区主要路段、“城中村”主要路口设卡</w:t>
      </w:r>
      <w:r>
        <w:rPr>
          <w:rFonts w:hint="eastAsia" w:ascii="仿宋" w:hAnsi="仿宋" w:eastAsia="仿宋" w:cs="仿宋"/>
          <w:kern w:val="2"/>
          <w:sz w:val="24"/>
          <w:lang w:eastAsia="zh-CN"/>
        </w:rPr>
        <w:t>监督检查</w:t>
      </w:r>
      <w:r>
        <w:rPr>
          <w:rFonts w:hint="eastAsia" w:ascii="仿宋" w:hAnsi="仿宋" w:eastAsia="仿宋" w:cs="仿宋"/>
          <w:kern w:val="2"/>
          <w:sz w:val="24"/>
        </w:rPr>
        <w:t>，及时对过往摩托车进行盘查，加大对机动车违法查处的力度。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3、加强检查整治。组织人员对客运企业的车辆安全生产进行检查，发现问题，及时抓好整改，并督促企业严格按照道路交通综合整治活动的规定要求，狠抓落地休息制度、安全检查制度、车辆保养制度、驾驶时间管理制度落实，确保辖区企业生产的安全</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4、加强组织协调。加强街道与湖里交警大队、禾山交警中队等部门之间的协调与配合，组织协调督促各部门认真履行职能，明确管理区域与职责分工，加大对路面巡查及执法力度，狠抓道路交通安全整治工作的措施落实。</w:t>
      </w:r>
    </w:p>
    <w:p>
      <w:pPr>
        <w:spacing w:line="440" w:lineRule="exact"/>
        <w:ind w:firstLine="480" w:firstLineChars="200"/>
        <w:rPr>
          <w:rFonts w:ascii="仿宋" w:hAnsi="仿宋" w:eastAsia="仿宋" w:cs="仿宋"/>
          <w:kern w:val="2"/>
          <w:sz w:val="24"/>
        </w:rPr>
      </w:pPr>
    </w:p>
    <w:p>
      <w:pPr>
        <w:spacing w:line="440" w:lineRule="exact"/>
        <w:ind w:firstLine="480" w:firstLineChars="200"/>
        <w:rPr>
          <w:rFonts w:ascii="仿宋" w:hAnsi="仿宋" w:eastAsia="仿宋" w:cs="仿宋"/>
          <w:kern w:val="2"/>
          <w:sz w:val="24"/>
        </w:rPr>
      </w:pPr>
    </w:p>
    <w:p/>
    <w:p/>
    <w:p/>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E59D6"/>
    <w:rsid w:val="0000476C"/>
    <w:rsid w:val="000526D8"/>
    <w:rsid w:val="000B7579"/>
    <w:rsid w:val="000D598A"/>
    <w:rsid w:val="00125762"/>
    <w:rsid w:val="00131FD4"/>
    <w:rsid w:val="0015307D"/>
    <w:rsid w:val="0018458E"/>
    <w:rsid w:val="001D41E3"/>
    <w:rsid w:val="001F4364"/>
    <w:rsid w:val="00203B69"/>
    <w:rsid w:val="00203DD6"/>
    <w:rsid w:val="00211A27"/>
    <w:rsid w:val="00223F16"/>
    <w:rsid w:val="002B4AA6"/>
    <w:rsid w:val="002D6123"/>
    <w:rsid w:val="00301228"/>
    <w:rsid w:val="003020B6"/>
    <w:rsid w:val="00387A08"/>
    <w:rsid w:val="0039110E"/>
    <w:rsid w:val="003A2391"/>
    <w:rsid w:val="003D5CDD"/>
    <w:rsid w:val="00425454"/>
    <w:rsid w:val="00431693"/>
    <w:rsid w:val="0046419D"/>
    <w:rsid w:val="004A6C2C"/>
    <w:rsid w:val="004B461B"/>
    <w:rsid w:val="004B6784"/>
    <w:rsid w:val="004E2408"/>
    <w:rsid w:val="004E3D3F"/>
    <w:rsid w:val="004F5FEC"/>
    <w:rsid w:val="00505265"/>
    <w:rsid w:val="0054098C"/>
    <w:rsid w:val="0054599F"/>
    <w:rsid w:val="005547B6"/>
    <w:rsid w:val="00565C2D"/>
    <w:rsid w:val="005E1EEA"/>
    <w:rsid w:val="005E7E45"/>
    <w:rsid w:val="0060591C"/>
    <w:rsid w:val="00671B5E"/>
    <w:rsid w:val="00671ECA"/>
    <w:rsid w:val="00676CDF"/>
    <w:rsid w:val="00696D63"/>
    <w:rsid w:val="006B5097"/>
    <w:rsid w:val="006B5522"/>
    <w:rsid w:val="006B7165"/>
    <w:rsid w:val="006D19B3"/>
    <w:rsid w:val="00710983"/>
    <w:rsid w:val="00742A89"/>
    <w:rsid w:val="007441BE"/>
    <w:rsid w:val="00764F40"/>
    <w:rsid w:val="007B7AC7"/>
    <w:rsid w:val="007D0DE3"/>
    <w:rsid w:val="007E0CC8"/>
    <w:rsid w:val="00807AD1"/>
    <w:rsid w:val="008234C6"/>
    <w:rsid w:val="00845F17"/>
    <w:rsid w:val="00870FE9"/>
    <w:rsid w:val="008719B3"/>
    <w:rsid w:val="00871DAD"/>
    <w:rsid w:val="008B5022"/>
    <w:rsid w:val="00901609"/>
    <w:rsid w:val="0094540C"/>
    <w:rsid w:val="00954015"/>
    <w:rsid w:val="009F735D"/>
    <w:rsid w:val="00A02ECB"/>
    <w:rsid w:val="00A14E90"/>
    <w:rsid w:val="00A33E3D"/>
    <w:rsid w:val="00A47CB2"/>
    <w:rsid w:val="00A62D50"/>
    <w:rsid w:val="00A814E6"/>
    <w:rsid w:val="00A950ED"/>
    <w:rsid w:val="00A95D86"/>
    <w:rsid w:val="00B20088"/>
    <w:rsid w:val="00B20A6C"/>
    <w:rsid w:val="00B21FAD"/>
    <w:rsid w:val="00BB3AC5"/>
    <w:rsid w:val="00BB49FD"/>
    <w:rsid w:val="00BC176F"/>
    <w:rsid w:val="00BC5724"/>
    <w:rsid w:val="00C0221D"/>
    <w:rsid w:val="00C1595E"/>
    <w:rsid w:val="00C56311"/>
    <w:rsid w:val="00CC4BDC"/>
    <w:rsid w:val="00CE66A9"/>
    <w:rsid w:val="00CF32C5"/>
    <w:rsid w:val="00CF6DA1"/>
    <w:rsid w:val="00D33787"/>
    <w:rsid w:val="00D51E09"/>
    <w:rsid w:val="00D55FE5"/>
    <w:rsid w:val="00D57383"/>
    <w:rsid w:val="00D65016"/>
    <w:rsid w:val="00D7072B"/>
    <w:rsid w:val="00D72456"/>
    <w:rsid w:val="00D866F0"/>
    <w:rsid w:val="00E033FF"/>
    <w:rsid w:val="00E21D47"/>
    <w:rsid w:val="00E626D3"/>
    <w:rsid w:val="00E64673"/>
    <w:rsid w:val="00E96343"/>
    <w:rsid w:val="00EA3C24"/>
    <w:rsid w:val="00EB2A04"/>
    <w:rsid w:val="00EC4533"/>
    <w:rsid w:val="00EF599B"/>
    <w:rsid w:val="00F248E0"/>
    <w:rsid w:val="00F34A08"/>
    <w:rsid w:val="00F57567"/>
    <w:rsid w:val="00F61B2D"/>
    <w:rsid w:val="00F651D9"/>
    <w:rsid w:val="00F75EE3"/>
    <w:rsid w:val="00F77E71"/>
    <w:rsid w:val="0BF4727B"/>
    <w:rsid w:val="11AC2BF5"/>
    <w:rsid w:val="11CC0300"/>
    <w:rsid w:val="19A019ED"/>
    <w:rsid w:val="1C2570BA"/>
    <w:rsid w:val="30FE59D6"/>
    <w:rsid w:val="35F6028E"/>
    <w:rsid w:val="37F23577"/>
    <w:rsid w:val="43A163FD"/>
    <w:rsid w:val="48BC278D"/>
    <w:rsid w:val="514656E5"/>
    <w:rsid w:val="54A444D8"/>
    <w:rsid w:val="5BA85C55"/>
    <w:rsid w:val="5BD9112E"/>
    <w:rsid w:val="71D25752"/>
    <w:rsid w:val="79086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1"/>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7">
    <w:name w:val="Normal (Web)"/>
    <w:basedOn w:val="1"/>
    <w:qFormat/>
    <w:uiPriority w:val="0"/>
    <w:pPr>
      <w:spacing w:before="100" w:beforeAutospacing="1" w:after="100" w:afterAutospacing="1"/>
      <w:jc w:val="left"/>
    </w:pPr>
    <w:rPr>
      <w:kern w:val="0"/>
      <w:sz w:val="24"/>
    </w:rPr>
  </w:style>
  <w:style w:type="paragraph" w:customStyle="1" w:styleId="10">
    <w:name w:val="无间隔1"/>
    <w:basedOn w:val="1"/>
    <w:qFormat/>
    <w:uiPriority w:val="0"/>
    <w:rPr>
      <w:rFonts w:ascii="Times New Roman" w:hAnsi="Times New Roman" w:eastAsia="宋体"/>
      <w:kern w:val="2"/>
      <w:sz w:val="21"/>
      <w:szCs w:val="21"/>
    </w:rPr>
  </w:style>
  <w:style w:type="character" w:customStyle="1" w:styleId="11">
    <w:name w:val="标题 1 字符"/>
    <w:basedOn w:val="9"/>
    <w:link w:val="3"/>
    <w:qFormat/>
    <w:uiPriority w:val="0"/>
    <w:rPr>
      <w:rFonts w:ascii="Times New Roman" w:hAnsi="Times New Roman" w:eastAsia="宋体" w:cs="Times New Roman"/>
      <w:b/>
      <w:bCs/>
      <w:kern w:val="44"/>
      <w:sz w:val="2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773</Words>
  <Characters>4410</Characters>
  <Lines>36</Lines>
  <Paragraphs>10</Paragraphs>
  <TotalTime>12</TotalTime>
  <ScaleCrop>false</ScaleCrop>
  <LinksUpToDate>false</LinksUpToDate>
  <CharactersWithSpaces>5173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2020-08-10T11:36:00Z</dcterms:created>
  <dc:creator>ミESCAPE-婕┞▓</dc:creator>
  <cp:lastModifiedBy>Administrator</cp:lastModifiedBy>
  <dcterms:modified xsi:type="dcterms:W3CDTF">2024-04-22T03:24:49Z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636B4186D20B48228E15594CA3A8DEC2</vt:lpwstr>
  </property>
</Properties>
</file>