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adjustRightInd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附件1</w:t>
      </w:r>
    </w:p>
    <w:p>
      <w:pPr>
        <w:pStyle w:val="11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社区办公</w:t>
      </w:r>
    </w:p>
    <w:p>
      <w:pPr>
        <w:pStyle w:val="11"/>
        <w:adjustRightInd w:val="0"/>
        <w:spacing w:after="240" w:line="580" w:lineRule="exact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财政支出绩效自评报告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一、项目背景及基本情况</w:t>
      </w:r>
    </w:p>
    <w:p>
      <w:pPr>
        <w:spacing w:line="580" w:lineRule="exact"/>
        <w:ind w:firstLine="482" w:firstLineChars="200"/>
        <w:rPr>
          <w:rFonts w:cs="仿宋_GB2312" w:asciiTheme="minorEastAsia" w:hAnsiTheme="minorEastAsia" w:eastAsiaTheme="minorEastAsia"/>
          <w:b/>
          <w:spacing w:val="-4"/>
          <w:kern w:val="44"/>
          <w:szCs w:val="32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（一）项目实施情况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1、实施背景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ascii="仿宋" w:hAnsi="仿宋" w:eastAsia="仿宋" w:cs="仿宋"/>
          <w:kern w:val="2"/>
          <w:sz w:val="24"/>
        </w:rPr>
        <w:t>年禾山街道办事处开展社区办公项目，本项目根据《关于调整社区办公经费标准的通知》（厦湖禾街〔2014〕29号）文件，按照标准支出日常社区办公费，水电费，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通信费</w:t>
      </w:r>
      <w:r>
        <w:rPr>
          <w:rFonts w:ascii="仿宋" w:hAnsi="仿宋" w:eastAsia="仿宋" w:cs="仿宋"/>
          <w:kern w:val="2"/>
          <w:sz w:val="24"/>
        </w:rPr>
        <w:t>，维修费，会议培训费，交通费和劳务费并签订社区服务中心物业管理。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2、主要依据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（1）《关于调整社区办公经费标准的通知》（厦湖禾街〔</w:t>
      </w:r>
      <w:r>
        <w:rPr>
          <w:rFonts w:ascii="仿宋" w:hAnsi="仿宋" w:eastAsia="仿宋" w:cs="仿宋"/>
          <w:kern w:val="2"/>
          <w:sz w:val="24"/>
        </w:rPr>
        <w:t>2014〕29号）</w:t>
      </w:r>
      <w:r>
        <w:rPr>
          <w:rFonts w:hint="eastAsia" w:ascii="仿宋" w:hAnsi="仿宋" w:eastAsia="仿宋" w:cs="仿宋"/>
          <w:kern w:val="2"/>
          <w:sz w:val="24"/>
        </w:rPr>
        <w:t>；</w:t>
      </w:r>
    </w:p>
    <w:p>
      <w:pPr>
        <w:spacing w:line="440" w:lineRule="exact"/>
        <w:ind w:firstLine="480" w:firstLineChars="200"/>
        <w:rPr>
          <w:rFonts w:hint="eastAsia" w:ascii="仿宋" w:hAnsi="仿宋" w:eastAsia="仿宋" w:cs="仿宋"/>
          <w:kern w:val="2"/>
          <w:sz w:val="24"/>
          <w:lang w:eastAsia="zh-CN"/>
        </w:rPr>
      </w:pPr>
      <w:r>
        <w:rPr>
          <w:rFonts w:hint="eastAsia" w:ascii="仿宋" w:hAnsi="仿宋" w:eastAsia="仿宋" w:cs="仿宋"/>
          <w:kern w:val="2"/>
          <w:sz w:val="24"/>
        </w:rPr>
        <w:t>（2）</w:t>
      </w:r>
      <w:r>
        <w:rPr>
          <w:rFonts w:ascii="仿宋" w:hAnsi="仿宋" w:eastAsia="仿宋" w:cs="仿宋"/>
          <w:kern w:val="2"/>
          <w:sz w:val="24"/>
        </w:rPr>
        <w:t>《关于社区服务中心物业管理的通知》（厦湖禾街〔2018〕36号）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；</w:t>
      </w:r>
    </w:p>
    <w:p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 xml:space="preserve">    （3）《会议纪要》（厦湖禾联席纪要〔2022〕7号）。</w:t>
      </w:r>
      <w:bookmarkStart w:id="1" w:name="_GoBack"/>
      <w:bookmarkEnd w:id="1"/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3、实施年度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社区办公项目实施年度为</w:t>
      </w: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4、实施范围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本项目经费全部用于社区办公。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5、实施程序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支付一系列社区服务中心日常项目和签订社区服务中心物业管理。本项目在实施过程中严格按照《关于调整社区办公经费标准的通知》（厦湖禾街〔</w:t>
      </w:r>
      <w:r>
        <w:rPr>
          <w:rFonts w:ascii="仿宋" w:hAnsi="仿宋" w:eastAsia="仿宋" w:cs="仿宋"/>
          <w:kern w:val="2"/>
          <w:sz w:val="24"/>
        </w:rPr>
        <w:t>2014〕29号）、《关于社区服务中心物业管理的通知》（厦湖禾街〔2018〕36号）文件实施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、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《会议纪要》（厦湖禾联席纪要〔2022〕7号）</w:t>
      </w:r>
      <w:r>
        <w:rPr>
          <w:rFonts w:ascii="仿宋" w:hAnsi="仿宋" w:eastAsia="仿宋" w:cs="仿宋"/>
          <w:kern w:val="2"/>
          <w:sz w:val="24"/>
        </w:rPr>
        <w:t>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二、资金安排及使用情况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（一）支出预算情况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年本项目年初预算</w:t>
      </w:r>
      <w:r>
        <w:rPr>
          <w:rFonts w:ascii="仿宋" w:hAnsi="仿宋" w:eastAsia="仿宋" w:cs="仿宋"/>
          <w:kern w:val="2"/>
          <w:sz w:val="24"/>
        </w:rPr>
        <w:t>5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0</w:t>
      </w:r>
      <w:r>
        <w:rPr>
          <w:rFonts w:ascii="仿宋" w:hAnsi="仿宋" w:eastAsia="仿宋" w:cs="仿宋"/>
          <w:kern w:val="2"/>
          <w:sz w:val="24"/>
        </w:rPr>
        <w:t>0.00</w:t>
      </w:r>
      <w:r>
        <w:rPr>
          <w:rFonts w:hint="eastAsia" w:ascii="仿宋" w:hAnsi="仿宋" w:eastAsia="仿宋" w:cs="仿宋"/>
          <w:kern w:val="2"/>
          <w:sz w:val="24"/>
        </w:rPr>
        <w:t>万元，预算追</w:t>
      </w:r>
      <w:bookmarkStart w:id="0" w:name="_Hlk117503734"/>
      <w:r>
        <w:rPr>
          <w:rFonts w:hint="eastAsia" w:ascii="仿宋" w:hAnsi="仿宋" w:eastAsia="仿宋" w:cs="仿宋"/>
          <w:kern w:val="2"/>
          <w:sz w:val="24"/>
        </w:rPr>
        <w:t>减</w:t>
      </w:r>
      <w:bookmarkEnd w:id="0"/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16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万元，总预算</w:t>
      </w:r>
      <w:r>
        <w:rPr>
          <w:rFonts w:ascii="仿宋" w:hAnsi="仿宋" w:eastAsia="仿宋" w:cs="仿宋"/>
          <w:kern w:val="2"/>
          <w:sz w:val="24"/>
        </w:rPr>
        <w:t>48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4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万元，实际支出数</w:t>
      </w:r>
      <w:r>
        <w:rPr>
          <w:rFonts w:ascii="仿宋" w:hAnsi="仿宋" w:eastAsia="仿宋" w:cs="仿宋"/>
          <w:kern w:val="2"/>
          <w:sz w:val="24"/>
        </w:rPr>
        <w:t>4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83.79</w:t>
      </w:r>
      <w:r>
        <w:rPr>
          <w:rFonts w:hint="eastAsia" w:ascii="仿宋" w:hAnsi="仿宋" w:eastAsia="仿宋" w:cs="仿宋"/>
          <w:kern w:val="2"/>
          <w:sz w:val="24"/>
        </w:rPr>
        <w:t>万元。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（二）资金使用范围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本项目资金全部用于社区办公，共计</w:t>
      </w:r>
      <w:r>
        <w:rPr>
          <w:rFonts w:ascii="仿宋" w:hAnsi="仿宋" w:eastAsia="仿宋" w:cs="仿宋"/>
          <w:kern w:val="2"/>
          <w:sz w:val="24"/>
        </w:rPr>
        <w:t>4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83.79</w:t>
      </w:r>
      <w:r>
        <w:rPr>
          <w:rFonts w:hint="eastAsia" w:ascii="仿宋" w:hAnsi="仿宋" w:eastAsia="仿宋" w:cs="仿宋"/>
          <w:kern w:val="2"/>
          <w:sz w:val="24"/>
        </w:rPr>
        <w:t>万元。</w:t>
      </w:r>
    </w:p>
    <w:tbl>
      <w:tblPr>
        <w:tblStyle w:val="9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ind w:firstLine="482" w:firstLineChars="200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 xml:space="preserve">项 </w:t>
            </w:r>
            <w:r>
              <w:rPr>
                <w:rFonts w:ascii="仿宋" w:hAnsi="仿宋" w:eastAsia="仿宋" w:cs="仿宋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>目</w:t>
            </w:r>
          </w:p>
        </w:tc>
        <w:tc>
          <w:tcPr>
            <w:tcW w:w="2018" w:type="dxa"/>
          </w:tcPr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 xml:space="preserve">金 </w:t>
            </w:r>
            <w:r>
              <w:rPr>
                <w:rFonts w:ascii="仿宋" w:hAnsi="仿宋" w:eastAsia="仿宋" w:cs="仿宋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>额</w:t>
            </w:r>
          </w:p>
          <w:p>
            <w:pPr>
              <w:spacing w:line="44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>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社区物业管理费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146.29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</w:rPr>
              <w:t>社区办公</w:t>
            </w:r>
            <w:r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  <w:t>经费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246.00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rPr>
                <w:rFonts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  <w:t>禾美</w:t>
            </w:r>
            <w:r>
              <w:rPr>
                <w:rFonts w:hint="eastAsia" w:ascii="仿宋" w:hAnsi="仿宋" w:eastAsia="仿宋" w:cs="仿宋"/>
                <w:kern w:val="2"/>
                <w:sz w:val="24"/>
              </w:rPr>
              <w:t>社区办公经费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29.8</w:t>
            </w:r>
            <w:r>
              <w:rPr>
                <w:rFonts w:ascii="仿宋" w:hAnsi="仿宋" w:eastAsia="仿宋" w:cs="仿宋"/>
                <w:kern w:val="2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  <w:t>禾美社区选举工作经费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</w:rPr>
              <w:t>社区</w:t>
            </w:r>
            <w:r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  <w:t>工作者工作牌制作费用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  <w:t>综合窗口购买服务费用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hint="default" w:ascii="仿宋" w:hAnsi="仿宋" w:eastAsia="仿宋" w:cs="仿宋"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14.00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eastAsia="zh-CN"/>
              </w:rPr>
              <w:t>增补社区办公经费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0" w:firstLineChars="200"/>
              <w:jc w:val="right"/>
              <w:rPr>
                <w:rFonts w:ascii="仿宋" w:hAnsi="仿宋" w:eastAsia="仿宋" w:cs="仿宋"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lang w:val="en-US" w:eastAsia="zh-CN"/>
              </w:rPr>
              <w:t>39</w:t>
            </w:r>
            <w:r>
              <w:rPr>
                <w:rFonts w:ascii="仿宋" w:hAnsi="仿宋" w:eastAsia="仿宋" w:cs="仿宋"/>
                <w:kern w:val="2"/>
                <w:sz w:val="24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>
            <w:pPr>
              <w:spacing w:line="440" w:lineRule="exact"/>
              <w:ind w:firstLine="482" w:firstLineChars="200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 xml:space="preserve">合 </w:t>
            </w:r>
            <w:r>
              <w:rPr>
                <w:rFonts w:ascii="仿宋" w:hAnsi="仿宋" w:eastAsia="仿宋" w:cs="仿宋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</w:rPr>
              <w:t>计</w:t>
            </w:r>
          </w:p>
        </w:tc>
        <w:tc>
          <w:tcPr>
            <w:tcW w:w="2018" w:type="dxa"/>
          </w:tcPr>
          <w:p>
            <w:pPr>
              <w:spacing w:line="440" w:lineRule="exact"/>
              <w:ind w:firstLine="482" w:firstLineChars="200"/>
              <w:jc w:val="right"/>
              <w:rPr>
                <w:rFonts w:hint="default" w:ascii="仿宋" w:hAnsi="仿宋" w:eastAsia="仿宋" w:cs="仿宋"/>
                <w:b/>
                <w:bCs/>
                <w:kern w:val="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lang w:val="en-US" w:eastAsia="zh-CN"/>
              </w:rPr>
              <w:t>483.79</w:t>
            </w:r>
          </w:p>
        </w:tc>
      </w:tr>
    </w:tbl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（三）分配标准、程序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根据《关于调整社区办公经费标准的通知》（厦湖禾街〔</w:t>
      </w:r>
      <w:r>
        <w:rPr>
          <w:rFonts w:ascii="仿宋" w:hAnsi="仿宋" w:eastAsia="仿宋" w:cs="仿宋"/>
          <w:kern w:val="2"/>
          <w:sz w:val="24"/>
        </w:rPr>
        <w:t>2014〕29号）文件标准，支付社区办公日常经费。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（四）资金管控情况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根据《关于调整社区办公经费标准的通知》（厦湖禾街〔</w:t>
      </w:r>
      <w:r>
        <w:rPr>
          <w:rFonts w:ascii="仿宋" w:hAnsi="仿宋" w:eastAsia="仿宋" w:cs="仿宋"/>
          <w:kern w:val="2"/>
          <w:sz w:val="24"/>
        </w:rPr>
        <w:t>2014〕29号）文件，下拨社区办公经费，资金专项用于社区办公项目，专项资金实行专款专用，及时下拨经费，无使用不合理的情况。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（五）支出政策执行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本项目严格按照《关于调整社区办公经费标准的通知》（厦湖禾街〔</w:t>
      </w:r>
      <w:r>
        <w:rPr>
          <w:rFonts w:ascii="仿宋" w:hAnsi="仿宋" w:eastAsia="仿宋" w:cs="仿宋"/>
          <w:kern w:val="2"/>
          <w:sz w:val="24"/>
        </w:rPr>
        <w:t>2014〕29号）、《关于社区服务中心物业管理的通知》（厦湖禾街〔2018〕36号）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、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《会议纪要》（厦湖禾联席纪要〔2022〕7号）</w:t>
      </w:r>
      <w:r>
        <w:rPr>
          <w:rFonts w:ascii="仿宋" w:hAnsi="仿宋" w:eastAsia="仿宋" w:cs="仿宋"/>
          <w:kern w:val="2"/>
          <w:sz w:val="24"/>
        </w:rPr>
        <w:t>等文件执行。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（六）支出分担体制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本项目资金由区财政局承担。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三、绩效分析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1、任务完成情况及绩效目标完成情况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截至202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年12月，本项目共支出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483.79</w:t>
      </w:r>
      <w:r>
        <w:rPr>
          <w:rFonts w:hint="eastAsia" w:ascii="仿宋" w:hAnsi="仿宋" w:eastAsia="仿宋" w:cs="仿宋"/>
          <w:kern w:val="2"/>
          <w:sz w:val="24"/>
        </w:rPr>
        <w:t>万元，支出率</w:t>
      </w:r>
      <w:r>
        <w:rPr>
          <w:rFonts w:ascii="仿宋" w:hAnsi="仿宋" w:eastAsia="仿宋" w:cs="仿宋"/>
          <w:kern w:val="2"/>
          <w:sz w:val="24"/>
        </w:rPr>
        <w:t>99.9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6</w:t>
      </w:r>
      <w:r>
        <w:rPr>
          <w:rFonts w:ascii="仿宋" w:hAnsi="仿宋" w:eastAsia="仿宋" w:cs="仿宋"/>
          <w:kern w:val="2"/>
          <w:sz w:val="24"/>
        </w:rPr>
        <w:t>%</w:t>
      </w:r>
      <w:r>
        <w:rPr>
          <w:rFonts w:hint="eastAsia" w:ascii="仿宋" w:hAnsi="仿宋" w:eastAsia="仿宋" w:cs="仿宋"/>
          <w:kern w:val="2"/>
          <w:sz w:val="24"/>
        </w:rPr>
        <w:t>。经费下拨及时率100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2、项目实施带动的社会效益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开展社区办公项目，提高社区建设的标准和要求，明确各项办公经费开支标准。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3、项目实施带动的公众满意度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项目满意度≧95%。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（二）支出效益分析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1、支出进度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年本项目年初预算5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0</w:t>
      </w:r>
      <w:r>
        <w:rPr>
          <w:rFonts w:ascii="仿宋" w:hAnsi="仿宋" w:eastAsia="仿宋" w:cs="仿宋"/>
          <w:kern w:val="2"/>
          <w:sz w:val="24"/>
        </w:rPr>
        <w:t>0.00</w:t>
      </w:r>
      <w:r>
        <w:rPr>
          <w:rFonts w:hint="eastAsia" w:ascii="仿宋" w:hAnsi="仿宋" w:eastAsia="仿宋" w:cs="仿宋"/>
          <w:kern w:val="2"/>
          <w:sz w:val="24"/>
        </w:rPr>
        <w:t>万元，预算追减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16</w:t>
      </w:r>
      <w:r>
        <w:rPr>
          <w:rFonts w:hint="eastAsia" w:ascii="仿宋" w:hAnsi="仿宋" w:eastAsia="仿宋" w:cs="仿宋"/>
          <w:kern w:val="2"/>
          <w:sz w:val="24"/>
        </w:rPr>
        <w:t>万元，总预算</w:t>
      </w:r>
      <w:r>
        <w:rPr>
          <w:rFonts w:ascii="仿宋" w:hAnsi="仿宋" w:eastAsia="仿宋" w:cs="仿宋"/>
          <w:kern w:val="2"/>
          <w:sz w:val="24"/>
        </w:rPr>
        <w:t>48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4</w:t>
      </w:r>
      <w:r>
        <w:rPr>
          <w:rFonts w:ascii="仿宋" w:hAnsi="仿宋" w:eastAsia="仿宋" w:cs="仿宋"/>
          <w:kern w:val="2"/>
          <w:sz w:val="24"/>
        </w:rPr>
        <w:t>.00</w:t>
      </w:r>
      <w:r>
        <w:rPr>
          <w:rFonts w:hint="eastAsia" w:ascii="仿宋" w:hAnsi="仿宋" w:eastAsia="仿宋" w:cs="仿宋"/>
          <w:kern w:val="2"/>
          <w:sz w:val="24"/>
        </w:rPr>
        <w:t>万元，实际授权支付数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483.79</w:t>
      </w:r>
      <w:r>
        <w:rPr>
          <w:rFonts w:hint="eastAsia" w:ascii="仿宋" w:hAnsi="仿宋" w:eastAsia="仿宋" w:cs="仿宋"/>
          <w:kern w:val="2"/>
          <w:sz w:val="24"/>
        </w:rPr>
        <w:t>万元，支出进度达到99.</w:t>
      </w:r>
      <w:r>
        <w:rPr>
          <w:rFonts w:ascii="仿宋" w:hAnsi="仿宋" w:eastAsia="仿宋" w:cs="仿宋"/>
          <w:kern w:val="2"/>
          <w:sz w:val="24"/>
        </w:rPr>
        <w:t>9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kern w:val="2"/>
          <w:sz w:val="24"/>
        </w:rPr>
        <w:t>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2、支出效率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截至202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kern w:val="2"/>
          <w:sz w:val="24"/>
        </w:rPr>
        <w:t>年12月，本项目已支出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483.79</w:t>
      </w:r>
      <w:r>
        <w:rPr>
          <w:rFonts w:hint="eastAsia" w:ascii="仿宋" w:hAnsi="仿宋" w:eastAsia="仿宋" w:cs="仿宋"/>
          <w:kern w:val="2"/>
          <w:sz w:val="24"/>
        </w:rPr>
        <w:t>万元，经费下拨及时率100%。</w:t>
      </w:r>
    </w:p>
    <w:p>
      <w:pPr>
        <w:spacing w:line="44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3、成本控制分析及效益情况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区财政局通过国库集中支付系统分配下发本项目资金共计</w:t>
      </w:r>
      <w:r>
        <w:rPr>
          <w:rFonts w:hint="eastAsia" w:ascii="仿宋" w:hAnsi="仿宋" w:eastAsia="仿宋" w:cs="仿宋"/>
          <w:kern w:val="2"/>
          <w:sz w:val="24"/>
          <w:lang w:val="en-US" w:eastAsia="zh-CN"/>
        </w:rPr>
        <w:t>483.79</w:t>
      </w:r>
      <w:r>
        <w:rPr>
          <w:rFonts w:ascii="仿宋" w:hAnsi="仿宋" w:eastAsia="仿宋" w:cs="仿宋"/>
          <w:kern w:val="2"/>
          <w:sz w:val="24"/>
        </w:rPr>
        <w:t>万元，项目资金严格按照项目进度进行支付，按照年初项目工作计划，开展社区基层组织工作，提高社区建设的标准和要求，明确各项办公经费开支标准。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（三）评价分值和等级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根据上述分析，确定本项目绩效评价分值9</w:t>
      </w:r>
      <w:r>
        <w:rPr>
          <w:rFonts w:ascii="仿宋" w:hAnsi="仿宋" w:eastAsia="仿宋" w:cs="仿宋"/>
          <w:kern w:val="2"/>
          <w:sz w:val="24"/>
        </w:rPr>
        <w:t>8</w:t>
      </w:r>
      <w:r>
        <w:rPr>
          <w:rFonts w:hint="eastAsia" w:ascii="仿宋" w:hAnsi="仿宋" w:eastAsia="仿宋" w:cs="仿宋"/>
          <w:kern w:val="2"/>
          <w:sz w:val="24"/>
        </w:rPr>
        <w:t>分，等级为优。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四、存在问题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（一）项目实施存在的问题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本项目按照序时进行，严格按照项目管理办法的相关规定开展项目实施，不存在问题。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（二）财政支出存在的问题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本项目严格按照文件标准下拨社区办公经费，严格审核控制资金支出，确保资金专款专用，做到资金支出与项目实际进度同步，不存在问题。</w:t>
      </w:r>
    </w:p>
    <w:p>
      <w:pPr>
        <w:spacing w:line="580" w:lineRule="exact"/>
        <w:ind w:firstLine="482" w:firstLineChars="200"/>
        <w:rPr>
          <w:rFonts w:ascii="仿宋" w:hAnsi="仿宋" w:eastAsia="仿宋" w:cs="仿宋"/>
          <w:b/>
          <w:bCs/>
          <w:kern w:val="2"/>
          <w:sz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</w:rPr>
        <w:t>（三）支出政策制定方面存在的问题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本项目严格按照《关于调整社区办公经费标准的通知》（厦湖禾街〔</w:t>
      </w:r>
      <w:r>
        <w:rPr>
          <w:rFonts w:ascii="仿宋" w:hAnsi="仿宋" w:eastAsia="仿宋" w:cs="仿宋"/>
          <w:kern w:val="2"/>
          <w:sz w:val="24"/>
        </w:rPr>
        <w:t>2014〕29号）、《关于社区服务中心物业管理的通知》（厦湖禾街〔2018〕36号）文件执行，不存在相关问题。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五、相关建议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我街道严格按照文件标准实施项目，认真开展年初绩效目标设定，年中绩效目标监控工作，及时足额发放经费，合理、合规使用项目资金，落实资金到位，根据文件要求以及财务管理制度，项目经费专款专用，及时下拨工作经费，保项目顺利开展。</w:t>
      </w:r>
    </w:p>
    <w:p>
      <w:pPr>
        <w:pStyle w:val="3"/>
        <w:spacing w:before="0" w:after="0"/>
        <w:ind w:left="1219" w:hanging="658"/>
        <w:rPr>
          <w:sz w:val="28"/>
          <w:szCs w:val="28"/>
        </w:rPr>
      </w:pPr>
      <w:r>
        <w:rPr>
          <w:rFonts w:hint="eastAsia"/>
          <w:sz w:val="28"/>
          <w:szCs w:val="28"/>
        </w:rPr>
        <w:t>六、下一步工作计划</w:t>
      </w:r>
    </w:p>
    <w:p>
      <w:pPr>
        <w:spacing w:line="440" w:lineRule="exact"/>
        <w:ind w:firstLine="480" w:firstLineChars="200"/>
        <w:rPr>
          <w:rFonts w:ascii="仿宋" w:hAnsi="仿宋" w:eastAsia="仿宋" w:cs="仿宋"/>
          <w:kern w:val="2"/>
          <w:sz w:val="24"/>
        </w:rPr>
      </w:pPr>
      <w:r>
        <w:rPr>
          <w:rFonts w:hint="eastAsia" w:ascii="仿宋" w:hAnsi="仿宋" w:eastAsia="仿宋" w:cs="仿宋"/>
          <w:kern w:val="2"/>
          <w:sz w:val="24"/>
        </w:rPr>
        <w:t>继续开展社区办公项目，提高社区建设的标准和要求，对办公资金项目的申请过程中，严格审核材料，确保专款专用，</w:t>
      </w:r>
      <w:r>
        <w:rPr>
          <w:rFonts w:hint="eastAsia" w:ascii="仿宋" w:hAnsi="仿宋" w:eastAsia="仿宋" w:cs="仿宋"/>
          <w:kern w:val="2"/>
          <w:sz w:val="24"/>
          <w:lang w:eastAsia="zh-CN"/>
        </w:rPr>
        <w:t>落到实处</w:t>
      </w:r>
      <w:r>
        <w:rPr>
          <w:rFonts w:hint="eastAsia" w:ascii="仿宋" w:hAnsi="仿宋" w:eastAsia="仿宋" w:cs="仿宋"/>
          <w:kern w:val="2"/>
          <w:sz w:val="24"/>
        </w:rPr>
        <w:t>。</w:t>
      </w:r>
    </w:p>
    <w:p/>
    <w:p/>
    <w:sectPr>
      <w:footerReference r:id="rId3" w:type="default"/>
      <w:pgSz w:w="11906" w:h="16838"/>
      <w:pgMar w:top="1701" w:right="1474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E59D6"/>
    <w:rsid w:val="0000476C"/>
    <w:rsid w:val="000526D8"/>
    <w:rsid w:val="000D598A"/>
    <w:rsid w:val="00103244"/>
    <w:rsid w:val="00125762"/>
    <w:rsid w:val="00131FD4"/>
    <w:rsid w:val="0015307D"/>
    <w:rsid w:val="0018458E"/>
    <w:rsid w:val="001C47FC"/>
    <w:rsid w:val="00203B69"/>
    <w:rsid w:val="00211A27"/>
    <w:rsid w:val="00252FC9"/>
    <w:rsid w:val="002B0D69"/>
    <w:rsid w:val="002B4AA6"/>
    <w:rsid w:val="00301228"/>
    <w:rsid w:val="003020B6"/>
    <w:rsid w:val="0031189F"/>
    <w:rsid w:val="00316DFC"/>
    <w:rsid w:val="00335DFE"/>
    <w:rsid w:val="00387A08"/>
    <w:rsid w:val="0039110E"/>
    <w:rsid w:val="003A2391"/>
    <w:rsid w:val="003D5CDD"/>
    <w:rsid w:val="00404C71"/>
    <w:rsid w:val="00425454"/>
    <w:rsid w:val="00431693"/>
    <w:rsid w:val="0046419D"/>
    <w:rsid w:val="004A6C2C"/>
    <w:rsid w:val="004B461B"/>
    <w:rsid w:val="004B6784"/>
    <w:rsid w:val="004C58AA"/>
    <w:rsid w:val="004E2408"/>
    <w:rsid w:val="004E3D3F"/>
    <w:rsid w:val="004F2288"/>
    <w:rsid w:val="0054098C"/>
    <w:rsid w:val="005656DE"/>
    <w:rsid w:val="00565C2D"/>
    <w:rsid w:val="005E1EEA"/>
    <w:rsid w:val="005E7E45"/>
    <w:rsid w:val="0060591C"/>
    <w:rsid w:val="00671ECA"/>
    <w:rsid w:val="00676CDF"/>
    <w:rsid w:val="006B5097"/>
    <w:rsid w:val="006B5522"/>
    <w:rsid w:val="006B7165"/>
    <w:rsid w:val="006D19B3"/>
    <w:rsid w:val="00710983"/>
    <w:rsid w:val="007441BE"/>
    <w:rsid w:val="00764F40"/>
    <w:rsid w:val="007A0C4E"/>
    <w:rsid w:val="007B7AC7"/>
    <w:rsid w:val="007E0CC8"/>
    <w:rsid w:val="00807AD1"/>
    <w:rsid w:val="008234C6"/>
    <w:rsid w:val="00845F17"/>
    <w:rsid w:val="00870FE9"/>
    <w:rsid w:val="008719B3"/>
    <w:rsid w:val="00871DAD"/>
    <w:rsid w:val="008B5022"/>
    <w:rsid w:val="008C55B3"/>
    <w:rsid w:val="00901609"/>
    <w:rsid w:val="0094540C"/>
    <w:rsid w:val="00954015"/>
    <w:rsid w:val="009F735D"/>
    <w:rsid w:val="00A02ECB"/>
    <w:rsid w:val="00A14E90"/>
    <w:rsid w:val="00A33E3D"/>
    <w:rsid w:val="00A47CB2"/>
    <w:rsid w:val="00A62D50"/>
    <w:rsid w:val="00A95D86"/>
    <w:rsid w:val="00AB3366"/>
    <w:rsid w:val="00B20088"/>
    <w:rsid w:val="00B20A6C"/>
    <w:rsid w:val="00B21FAD"/>
    <w:rsid w:val="00BB3AC5"/>
    <w:rsid w:val="00BC176F"/>
    <w:rsid w:val="00BC5724"/>
    <w:rsid w:val="00C0221D"/>
    <w:rsid w:val="00C1595E"/>
    <w:rsid w:val="00C56311"/>
    <w:rsid w:val="00CC4BDC"/>
    <w:rsid w:val="00CE66A9"/>
    <w:rsid w:val="00CF1D5B"/>
    <w:rsid w:val="00CF32C5"/>
    <w:rsid w:val="00CF62FB"/>
    <w:rsid w:val="00D33787"/>
    <w:rsid w:val="00D51E09"/>
    <w:rsid w:val="00D55FE5"/>
    <w:rsid w:val="00D57383"/>
    <w:rsid w:val="00D65016"/>
    <w:rsid w:val="00D7072B"/>
    <w:rsid w:val="00D866F0"/>
    <w:rsid w:val="00DA1E22"/>
    <w:rsid w:val="00E033FF"/>
    <w:rsid w:val="00E21D47"/>
    <w:rsid w:val="00E626D3"/>
    <w:rsid w:val="00E64673"/>
    <w:rsid w:val="00EA3C24"/>
    <w:rsid w:val="00EB2A04"/>
    <w:rsid w:val="00EF599B"/>
    <w:rsid w:val="00F248E0"/>
    <w:rsid w:val="00F34A08"/>
    <w:rsid w:val="00F61B2D"/>
    <w:rsid w:val="00F651D9"/>
    <w:rsid w:val="00F75EE3"/>
    <w:rsid w:val="00F77E71"/>
    <w:rsid w:val="00FC3535"/>
    <w:rsid w:val="0BF4727B"/>
    <w:rsid w:val="11CC0300"/>
    <w:rsid w:val="1C2570BA"/>
    <w:rsid w:val="30FE59D6"/>
    <w:rsid w:val="35F6028E"/>
    <w:rsid w:val="37F23577"/>
    <w:rsid w:val="3A091652"/>
    <w:rsid w:val="48BC278D"/>
    <w:rsid w:val="50886187"/>
    <w:rsid w:val="514656E5"/>
    <w:rsid w:val="5BA85C55"/>
    <w:rsid w:val="5BD9112E"/>
    <w:rsid w:val="71D2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宋体" w:eastAsia="仿宋_GB2312" w:cs="Times New Roman"/>
      <w:kern w:val="96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rFonts w:ascii="Times New Roman" w:hAnsi="Times New Roman" w:eastAsia="宋体"/>
      <w:b/>
      <w:bCs/>
      <w:kern w:val="44"/>
      <w:sz w:val="2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kern w:val="28"/>
      <w:sz w:val="28"/>
      <w:szCs w:val="2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无间隔1"/>
    <w:basedOn w:val="1"/>
    <w:qFormat/>
    <w:uiPriority w:val="0"/>
    <w:rPr>
      <w:rFonts w:ascii="Times New Roman" w:hAnsi="Times New Roman" w:eastAsia="宋体"/>
      <w:kern w:val="2"/>
      <w:sz w:val="21"/>
      <w:szCs w:val="21"/>
    </w:rPr>
  </w:style>
  <w:style w:type="character" w:customStyle="1" w:styleId="12">
    <w:name w:val="标题 1 字符"/>
    <w:basedOn w:val="10"/>
    <w:link w:val="3"/>
    <w:qFormat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280</Words>
  <Characters>1601</Characters>
  <Lines>13</Lines>
  <Paragraphs>3</Paragraphs>
  <TotalTime>3</TotalTime>
  <ScaleCrop>false</ScaleCrop>
  <LinksUpToDate>false</LinksUpToDate>
  <CharactersWithSpaces>1878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2020-08-10T11:36:00Z</dcterms:created>
  <dc:creator>ミESCAPE-婕┞▓</dc:creator>
  <cp:lastModifiedBy>Administrator</cp:lastModifiedBy>
  <dcterms:modified xsi:type="dcterms:W3CDTF">2024-04-22T03:26:55Z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636B4186D20B48228E15594CA3A8DEC2</vt:lpwstr>
  </property>
</Properties>
</file>