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adjustRightInd w:val="0"/>
        <w:rPr>
          <w:rFonts w:eastAsia="黑体"/>
          <w:sz w:val="32"/>
          <w:szCs w:val="32"/>
        </w:rPr>
      </w:pPr>
      <w:r>
        <w:rPr>
          <w:rFonts w:hint="eastAsia" w:eastAsia="黑体"/>
          <w:sz w:val="32"/>
          <w:szCs w:val="32"/>
        </w:rPr>
        <w:t>附件1</w:t>
      </w:r>
    </w:p>
    <w:p>
      <w:pPr>
        <w:pStyle w:val="10"/>
        <w:adjustRightInd w:val="0"/>
        <w:spacing w:after="240" w:line="580" w:lineRule="exact"/>
        <w:jc w:val="center"/>
        <w:rPr>
          <w:rFonts w:ascii="华文中宋" w:hAnsi="华文中宋" w:eastAsia="华文中宋"/>
          <w:color w:val="000000"/>
          <w:sz w:val="44"/>
          <w:szCs w:val="44"/>
        </w:rPr>
      </w:pPr>
      <w:r>
        <w:rPr>
          <w:rFonts w:ascii="华文中宋" w:hAnsi="华文中宋" w:eastAsia="华文中宋"/>
          <w:color w:val="000000"/>
          <w:sz w:val="44"/>
          <w:szCs w:val="44"/>
        </w:rPr>
        <w:t>新型冠状病毒疫情防控工作经费</w:t>
      </w:r>
    </w:p>
    <w:p>
      <w:pPr>
        <w:pStyle w:val="10"/>
        <w:adjustRightInd w:val="0"/>
        <w:spacing w:after="240" w:line="580" w:lineRule="exact"/>
        <w:jc w:val="center"/>
        <w:rPr>
          <w:rFonts w:ascii="华文中宋" w:hAnsi="华文中宋" w:eastAsia="华文中宋"/>
          <w:color w:val="000000"/>
          <w:sz w:val="44"/>
          <w:szCs w:val="44"/>
        </w:rPr>
      </w:pPr>
      <w:r>
        <w:rPr>
          <w:rFonts w:hint="eastAsia" w:ascii="华文中宋" w:hAnsi="华文中宋" w:eastAsia="华文中宋"/>
          <w:color w:val="000000"/>
          <w:sz w:val="44"/>
          <w:szCs w:val="44"/>
        </w:rPr>
        <w:t>财政支出绩效自评报告</w:t>
      </w:r>
    </w:p>
    <w:p>
      <w:pPr>
        <w:pStyle w:val="3"/>
        <w:spacing w:before="0" w:after="0"/>
        <w:ind w:left="1219" w:hanging="658"/>
        <w:rPr>
          <w:sz w:val="28"/>
          <w:szCs w:val="28"/>
        </w:rPr>
      </w:pPr>
      <w:r>
        <w:rPr>
          <w:rFonts w:hint="eastAsia"/>
          <w:sz w:val="28"/>
          <w:szCs w:val="28"/>
        </w:rPr>
        <w:t>一、项目背景及基本情况</w:t>
      </w:r>
    </w:p>
    <w:p>
      <w:pPr>
        <w:spacing w:line="580" w:lineRule="exact"/>
        <w:ind w:firstLine="482" w:firstLineChars="200"/>
        <w:rPr>
          <w:rFonts w:cs="仿宋_GB2312" w:asciiTheme="minorEastAsia" w:hAnsiTheme="minorEastAsia" w:eastAsiaTheme="minorEastAsia"/>
          <w:b/>
          <w:spacing w:val="-4"/>
          <w:kern w:val="44"/>
          <w:szCs w:val="32"/>
        </w:rPr>
      </w:pPr>
      <w:r>
        <w:rPr>
          <w:rFonts w:hint="eastAsia" w:ascii="仿宋" w:hAnsi="仿宋" w:eastAsia="仿宋" w:cs="仿宋"/>
          <w:b/>
          <w:bCs/>
          <w:kern w:val="2"/>
          <w:sz w:val="24"/>
        </w:rPr>
        <w:t>（一）项目实施情况</w:t>
      </w:r>
    </w:p>
    <w:p>
      <w:pPr>
        <w:spacing w:line="44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1、实施背景</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自新型冠状病毒感染的肺炎疫情发生以来，疫情防控是当前最重要的工作，针对目前新型冠状病毒感染的肺炎疫情发展状况，提高对疫情防控工作重要性和紧迫性的认识，我街道深入贯彻落实上级要求，加强我街道疫情防控工作，最大程度保障辖区人民群众生命安全和身体健康，强化责任意识、担当意识、压实责任，认真落实各项防控管理措施，协调配合，持续开展疫情隐患排查工作。</w:t>
      </w:r>
    </w:p>
    <w:p>
      <w:pPr>
        <w:spacing w:line="44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2、主要依据</w:t>
      </w:r>
    </w:p>
    <w:p>
      <w:pPr>
        <w:spacing w:line="440" w:lineRule="exact"/>
        <w:ind w:firstLine="480" w:firstLineChars="200"/>
        <w:rPr>
          <w:rFonts w:ascii="仿宋" w:hAnsi="仿宋" w:eastAsia="仿宋" w:cs="仿宋"/>
          <w:kern w:val="2"/>
          <w:sz w:val="24"/>
        </w:rPr>
      </w:pPr>
      <w:bookmarkStart w:id="0" w:name="_Hlk117503360"/>
      <w:r>
        <w:rPr>
          <w:rFonts w:hint="eastAsia" w:ascii="仿宋" w:hAnsi="仿宋" w:eastAsia="仿宋" w:cs="仿宋"/>
          <w:kern w:val="2"/>
          <w:sz w:val="24"/>
        </w:rPr>
        <w:t>（1）《湖里区爱国卫生运动委员会办公室关于做好新型冠状病毒感染的肺炎疫情防控时期爱国卫生工作的通知》（厦湖爱卫办〔2020〕2号）、</w:t>
      </w:r>
    </w:p>
    <w:p>
      <w:pPr>
        <w:spacing w:line="440" w:lineRule="exact"/>
        <w:ind w:firstLine="480" w:firstLineChars="200"/>
        <w:rPr>
          <w:rFonts w:hint="eastAsia" w:ascii="仿宋" w:hAnsi="仿宋" w:eastAsia="仿宋" w:cs="仿宋"/>
          <w:kern w:val="2"/>
          <w:sz w:val="24"/>
        </w:rPr>
      </w:pPr>
      <w:r>
        <w:rPr>
          <w:rFonts w:hint="eastAsia" w:ascii="仿宋" w:hAnsi="仿宋" w:eastAsia="仿宋" w:cs="仿宋"/>
          <w:kern w:val="2"/>
          <w:sz w:val="24"/>
        </w:rPr>
        <w:t>（2）</w:t>
      </w:r>
      <w:bookmarkEnd w:id="0"/>
      <w:r>
        <w:rPr>
          <w:rFonts w:hint="eastAsia" w:ascii="仿宋" w:hAnsi="仿宋" w:eastAsia="仿宋" w:cs="仿宋"/>
          <w:kern w:val="2"/>
          <w:sz w:val="24"/>
        </w:rPr>
        <w:t>《厦门市爱国卫生运动委员会办公室关于在新型冠状病毒感染的肺炎疫情防控时期深入开展爱国卫生工作的通知》（厦爱卫办〔2020〕2号）</w:t>
      </w:r>
    </w:p>
    <w:p>
      <w:pPr>
        <w:pStyle w:val="2"/>
        <w:rPr>
          <w:rFonts w:hint="default" w:eastAsia="仿宋"/>
          <w:lang w:val="en-US" w:eastAsia="zh-CN"/>
        </w:rPr>
      </w:pPr>
      <w:r>
        <w:rPr>
          <w:rFonts w:hint="eastAsia" w:ascii="仿宋" w:hAnsi="仿宋" w:eastAsia="仿宋" w:cs="仿宋"/>
          <w:kern w:val="2"/>
          <w:sz w:val="24"/>
          <w:lang w:val="en-US" w:eastAsia="zh-CN"/>
        </w:rPr>
        <w:t xml:space="preserve">    </w:t>
      </w:r>
      <w:r>
        <w:rPr>
          <w:rFonts w:hint="eastAsia" w:ascii="仿宋" w:hAnsi="仿宋" w:eastAsia="仿宋" w:cs="仿宋"/>
          <w:kern w:val="2"/>
          <w:sz w:val="24"/>
        </w:rPr>
        <w:t>（</w:t>
      </w:r>
      <w:r>
        <w:rPr>
          <w:rFonts w:hint="eastAsia" w:ascii="仿宋" w:hAnsi="仿宋" w:eastAsia="仿宋" w:cs="仿宋"/>
          <w:kern w:val="2"/>
          <w:sz w:val="24"/>
          <w:lang w:val="en-US" w:eastAsia="zh-CN"/>
        </w:rPr>
        <w:t>3</w:t>
      </w:r>
      <w:r>
        <w:rPr>
          <w:rFonts w:hint="eastAsia" w:ascii="仿宋" w:hAnsi="仿宋" w:eastAsia="仿宋" w:cs="仿宋"/>
          <w:kern w:val="2"/>
          <w:sz w:val="24"/>
        </w:rPr>
        <w:t>）</w:t>
      </w:r>
      <w:r>
        <w:rPr>
          <w:rFonts w:hint="eastAsia" w:ascii="仿宋" w:hAnsi="仿宋" w:eastAsia="仿宋" w:cs="仿宋"/>
          <w:kern w:val="2"/>
          <w:sz w:val="24"/>
          <w:lang w:eastAsia="zh-CN"/>
        </w:rPr>
        <w:t>《厦门市居家隔离医学观察和居家健康监测工作规程》（厦应对疫情指挥部办</w:t>
      </w:r>
      <w:r>
        <w:rPr>
          <w:rFonts w:hint="eastAsia" w:ascii="仿宋" w:hAnsi="仿宋" w:eastAsia="仿宋" w:cs="仿宋"/>
          <w:kern w:val="2"/>
          <w:sz w:val="24"/>
        </w:rPr>
        <w:t>〔202</w:t>
      </w:r>
      <w:r>
        <w:rPr>
          <w:rFonts w:hint="eastAsia" w:ascii="仿宋" w:hAnsi="仿宋" w:eastAsia="仿宋" w:cs="仿宋"/>
          <w:kern w:val="2"/>
          <w:sz w:val="24"/>
          <w:lang w:val="en-US" w:eastAsia="zh-CN"/>
        </w:rPr>
        <w:t>2</w:t>
      </w:r>
      <w:r>
        <w:rPr>
          <w:rFonts w:hint="eastAsia" w:ascii="仿宋" w:hAnsi="仿宋" w:eastAsia="仿宋" w:cs="仿宋"/>
          <w:kern w:val="2"/>
          <w:sz w:val="24"/>
        </w:rPr>
        <w:t>〕</w:t>
      </w:r>
      <w:r>
        <w:rPr>
          <w:rFonts w:hint="eastAsia" w:ascii="仿宋" w:hAnsi="仿宋" w:eastAsia="仿宋" w:cs="仿宋"/>
          <w:kern w:val="2"/>
          <w:sz w:val="24"/>
          <w:lang w:val="en-US" w:eastAsia="zh-CN"/>
        </w:rPr>
        <w:t>75</w:t>
      </w:r>
      <w:r>
        <w:rPr>
          <w:rFonts w:hint="eastAsia" w:ascii="仿宋" w:hAnsi="仿宋" w:eastAsia="仿宋" w:cs="仿宋"/>
          <w:kern w:val="2"/>
          <w:sz w:val="24"/>
        </w:rPr>
        <w:t>号</w:t>
      </w:r>
      <w:r>
        <w:rPr>
          <w:rFonts w:hint="eastAsia" w:ascii="仿宋" w:hAnsi="仿宋" w:eastAsia="仿宋" w:cs="仿宋"/>
          <w:kern w:val="2"/>
          <w:sz w:val="24"/>
          <w:lang w:eastAsia="zh-CN"/>
        </w:rPr>
        <w:t>）</w:t>
      </w:r>
    </w:p>
    <w:p>
      <w:pPr>
        <w:spacing w:line="44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3、实施年度</w:t>
      </w:r>
    </w:p>
    <w:p>
      <w:pPr>
        <w:spacing w:line="440" w:lineRule="exact"/>
        <w:ind w:firstLine="480" w:firstLineChars="200"/>
        <w:rPr>
          <w:rFonts w:ascii="仿宋" w:hAnsi="仿宋" w:eastAsia="仿宋" w:cs="仿宋"/>
          <w:sz w:val="24"/>
        </w:rPr>
      </w:pPr>
      <w:r>
        <w:rPr>
          <w:rFonts w:ascii="仿宋" w:hAnsi="仿宋" w:eastAsia="仿宋" w:cs="仿宋"/>
          <w:sz w:val="24"/>
        </w:rPr>
        <w:t>新型冠状病毒疫情防控工作经费</w:t>
      </w:r>
      <w:r>
        <w:rPr>
          <w:rFonts w:hint="eastAsia" w:ascii="仿宋" w:hAnsi="仿宋" w:eastAsia="仿宋" w:cs="仿宋"/>
          <w:kern w:val="2"/>
          <w:sz w:val="24"/>
        </w:rPr>
        <w:t>项目实施年度为</w:t>
      </w:r>
      <w:r>
        <w:rPr>
          <w:rFonts w:ascii="仿宋" w:hAnsi="仿宋" w:eastAsia="仿宋" w:cs="仿宋"/>
          <w:kern w:val="2"/>
          <w:sz w:val="24"/>
        </w:rPr>
        <w:t>202</w:t>
      </w:r>
      <w:r>
        <w:rPr>
          <w:rFonts w:hint="eastAsia" w:ascii="仿宋" w:hAnsi="仿宋" w:eastAsia="仿宋" w:cs="仿宋"/>
          <w:kern w:val="2"/>
          <w:sz w:val="24"/>
          <w:lang w:val="en-US" w:eastAsia="zh-CN"/>
        </w:rPr>
        <w:t>2</w:t>
      </w:r>
      <w:r>
        <w:rPr>
          <w:rFonts w:hint="eastAsia" w:ascii="仿宋" w:hAnsi="仿宋" w:eastAsia="仿宋" w:cs="仿宋"/>
          <w:kern w:val="2"/>
          <w:sz w:val="24"/>
        </w:rPr>
        <w:t>年。</w:t>
      </w:r>
    </w:p>
    <w:p>
      <w:pPr>
        <w:spacing w:line="44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4、实施范围</w:t>
      </w:r>
    </w:p>
    <w:p>
      <w:pPr>
        <w:spacing w:line="440" w:lineRule="exact"/>
        <w:ind w:firstLine="480" w:firstLineChars="200"/>
        <w:rPr>
          <w:rFonts w:ascii="仿宋" w:hAnsi="仿宋" w:eastAsia="仿宋" w:cs="仿宋"/>
          <w:sz w:val="24"/>
        </w:rPr>
      </w:pPr>
      <w:r>
        <w:rPr>
          <w:rFonts w:hint="eastAsia" w:ascii="仿宋" w:hAnsi="仿宋" w:eastAsia="仿宋" w:cs="仿宋"/>
          <w:kern w:val="2"/>
          <w:sz w:val="24"/>
        </w:rPr>
        <w:t>本项目经费全部用于</w:t>
      </w:r>
      <w:r>
        <w:rPr>
          <w:rFonts w:ascii="仿宋" w:hAnsi="仿宋" w:eastAsia="仿宋" w:cs="仿宋"/>
          <w:sz w:val="24"/>
        </w:rPr>
        <w:t>新型冠状病毒疫情防控工作</w:t>
      </w:r>
      <w:r>
        <w:rPr>
          <w:rFonts w:hint="eastAsia" w:ascii="仿宋" w:hAnsi="仿宋" w:eastAsia="仿宋" w:cs="仿宋"/>
          <w:sz w:val="24"/>
        </w:rPr>
        <w:t>，主要实施范围：下拨新冠病毒疫情防控工作经费、采购各项防疫物资（一次性口罩，额温枪，防护服等）、下拨社区疫情防控经费（岭下社区、围里社区、钟宅畲族社区、坂尚社区、枋湖社区、禾欣社区、禾缘社区、禾山社区、禾盛社区、五缘湾北社区）、用于街道疫情防控工作食堂加班经费、街道疫情防控印制宣传费、街道疫情防控隔离人员核酸检测费</w:t>
      </w:r>
      <w:r>
        <w:rPr>
          <w:rFonts w:hint="eastAsia" w:ascii="仿宋" w:hAnsi="仿宋" w:eastAsia="仿宋" w:cs="仿宋"/>
          <w:sz w:val="24"/>
          <w:lang w:eastAsia="zh-CN"/>
        </w:rPr>
        <w:t>及转运费、购买核酸采样亭及便民采样点的费用、新冠疫苗接种保障费</w:t>
      </w:r>
      <w:r>
        <w:rPr>
          <w:rFonts w:hint="eastAsia" w:ascii="仿宋" w:hAnsi="仿宋" w:eastAsia="仿宋" w:cs="仿宋"/>
          <w:sz w:val="24"/>
        </w:rPr>
        <w:t>。</w:t>
      </w:r>
    </w:p>
    <w:p>
      <w:pPr>
        <w:spacing w:line="44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5、实施程序</w:t>
      </w:r>
    </w:p>
    <w:p>
      <w:pPr>
        <w:spacing w:line="440" w:lineRule="exact"/>
        <w:ind w:firstLine="480" w:firstLineChars="200"/>
        <w:rPr>
          <w:rFonts w:hint="eastAsia" w:ascii="仿宋" w:hAnsi="仿宋" w:eastAsia="仿宋" w:cs="仿宋"/>
          <w:kern w:val="2"/>
          <w:sz w:val="24"/>
          <w:lang w:eastAsia="zh-CN"/>
        </w:rPr>
      </w:pPr>
      <w:r>
        <w:rPr>
          <w:rFonts w:hint="eastAsia" w:ascii="仿宋" w:hAnsi="仿宋" w:eastAsia="仿宋" w:cs="仿宋"/>
          <w:kern w:val="2"/>
          <w:sz w:val="24"/>
        </w:rPr>
        <w:t xml:space="preserve"> </w:t>
      </w:r>
      <w:r>
        <w:rPr>
          <w:rFonts w:ascii="仿宋" w:hAnsi="仿宋" w:eastAsia="仿宋" w:cs="仿宋"/>
          <w:kern w:val="2"/>
          <w:sz w:val="24"/>
        </w:rPr>
        <w:t xml:space="preserve">  </w:t>
      </w:r>
      <w:r>
        <w:rPr>
          <w:rFonts w:hint="eastAsia" w:ascii="仿宋" w:hAnsi="仿宋" w:eastAsia="仿宋" w:cs="仿宋"/>
          <w:kern w:val="2"/>
          <w:sz w:val="24"/>
          <w:lang w:eastAsia="zh-CN"/>
        </w:rPr>
        <w:t>一、</w:t>
      </w:r>
      <w:r>
        <w:rPr>
          <w:rFonts w:hint="eastAsia" w:ascii="仿宋" w:hAnsi="仿宋" w:eastAsia="仿宋" w:cs="仿宋"/>
          <w:kern w:val="2"/>
          <w:sz w:val="24"/>
        </w:rPr>
        <w:t>突出政治引领，立行立办启动应急响应</w:t>
      </w:r>
      <w:r>
        <w:rPr>
          <w:rFonts w:hint="eastAsia" w:ascii="仿宋" w:hAnsi="仿宋" w:eastAsia="仿宋" w:cs="仿宋"/>
          <w:kern w:val="2"/>
          <w:sz w:val="24"/>
          <w:lang w:eastAsia="zh-CN"/>
        </w:rPr>
        <w:t>。</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lang w:eastAsia="zh-CN"/>
        </w:rPr>
        <w:t>街道</w:t>
      </w:r>
      <w:r>
        <w:rPr>
          <w:rFonts w:hint="eastAsia" w:ascii="仿宋" w:hAnsi="仿宋" w:eastAsia="仿宋" w:cs="仿宋"/>
          <w:kern w:val="2"/>
          <w:sz w:val="24"/>
        </w:rPr>
        <w:t>践行“疫情就是命令，防控就是责任”，快部署、快运行、快响应，迅速拉起防控疫情战争统一战线。</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lang w:val="en-US" w:eastAsia="zh-CN"/>
        </w:rPr>
        <w:t>1.</w:t>
      </w:r>
      <w:r>
        <w:rPr>
          <w:rFonts w:hint="eastAsia" w:ascii="仿宋" w:hAnsi="仿宋" w:eastAsia="仿宋" w:cs="仿宋"/>
          <w:kern w:val="2"/>
          <w:sz w:val="24"/>
        </w:rPr>
        <w:t>传达部署快。街道防控工作指挥部由党政一把手双挂帅，班子成员全部进入领导小组，指挥部下设“一办八组”，并将禾山派出所、禾山执法中队、禾山司法所、禾山市场监督管理所等相关单位纳进来，建立联防联控运行机制，开启高效应急运作。在疫情防控进入常态化后，及时调整指挥部工作部署及职责，将各办、各部门的人员及职责更加细化，具体分工。</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lang w:val="en-US" w:eastAsia="zh-CN"/>
        </w:rPr>
        <w:t>2.</w:t>
      </w:r>
      <w:r>
        <w:rPr>
          <w:rFonts w:hint="eastAsia" w:ascii="仿宋" w:hAnsi="仿宋" w:eastAsia="仿宋" w:cs="仿宋"/>
          <w:kern w:val="2"/>
          <w:sz w:val="24"/>
        </w:rPr>
        <w:t>启动运行快。发挥党建引领，迅速构建街道-社区-小区（小组）三级防控联动体系，在全区率先推动小区和城中村网格化管控。街道指挥部办公室迅速完善疫情防控工作方案、材料统筹收集报送制度、群防联控机制、应急物资采购管理办法等制度建设，确保工作高效有序。</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lang w:val="en-US" w:eastAsia="zh-CN"/>
        </w:rPr>
        <w:t>3.</w:t>
      </w:r>
      <w:r>
        <w:rPr>
          <w:rFonts w:hint="eastAsia" w:ascii="仿宋" w:hAnsi="仿宋" w:eastAsia="仿宋" w:cs="仿宋"/>
          <w:kern w:val="2"/>
          <w:sz w:val="24"/>
        </w:rPr>
        <w:t>联动响应快。壮大小区（城中村）防控工作组力量，全街56个小区共建设有53个小区党支部，发挥党员带头作用，鼓励居民和志愿者积极参与，组成专兼职结合的队伍， 对小区半封闭管理、消毒消杀等情况进行督导；完善视频会议系统建设，每周一下午组织防控工作例会，有效克服人员聚集隐患，实现高频高效工作调度。发挥社区疫情防控主阵地作用，实施精准排查，落实“四早”要求。</w:t>
      </w:r>
    </w:p>
    <w:p>
      <w:pPr>
        <w:spacing w:line="440" w:lineRule="exact"/>
        <w:ind w:firstLine="480" w:firstLineChars="200"/>
        <w:rPr>
          <w:rFonts w:hint="eastAsia" w:ascii="仿宋" w:hAnsi="仿宋" w:eastAsia="仿宋" w:cs="仿宋"/>
          <w:kern w:val="2"/>
          <w:sz w:val="24"/>
          <w:lang w:eastAsia="zh-CN"/>
        </w:rPr>
      </w:pPr>
      <w:r>
        <w:rPr>
          <w:rFonts w:hint="eastAsia" w:ascii="仿宋" w:hAnsi="仿宋" w:eastAsia="仿宋" w:cs="仿宋"/>
          <w:kern w:val="2"/>
          <w:sz w:val="24"/>
          <w:lang w:eastAsia="zh-CN"/>
        </w:rPr>
        <w:t>二、</w:t>
      </w:r>
      <w:r>
        <w:rPr>
          <w:rFonts w:hint="eastAsia" w:ascii="仿宋" w:hAnsi="仿宋" w:eastAsia="仿宋" w:cs="仿宋"/>
          <w:kern w:val="2"/>
          <w:sz w:val="24"/>
        </w:rPr>
        <w:t>突出有效管控，从严从实构建立体防线</w:t>
      </w:r>
      <w:r>
        <w:rPr>
          <w:rFonts w:hint="eastAsia" w:ascii="仿宋" w:hAnsi="仿宋" w:eastAsia="仿宋" w:cs="仿宋"/>
          <w:kern w:val="2"/>
          <w:sz w:val="24"/>
          <w:lang w:eastAsia="zh-CN"/>
        </w:rPr>
        <w:t>。</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充分运用“党建引领小区治理”的宝贵经验、工作队伍和运行机制，组织党员、发动群众，推动摸排管控宣传落到实处。</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lang w:val="en-US" w:eastAsia="zh-CN"/>
        </w:rPr>
        <w:t>1.</w:t>
      </w:r>
      <w:r>
        <w:rPr>
          <w:rFonts w:hint="eastAsia" w:ascii="仿宋" w:hAnsi="仿宋" w:eastAsia="仿宋" w:cs="仿宋"/>
          <w:kern w:val="2"/>
          <w:sz w:val="24"/>
        </w:rPr>
        <w:t>落细落实推进摸排消毒。</w:t>
      </w:r>
      <w:r>
        <w:rPr>
          <w:rFonts w:hint="eastAsia" w:ascii="仿宋" w:hAnsi="仿宋" w:eastAsia="仿宋" w:cs="仿宋"/>
          <w:kern w:val="2"/>
          <w:sz w:val="24"/>
          <w:lang w:eastAsia="zh-CN"/>
        </w:rPr>
        <w:t>持续</w:t>
      </w:r>
      <w:r>
        <w:rPr>
          <w:rFonts w:hint="eastAsia" w:ascii="仿宋" w:hAnsi="仿宋" w:eastAsia="仿宋" w:cs="仿宋"/>
          <w:kern w:val="2"/>
          <w:sz w:val="24"/>
        </w:rPr>
        <w:t>深入开展爱国卫生运动</w:t>
      </w:r>
      <w:r>
        <w:rPr>
          <w:rFonts w:hint="eastAsia" w:ascii="仿宋" w:hAnsi="仿宋" w:eastAsia="仿宋" w:cs="仿宋"/>
          <w:kern w:val="2"/>
          <w:sz w:val="24"/>
          <w:lang w:eastAsia="zh-CN"/>
        </w:rPr>
        <w:t>，</w:t>
      </w:r>
      <w:r>
        <w:rPr>
          <w:rFonts w:hint="eastAsia" w:ascii="仿宋" w:hAnsi="仿宋" w:eastAsia="仿宋" w:cs="仿宋"/>
          <w:kern w:val="2"/>
          <w:sz w:val="24"/>
        </w:rPr>
        <w:t>针对农贸市场、背街小巷、城中村、老旧居民区等薄弱环节和重点场所，组织各成员单位开展科学、规范、有效的环境卫生整治和消杀行动。广泛开展爱国卫生和健康知识宣传，引导机关企事业干部职工、居民群众参与爱国卫生活动，践行健康文明生活方式。</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lang w:val="en-US" w:eastAsia="zh-CN"/>
        </w:rPr>
        <w:t>2.</w:t>
      </w:r>
      <w:r>
        <w:rPr>
          <w:rFonts w:hint="eastAsia" w:ascii="仿宋" w:hAnsi="仿宋" w:eastAsia="仿宋" w:cs="仿宋"/>
          <w:kern w:val="2"/>
          <w:sz w:val="24"/>
        </w:rPr>
        <w:t>从严从紧落实网格管控。全面加强全街105个小区（小组）181个人行出入口管控，对工作人员和各物业实时变化政策加强学习培训，在舫阳酒店分流中心及枋湖客运站安排专班人员协助入厦人员管理。线上推广调查摸排工作法，线下发动居民主动登记，及时完善重点疫区来（返）厦人员的建账管理。加强“人物同防”疫情防控，街道、社区及时通报、核实、报告国内中高风险地区对象并鼓励其核酸检测，各社区“网格化+大数据”排查防控，坚持“外防输入、内防反弹”防控策略，筑牢社区防线，毫不放松抓紧抓实抓细各项防控工作，认真排查聚集性疫情风险隐患，做好公共场所常态化防控，村居社区管控。</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lang w:eastAsia="zh-CN"/>
        </w:rPr>
        <w:t>三、</w:t>
      </w:r>
      <w:r>
        <w:rPr>
          <w:rFonts w:hint="eastAsia" w:ascii="仿宋" w:hAnsi="仿宋" w:eastAsia="仿宋" w:cs="仿宋"/>
          <w:kern w:val="2"/>
          <w:sz w:val="24"/>
        </w:rPr>
        <w:t>严格落实居家医学措施。</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lang w:val="en-US" w:eastAsia="zh-CN"/>
        </w:rPr>
        <w:t>1.</w:t>
      </w:r>
      <w:r>
        <w:rPr>
          <w:rFonts w:hint="eastAsia" w:ascii="仿宋" w:hAnsi="仿宋" w:eastAsia="仿宋" w:cs="仿宋"/>
          <w:kern w:val="2"/>
          <w:sz w:val="24"/>
        </w:rPr>
        <w:t>街道、各社区严格指导小区（村庄）做到“一网格”防控要求：组织人员到户、到人，做好假期返乡人员（特别是从事进口冷链食品相关工作返乡人员）、外来人员、来自中高风险地区人员、入境人员等重点人群的信息登记、摸排和日常健康监测工作，督促落实好个人防护措施，强调出现发热等症状后的自我隔离和报告。加强巡回督查，发现异常情况及时了解、核实和报告。</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lang w:val="en-US" w:eastAsia="zh-CN"/>
        </w:rPr>
        <w:t>2.</w:t>
      </w:r>
      <w:r>
        <w:rPr>
          <w:rFonts w:hint="eastAsia" w:ascii="仿宋" w:hAnsi="仿宋" w:eastAsia="仿宋" w:cs="仿宋"/>
          <w:kern w:val="2"/>
          <w:sz w:val="24"/>
        </w:rPr>
        <w:t>严格把握对于实施居家医学观察的人员的监控监视工作， 社区（村）严格落实居家医学观察措施，指定专管员跟踪管理，发现状况第一时间如实报告并采取相应的防控措施及“爱心厦门”人文关怀</w:t>
      </w:r>
      <w:r>
        <w:rPr>
          <w:rFonts w:hint="eastAsia" w:ascii="仿宋" w:hAnsi="仿宋" w:eastAsia="仿宋" w:cs="仿宋"/>
          <w:kern w:val="2"/>
          <w:sz w:val="24"/>
          <w:lang w:eastAsia="zh-CN"/>
        </w:rPr>
        <w:t>，安排专车转运进行核酸采样，对特殊人群安排上门核酸</w:t>
      </w:r>
      <w:r>
        <w:rPr>
          <w:rFonts w:hint="eastAsia" w:ascii="仿宋" w:hAnsi="仿宋" w:eastAsia="仿宋" w:cs="仿宋"/>
          <w:kern w:val="2"/>
          <w:sz w:val="24"/>
        </w:rPr>
        <w:t>。</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四</w:t>
      </w:r>
      <w:r>
        <w:rPr>
          <w:rFonts w:hint="eastAsia" w:ascii="仿宋" w:hAnsi="仿宋" w:eastAsia="仿宋" w:cs="仿宋"/>
          <w:kern w:val="2"/>
          <w:sz w:val="24"/>
          <w:lang w:eastAsia="zh-CN"/>
        </w:rPr>
        <w:t>、</w:t>
      </w:r>
      <w:r>
        <w:rPr>
          <w:rFonts w:hint="eastAsia" w:ascii="仿宋" w:hAnsi="仿宋" w:eastAsia="仿宋" w:cs="仿宋"/>
          <w:kern w:val="2"/>
          <w:sz w:val="24"/>
        </w:rPr>
        <w:t>加强正面宣传和舆情监控。</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lang w:val="en-US" w:eastAsia="zh-CN"/>
        </w:rPr>
        <w:t>1.</w:t>
      </w:r>
      <w:r>
        <w:rPr>
          <w:rFonts w:hint="eastAsia" w:ascii="仿宋" w:hAnsi="仿宋" w:eastAsia="仿宋" w:cs="仿宋"/>
          <w:kern w:val="2"/>
          <w:sz w:val="24"/>
        </w:rPr>
        <w:t>积极开展正面宣传，先后刊发电视新闻报道，依托街道融媒体矩阵，及时发布防控信息；线下把宣传做进小区、进楼道，制作宣传标语，引导居民不造谣、不信谣、不传谣，及时处置网络舆情。</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lang w:val="en-US" w:eastAsia="zh-CN"/>
        </w:rPr>
        <w:t>2.</w:t>
      </w:r>
      <w:r>
        <w:rPr>
          <w:rFonts w:hint="eastAsia" w:ascii="仿宋" w:hAnsi="仿宋" w:eastAsia="仿宋" w:cs="仿宋"/>
          <w:kern w:val="2"/>
          <w:sz w:val="24"/>
        </w:rPr>
        <w:t>落实湖里区应对秋冬季新冠肺炎疫情防控工作方案，指导好辖区学校、窗口单位、社区小区等人员密集场所疫情防控工作，重点解决公共场所、公共场所入口及人员聚集处设置“保持一米线距离”提示牌或“一米线”提示标识（在地面设置）等。街道、社区办事大厅严格执行戴口罩、查健康码、测体温要求。</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lang w:val="en-US" w:eastAsia="zh-CN"/>
        </w:rPr>
        <w:t>五、</w:t>
      </w:r>
      <w:r>
        <w:rPr>
          <w:rFonts w:hint="eastAsia" w:ascii="仿宋" w:hAnsi="仿宋" w:eastAsia="仿宋" w:cs="仿宋"/>
          <w:kern w:val="2"/>
          <w:sz w:val="24"/>
        </w:rPr>
        <w:t>突出以人为本，互助互爱营造爱心家园</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坚持以人为本，结合“爱心厦门”建设，做好做细做实各项关爱举措，凝聚人心，提振士气，携手共建爱心家园。</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lang w:val="en-US" w:eastAsia="zh-CN"/>
        </w:rPr>
        <w:t>1.</w:t>
      </w:r>
      <w:r>
        <w:rPr>
          <w:rFonts w:hint="eastAsia" w:ascii="仿宋" w:hAnsi="仿宋" w:eastAsia="仿宋" w:cs="仿宋"/>
          <w:kern w:val="2"/>
          <w:sz w:val="24"/>
        </w:rPr>
        <w:t>落实工作保障。制定疫情防控期间食堂配餐、公务用车、工作场所消毒等制度，购买疫情防控相关物资，为打赢疫情防控阻击战打下坚实的物资保障基础。</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lang w:val="en-US" w:eastAsia="zh-CN"/>
        </w:rPr>
        <w:t>2.</w:t>
      </w:r>
      <w:r>
        <w:rPr>
          <w:rFonts w:hint="eastAsia" w:ascii="仿宋" w:hAnsi="仿宋" w:eastAsia="仿宋" w:cs="仿宋"/>
          <w:kern w:val="2"/>
          <w:sz w:val="24"/>
        </w:rPr>
        <w:t>做细防护指导。及时设立并公布小区24小时防控服务热线、社区联系电话、街道24小时值班电话。通过微信公众号、宣传单、宣传展板、短信平台等载体，及时发布健康科普小知识，引导居民正确认识新型病毒、正确做好防护措施。打造小区“爱心厦门，健康通道”等先进做法。</w:t>
      </w:r>
    </w:p>
    <w:p>
      <w:pPr>
        <w:spacing w:line="440" w:lineRule="exact"/>
        <w:ind w:firstLine="480" w:firstLineChars="200"/>
        <w:rPr>
          <w:rFonts w:hint="eastAsia" w:ascii="仿宋" w:hAnsi="仿宋" w:eastAsia="仿宋" w:cs="仿宋"/>
          <w:kern w:val="2"/>
          <w:sz w:val="24"/>
        </w:rPr>
      </w:pPr>
      <w:r>
        <w:rPr>
          <w:rFonts w:hint="eastAsia" w:ascii="仿宋" w:hAnsi="仿宋" w:eastAsia="仿宋" w:cs="仿宋"/>
          <w:kern w:val="2"/>
          <w:sz w:val="24"/>
          <w:lang w:val="en-US" w:eastAsia="zh-CN"/>
        </w:rPr>
        <w:t>3.</w:t>
      </w:r>
      <w:r>
        <w:rPr>
          <w:rFonts w:hint="eastAsia" w:ascii="仿宋" w:hAnsi="仿宋" w:eastAsia="仿宋" w:cs="仿宋"/>
          <w:kern w:val="2"/>
          <w:sz w:val="24"/>
        </w:rPr>
        <w:t>关爱疫情防控一线社区工作者。街道要按规定落实社区防控工作经费，改善一线社区工作者防护条件。要加强防护物资统筹调配，优先无偿保障防控一线社区工作者防护物资需求，确保得到有效防护</w:t>
      </w:r>
      <w:r>
        <w:rPr>
          <w:rFonts w:hint="eastAsia" w:ascii="仿宋" w:hAnsi="仿宋" w:eastAsia="仿宋" w:cs="仿宋"/>
          <w:kern w:val="2"/>
          <w:sz w:val="24"/>
          <w:lang w:eastAsia="zh-CN"/>
        </w:rPr>
        <w:t>，并根据疫情情况为一线人员购买意外险</w:t>
      </w:r>
      <w:r>
        <w:rPr>
          <w:rFonts w:hint="eastAsia" w:ascii="仿宋" w:hAnsi="仿宋" w:eastAsia="仿宋" w:cs="仿宋"/>
          <w:kern w:val="2"/>
          <w:sz w:val="24"/>
        </w:rPr>
        <w:t>。</w:t>
      </w:r>
    </w:p>
    <w:p>
      <w:pPr>
        <w:pStyle w:val="3"/>
        <w:spacing w:before="0" w:after="0"/>
        <w:ind w:left="1219" w:hanging="658"/>
        <w:rPr>
          <w:sz w:val="28"/>
          <w:szCs w:val="28"/>
        </w:rPr>
      </w:pPr>
      <w:r>
        <w:rPr>
          <w:rFonts w:hint="eastAsia"/>
          <w:sz w:val="28"/>
          <w:szCs w:val="28"/>
        </w:rPr>
        <w:t>二、资金安排及使用情况</w:t>
      </w:r>
    </w:p>
    <w:p>
      <w:pPr>
        <w:spacing w:line="58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（一）支出预算情况</w:t>
      </w:r>
    </w:p>
    <w:p>
      <w:pPr>
        <w:spacing w:line="440" w:lineRule="exact"/>
        <w:ind w:firstLine="480" w:firstLineChars="200"/>
        <w:rPr>
          <w:rFonts w:ascii="仿宋" w:hAnsi="仿宋" w:eastAsia="仿宋" w:cs="仿宋"/>
          <w:kern w:val="2"/>
          <w:sz w:val="24"/>
        </w:rPr>
      </w:pPr>
      <w:r>
        <w:rPr>
          <w:rFonts w:ascii="仿宋" w:hAnsi="仿宋" w:eastAsia="仿宋" w:cs="仿宋"/>
          <w:kern w:val="2"/>
          <w:sz w:val="24"/>
        </w:rPr>
        <w:t>202</w:t>
      </w:r>
      <w:r>
        <w:rPr>
          <w:rFonts w:hint="eastAsia" w:ascii="仿宋" w:hAnsi="仿宋" w:eastAsia="仿宋" w:cs="仿宋"/>
          <w:kern w:val="2"/>
          <w:sz w:val="24"/>
          <w:lang w:val="en-US" w:eastAsia="zh-CN"/>
        </w:rPr>
        <w:t>2</w:t>
      </w:r>
      <w:r>
        <w:rPr>
          <w:rFonts w:hint="eastAsia" w:ascii="仿宋" w:hAnsi="仿宋" w:eastAsia="仿宋" w:cs="仿宋"/>
          <w:kern w:val="2"/>
          <w:sz w:val="24"/>
        </w:rPr>
        <w:t>年本项目年初预算0.</w:t>
      </w:r>
      <w:r>
        <w:rPr>
          <w:rFonts w:ascii="仿宋" w:hAnsi="仿宋" w:eastAsia="仿宋" w:cs="仿宋"/>
          <w:kern w:val="2"/>
          <w:sz w:val="24"/>
        </w:rPr>
        <w:t>00</w:t>
      </w:r>
      <w:r>
        <w:rPr>
          <w:rFonts w:hint="eastAsia" w:ascii="仿宋" w:hAnsi="仿宋" w:eastAsia="仿宋" w:cs="仿宋"/>
          <w:kern w:val="2"/>
          <w:sz w:val="24"/>
        </w:rPr>
        <w:t>万元，预算追加</w:t>
      </w:r>
      <w:r>
        <w:rPr>
          <w:rFonts w:hint="eastAsia" w:ascii="仿宋" w:hAnsi="仿宋" w:eastAsia="仿宋" w:cs="仿宋"/>
          <w:kern w:val="2"/>
          <w:sz w:val="24"/>
          <w:lang w:val="en-US" w:eastAsia="zh-CN"/>
        </w:rPr>
        <w:t>30,568,637.68</w:t>
      </w:r>
      <w:r>
        <w:rPr>
          <w:rFonts w:hint="eastAsia" w:ascii="仿宋" w:hAnsi="仿宋" w:eastAsia="仿宋" w:cs="仿宋"/>
          <w:kern w:val="2"/>
          <w:sz w:val="24"/>
        </w:rPr>
        <w:t>元，总预算</w:t>
      </w:r>
      <w:r>
        <w:rPr>
          <w:rFonts w:hint="eastAsia" w:ascii="仿宋" w:hAnsi="仿宋" w:eastAsia="仿宋" w:cs="仿宋"/>
          <w:kern w:val="2"/>
          <w:sz w:val="24"/>
          <w:lang w:val="en-US" w:eastAsia="zh-CN"/>
        </w:rPr>
        <w:t>30,568,637.68</w:t>
      </w:r>
      <w:r>
        <w:rPr>
          <w:rFonts w:hint="eastAsia" w:ascii="仿宋" w:hAnsi="仿宋" w:eastAsia="仿宋" w:cs="仿宋"/>
          <w:kern w:val="2"/>
          <w:sz w:val="24"/>
        </w:rPr>
        <w:t>元，实际支出数</w:t>
      </w:r>
      <w:r>
        <w:rPr>
          <w:rFonts w:hint="eastAsia" w:ascii="仿宋" w:hAnsi="仿宋" w:eastAsia="仿宋" w:cs="仿宋"/>
          <w:kern w:val="2"/>
          <w:sz w:val="24"/>
          <w:lang w:val="en-US" w:eastAsia="zh-CN"/>
        </w:rPr>
        <w:t>30,568,637.68</w:t>
      </w:r>
      <w:r>
        <w:rPr>
          <w:rFonts w:hint="eastAsia" w:ascii="仿宋" w:hAnsi="仿宋" w:eastAsia="仿宋" w:cs="仿宋"/>
          <w:kern w:val="2"/>
          <w:sz w:val="24"/>
        </w:rPr>
        <w:t>元。</w:t>
      </w:r>
    </w:p>
    <w:p>
      <w:pPr>
        <w:spacing w:line="58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（二）资金使用范围</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本项目资金全部用于</w:t>
      </w:r>
      <w:r>
        <w:rPr>
          <w:rFonts w:ascii="仿宋" w:hAnsi="仿宋" w:eastAsia="仿宋" w:cs="仿宋"/>
          <w:sz w:val="24"/>
        </w:rPr>
        <w:t>新型冠状病毒疫情防控工作</w:t>
      </w:r>
      <w:r>
        <w:rPr>
          <w:rFonts w:hint="eastAsia" w:ascii="仿宋" w:hAnsi="仿宋" w:eastAsia="仿宋" w:cs="仿宋"/>
          <w:kern w:val="2"/>
          <w:sz w:val="24"/>
        </w:rPr>
        <w:t>，共计</w:t>
      </w:r>
      <w:r>
        <w:rPr>
          <w:rFonts w:hint="eastAsia" w:ascii="仿宋" w:hAnsi="仿宋" w:eastAsia="仿宋" w:cs="仿宋"/>
          <w:kern w:val="2"/>
          <w:sz w:val="24"/>
          <w:lang w:val="en-US" w:eastAsia="zh-CN"/>
        </w:rPr>
        <w:t>30,568,637.68</w:t>
      </w:r>
      <w:r>
        <w:rPr>
          <w:rFonts w:hint="eastAsia" w:ascii="仿宋" w:hAnsi="仿宋" w:eastAsia="仿宋" w:cs="仿宋"/>
          <w:kern w:val="2"/>
          <w:sz w:val="24"/>
        </w:rPr>
        <w:t>元。</w:t>
      </w:r>
    </w:p>
    <w:p>
      <w:pPr>
        <w:spacing w:line="58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（三）分配标准、程序</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根据《湖里区爱国卫生运动委员会办公室关于做好新型冠状病毒感染的肺炎疫情防控时期爱国卫生工作的通知》（厦湖爱卫办〔2020〕2号）文件，切实加大疫情防控力度，进一步提高对防控工作的思想认识，结合实际和防控工作深入开展卫生运动，大力加强环境卫生整治，严格对农贸市场、办公场所、商场、学校等人群聚集的公共场所进行清洁、消毒和通风，同时进一步加强科普宣传，督促单位干部职工和辖区居民正确认识新型冠状病毒感染的肺炎，做好预防措施，发热及时就诊，养成良好的个人卫生习惯，健康饮食，加强锻炼，规律起居，保持健康心态。</w:t>
      </w:r>
    </w:p>
    <w:p>
      <w:pPr>
        <w:spacing w:line="58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（四）资金管控情况</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本项目资金严格按预算规定用途使用，支出程序、结算手续严格按现行财政项目资金管理有关要求，专款专用，确保资金按照指定的用途使用。</w:t>
      </w:r>
    </w:p>
    <w:p>
      <w:pPr>
        <w:spacing w:line="58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（五）支出政策执行</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本项目严格按照《湖里区爱国卫生运动委员会办公室关于做好新型冠状病毒感染的肺炎疫情防控时期爱国卫生工作的通知》（厦湖爱卫办〔2020〕2号）、《厦门市爱国卫生运动委员会办公室关于在新型冠状病毒感染的肺炎疫情防控时期深入开展爱国卫生工作的通知》（厦爱卫办〔2020〕2号）</w:t>
      </w:r>
      <w:r>
        <w:rPr>
          <w:rFonts w:hint="eastAsia" w:ascii="仿宋" w:hAnsi="仿宋" w:eastAsia="仿宋" w:cs="仿宋"/>
          <w:kern w:val="2"/>
          <w:sz w:val="24"/>
          <w:lang w:eastAsia="zh-CN"/>
        </w:rPr>
        <w:t>、《厦门市居家隔离医学观察和居家健康监测工作规程》（厦应对疫情指挥部办</w:t>
      </w:r>
      <w:r>
        <w:rPr>
          <w:rFonts w:hint="eastAsia" w:ascii="仿宋" w:hAnsi="仿宋" w:eastAsia="仿宋" w:cs="仿宋"/>
          <w:kern w:val="2"/>
          <w:sz w:val="24"/>
        </w:rPr>
        <w:t>〔202</w:t>
      </w:r>
      <w:r>
        <w:rPr>
          <w:rFonts w:hint="eastAsia" w:ascii="仿宋" w:hAnsi="仿宋" w:eastAsia="仿宋" w:cs="仿宋"/>
          <w:kern w:val="2"/>
          <w:sz w:val="24"/>
          <w:lang w:val="en-US" w:eastAsia="zh-CN"/>
        </w:rPr>
        <w:t>2</w:t>
      </w:r>
      <w:r>
        <w:rPr>
          <w:rFonts w:hint="eastAsia" w:ascii="仿宋" w:hAnsi="仿宋" w:eastAsia="仿宋" w:cs="仿宋"/>
          <w:kern w:val="2"/>
          <w:sz w:val="24"/>
        </w:rPr>
        <w:t>〕</w:t>
      </w:r>
      <w:r>
        <w:rPr>
          <w:rFonts w:hint="eastAsia" w:ascii="仿宋" w:hAnsi="仿宋" w:eastAsia="仿宋" w:cs="仿宋"/>
          <w:kern w:val="2"/>
          <w:sz w:val="24"/>
          <w:lang w:val="en-US" w:eastAsia="zh-CN"/>
        </w:rPr>
        <w:t>75</w:t>
      </w:r>
      <w:r>
        <w:rPr>
          <w:rFonts w:hint="eastAsia" w:ascii="仿宋" w:hAnsi="仿宋" w:eastAsia="仿宋" w:cs="仿宋"/>
          <w:kern w:val="2"/>
          <w:sz w:val="24"/>
        </w:rPr>
        <w:t>号</w:t>
      </w:r>
      <w:r>
        <w:rPr>
          <w:rFonts w:hint="eastAsia" w:ascii="仿宋" w:hAnsi="仿宋" w:eastAsia="仿宋" w:cs="仿宋"/>
          <w:kern w:val="2"/>
          <w:sz w:val="24"/>
          <w:lang w:eastAsia="zh-CN"/>
        </w:rPr>
        <w:t>）</w:t>
      </w:r>
      <w:r>
        <w:rPr>
          <w:rFonts w:hint="eastAsia" w:ascii="仿宋" w:hAnsi="仿宋" w:eastAsia="仿宋" w:cs="仿宋"/>
          <w:kern w:val="2"/>
          <w:sz w:val="24"/>
        </w:rPr>
        <w:t>文件执行。</w:t>
      </w:r>
    </w:p>
    <w:p>
      <w:pPr>
        <w:spacing w:line="58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（六）支出分担体制</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本项目扶持资金由</w:t>
      </w:r>
      <w:r>
        <w:rPr>
          <w:rFonts w:hint="eastAsia" w:ascii="仿宋" w:hAnsi="仿宋" w:eastAsia="仿宋" w:cs="仿宋"/>
          <w:kern w:val="2"/>
          <w:sz w:val="24"/>
          <w:highlight w:val="yellow"/>
        </w:rPr>
        <w:t>区财政承担</w:t>
      </w:r>
      <w:r>
        <w:rPr>
          <w:rFonts w:hint="eastAsia" w:ascii="仿宋" w:hAnsi="仿宋" w:eastAsia="仿宋" w:cs="仿宋"/>
          <w:kern w:val="2"/>
          <w:sz w:val="24"/>
        </w:rPr>
        <w:t>。</w:t>
      </w:r>
    </w:p>
    <w:p>
      <w:pPr>
        <w:pStyle w:val="3"/>
        <w:spacing w:before="0" w:after="0"/>
        <w:ind w:left="1219" w:hanging="658"/>
        <w:rPr>
          <w:sz w:val="28"/>
          <w:szCs w:val="28"/>
        </w:rPr>
      </w:pPr>
      <w:r>
        <w:rPr>
          <w:rFonts w:hint="eastAsia"/>
          <w:sz w:val="28"/>
          <w:szCs w:val="28"/>
        </w:rPr>
        <w:t>三、绩效分析</w:t>
      </w:r>
    </w:p>
    <w:p>
      <w:pPr>
        <w:spacing w:line="58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（一）项目效益分析</w:t>
      </w:r>
    </w:p>
    <w:p>
      <w:pPr>
        <w:spacing w:line="44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1、任务完成情况及绩效目标完成情况</w:t>
      </w:r>
    </w:p>
    <w:p>
      <w:pPr>
        <w:spacing w:line="440" w:lineRule="exact"/>
        <w:ind w:firstLine="480" w:firstLineChars="200"/>
        <w:rPr>
          <w:rFonts w:hint="default" w:ascii="仿宋" w:hAnsi="仿宋" w:eastAsia="仿宋" w:cs="仿宋"/>
          <w:kern w:val="2"/>
          <w:sz w:val="24"/>
          <w:lang w:val="en-US"/>
        </w:rPr>
      </w:pPr>
      <w:r>
        <w:rPr>
          <w:rFonts w:hint="eastAsia" w:ascii="仿宋" w:hAnsi="仿宋" w:eastAsia="仿宋" w:cs="仿宋"/>
          <w:kern w:val="2"/>
          <w:sz w:val="24"/>
        </w:rPr>
        <w:t>截至202</w:t>
      </w:r>
      <w:r>
        <w:rPr>
          <w:rFonts w:hint="eastAsia" w:ascii="仿宋" w:hAnsi="仿宋" w:eastAsia="仿宋" w:cs="仿宋"/>
          <w:kern w:val="2"/>
          <w:sz w:val="24"/>
          <w:lang w:val="en-US" w:eastAsia="zh-CN"/>
        </w:rPr>
        <w:t>2</w:t>
      </w:r>
      <w:r>
        <w:rPr>
          <w:rFonts w:hint="eastAsia" w:ascii="仿宋" w:hAnsi="仿宋" w:eastAsia="仿宋" w:cs="仿宋"/>
          <w:kern w:val="2"/>
          <w:sz w:val="24"/>
        </w:rPr>
        <w:t>年12月，本项目共支出</w:t>
      </w:r>
      <w:r>
        <w:rPr>
          <w:rFonts w:hint="eastAsia" w:ascii="仿宋" w:hAnsi="仿宋" w:eastAsia="仿宋" w:cs="仿宋"/>
          <w:kern w:val="2"/>
          <w:sz w:val="24"/>
          <w:lang w:val="en-US" w:eastAsia="zh-CN"/>
        </w:rPr>
        <w:t>30,568,637.68</w:t>
      </w:r>
      <w:r>
        <w:rPr>
          <w:rFonts w:hint="eastAsia" w:ascii="仿宋" w:hAnsi="仿宋" w:eastAsia="仿宋" w:cs="仿宋"/>
          <w:kern w:val="2"/>
          <w:sz w:val="24"/>
        </w:rPr>
        <w:t>元，支出率</w:t>
      </w:r>
      <w:r>
        <w:rPr>
          <w:rFonts w:ascii="仿宋" w:hAnsi="仿宋" w:eastAsia="仿宋" w:cs="仿宋"/>
          <w:kern w:val="2"/>
          <w:sz w:val="24"/>
        </w:rPr>
        <w:t>100.00</w:t>
      </w:r>
      <w:r>
        <w:rPr>
          <w:rFonts w:hint="eastAsia" w:ascii="仿宋" w:hAnsi="仿宋" w:eastAsia="仿宋" w:cs="仿宋"/>
          <w:kern w:val="2"/>
          <w:sz w:val="24"/>
        </w:rPr>
        <w:t>%。经费下拨及时率100</w:t>
      </w:r>
      <w:r>
        <w:rPr>
          <w:rFonts w:ascii="仿宋" w:hAnsi="仿宋" w:eastAsia="仿宋" w:cs="仿宋"/>
          <w:kern w:val="2"/>
          <w:sz w:val="24"/>
        </w:rPr>
        <w:t>.00</w:t>
      </w:r>
      <w:r>
        <w:rPr>
          <w:rFonts w:hint="eastAsia" w:ascii="仿宋" w:hAnsi="仿宋" w:eastAsia="仿宋" w:cs="仿宋"/>
          <w:kern w:val="2"/>
          <w:sz w:val="24"/>
        </w:rPr>
        <w:t>%。</w:t>
      </w:r>
      <w:r>
        <w:rPr>
          <w:rFonts w:ascii="仿宋" w:hAnsi="仿宋" w:eastAsia="仿宋" w:cs="仿宋"/>
          <w:kern w:val="2"/>
          <w:sz w:val="24"/>
        </w:rPr>
        <w:t>202</w:t>
      </w:r>
      <w:r>
        <w:rPr>
          <w:rFonts w:hint="eastAsia" w:ascii="仿宋" w:hAnsi="仿宋" w:eastAsia="仿宋" w:cs="仿宋"/>
          <w:kern w:val="2"/>
          <w:sz w:val="24"/>
          <w:lang w:val="en-US" w:eastAsia="zh-CN"/>
        </w:rPr>
        <w:t>2</w:t>
      </w:r>
      <w:r>
        <w:rPr>
          <w:rFonts w:ascii="仿宋" w:hAnsi="仿宋" w:eastAsia="仿宋" w:cs="仿宋"/>
          <w:kern w:val="2"/>
          <w:sz w:val="24"/>
        </w:rPr>
        <w:t>年我街道</w:t>
      </w:r>
      <w:r>
        <w:rPr>
          <w:rFonts w:hint="eastAsia" w:ascii="仿宋" w:hAnsi="仿宋" w:eastAsia="仿宋" w:cs="仿宋"/>
          <w:kern w:val="2"/>
          <w:sz w:val="24"/>
          <w:lang w:eastAsia="zh-CN"/>
        </w:rPr>
        <w:t>持续开展新冠</w:t>
      </w:r>
      <w:r>
        <w:rPr>
          <w:rFonts w:ascii="仿宋" w:hAnsi="仿宋" w:eastAsia="仿宋" w:cs="仿宋"/>
          <w:kern w:val="2"/>
          <w:sz w:val="24"/>
        </w:rPr>
        <w:t>疫苗接种，</w:t>
      </w:r>
      <w:r>
        <w:rPr>
          <w:rFonts w:hint="eastAsia" w:ascii="仿宋" w:hAnsi="仿宋" w:eastAsia="仿宋" w:cs="仿宋"/>
          <w:kern w:val="2"/>
          <w:sz w:val="24"/>
        </w:rPr>
        <w:t>完成第一剂13698人（2022年组织接种1672人），第二剂13133人（2022年组织接种1515人），加强剂完成9939人（2022年组织接种8628人）。</w:t>
      </w:r>
      <w:r>
        <w:rPr>
          <w:rFonts w:hint="eastAsia" w:ascii="仿宋" w:hAnsi="仿宋" w:eastAsia="仿宋" w:cs="仿宋"/>
          <w:kern w:val="2"/>
          <w:sz w:val="24"/>
          <w:lang w:eastAsia="zh-CN"/>
        </w:rPr>
        <w:t>常态化开设13个便民核酸采样点，累计购买</w:t>
      </w:r>
      <w:r>
        <w:rPr>
          <w:rFonts w:hint="eastAsia" w:ascii="仿宋" w:hAnsi="仿宋" w:eastAsia="仿宋" w:cs="仿宋"/>
          <w:kern w:val="2"/>
          <w:sz w:val="24"/>
          <w:lang w:val="en-US" w:eastAsia="zh-CN"/>
        </w:rPr>
        <w:t>12</w:t>
      </w:r>
      <w:r>
        <w:rPr>
          <w:rFonts w:hint="eastAsia" w:ascii="仿宋" w:hAnsi="仿宋" w:eastAsia="仿宋" w:cs="仿宋"/>
          <w:kern w:val="2"/>
          <w:sz w:val="24"/>
          <w:lang w:eastAsia="zh-CN"/>
        </w:rPr>
        <w:t>个采样亭，实现便民采样核酸圈全覆盖,便于相关人员及时完成采样，完成采样</w:t>
      </w:r>
      <w:r>
        <w:rPr>
          <w:rFonts w:hint="eastAsia" w:ascii="仿宋" w:hAnsi="仿宋" w:eastAsia="仿宋" w:cs="仿宋"/>
          <w:kern w:val="2"/>
          <w:sz w:val="24"/>
          <w:lang w:val="en-US" w:eastAsia="zh-CN"/>
        </w:rPr>
        <w:t>700余</w:t>
      </w:r>
      <w:r>
        <w:rPr>
          <w:rFonts w:hint="eastAsia" w:ascii="仿宋" w:hAnsi="仿宋" w:eastAsia="仿宋" w:cs="仿宋"/>
          <w:kern w:val="2"/>
          <w:sz w:val="24"/>
          <w:lang w:eastAsia="zh-CN"/>
        </w:rPr>
        <w:t>万人次。</w:t>
      </w:r>
      <w:r>
        <w:rPr>
          <w:rFonts w:hint="eastAsia" w:ascii="仿宋" w:hAnsi="仿宋" w:eastAsia="仿宋" w:cs="仿宋"/>
          <w:kern w:val="2"/>
          <w:sz w:val="24"/>
          <w:lang w:val="en-US" w:eastAsia="zh-CN"/>
        </w:rPr>
        <w:t>开展5次应急演练，封控发生本土疫情小区楼栋20余处，成立转运专班，落实一体化平台系统核实并转运密接1405人、次密接1733人、涉疫风险人员1164人，陪护89人，合计4391人。</w:t>
      </w:r>
    </w:p>
    <w:p>
      <w:pPr>
        <w:spacing w:line="44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2、项目实施带动的社会效益</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本做好专班人员用餐、住宿等后勤保障工作，提高居民防疫意识，认真落实各项防控管理措施，协调配合，持续开展疫情隐患排查工作，降低感染范围，做好后勤保障工作，保障疫情防控工作的顺利开展。</w:t>
      </w:r>
    </w:p>
    <w:p>
      <w:pPr>
        <w:spacing w:line="44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3、项目实施带动的公众满意度</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本项目受益群众满意度≧95%。</w:t>
      </w:r>
    </w:p>
    <w:p>
      <w:pPr>
        <w:spacing w:line="58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（二）支出效益分析</w:t>
      </w:r>
    </w:p>
    <w:p>
      <w:pPr>
        <w:spacing w:line="44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1、支出进度</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202</w:t>
      </w:r>
      <w:r>
        <w:rPr>
          <w:rFonts w:hint="eastAsia" w:ascii="仿宋" w:hAnsi="仿宋" w:eastAsia="仿宋" w:cs="仿宋"/>
          <w:kern w:val="2"/>
          <w:sz w:val="24"/>
          <w:lang w:val="en-US" w:eastAsia="zh-CN"/>
        </w:rPr>
        <w:t>2</w:t>
      </w:r>
      <w:r>
        <w:rPr>
          <w:rFonts w:hint="eastAsia" w:ascii="仿宋" w:hAnsi="仿宋" w:eastAsia="仿宋" w:cs="仿宋"/>
          <w:kern w:val="2"/>
          <w:sz w:val="24"/>
        </w:rPr>
        <w:t>年本项目年初预算0</w:t>
      </w:r>
      <w:r>
        <w:rPr>
          <w:rFonts w:ascii="仿宋" w:hAnsi="仿宋" w:eastAsia="仿宋" w:cs="仿宋"/>
          <w:kern w:val="2"/>
          <w:sz w:val="24"/>
        </w:rPr>
        <w:t>.00</w:t>
      </w:r>
      <w:r>
        <w:rPr>
          <w:rFonts w:hint="eastAsia" w:ascii="仿宋" w:hAnsi="仿宋" w:eastAsia="仿宋" w:cs="仿宋"/>
          <w:kern w:val="2"/>
          <w:sz w:val="24"/>
        </w:rPr>
        <w:t>万元，预算追加</w:t>
      </w:r>
      <w:r>
        <w:rPr>
          <w:rFonts w:hint="eastAsia" w:ascii="仿宋" w:hAnsi="仿宋" w:eastAsia="仿宋" w:cs="仿宋"/>
          <w:kern w:val="2"/>
          <w:sz w:val="24"/>
          <w:lang w:val="en-US" w:eastAsia="zh-CN"/>
        </w:rPr>
        <w:t>3,057.94万</w:t>
      </w:r>
      <w:r>
        <w:rPr>
          <w:rFonts w:hint="eastAsia" w:ascii="仿宋" w:hAnsi="仿宋" w:eastAsia="仿宋" w:cs="仿宋"/>
          <w:kern w:val="2"/>
          <w:sz w:val="24"/>
        </w:rPr>
        <w:t>元，总预算</w:t>
      </w:r>
      <w:r>
        <w:rPr>
          <w:rFonts w:hint="eastAsia" w:ascii="仿宋" w:hAnsi="仿宋" w:eastAsia="仿宋" w:cs="仿宋"/>
          <w:kern w:val="2"/>
          <w:sz w:val="24"/>
          <w:lang w:val="en-US" w:eastAsia="zh-CN"/>
        </w:rPr>
        <w:t>30,568,637.68</w:t>
      </w:r>
      <w:r>
        <w:rPr>
          <w:rFonts w:hint="eastAsia" w:ascii="仿宋" w:hAnsi="仿宋" w:eastAsia="仿宋" w:cs="仿宋"/>
          <w:kern w:val="2"/>
          <w:sz w:val="24"/>
        </w:rPr>
        <w:t>元，实际授权支付数</w:t>
      </w:r>
      <w:r>
        <w:rPr>
          <w:rFonts w:hint="eastAsia" w:ascii="仿宋" w:hAnsi="仿宋" w:eastAsia="仿宋" w:cs="仿宋"/>
          <w:kern w:val="2"/>
          <w:sz w:val="24"/>
          <w:lang w:val="en-US" w:eastAsia="zh-CN"/>
        </w:rPr>
        <w:t>30,568,637.68</w:t>
      </w:r>
      <w:r>
        <w:rPr>
          <w:rFonts w:hint="eastAsia" w:ascii="仿宋" w:hAnsi="仿宋" w:eastAsia="仿宋" w:cs="仿宋"/>
          <w:kern w:val="2"/>
          <w:sz w:val="24"/>
        </w:rPr>
        <w:t>元，支出进度达到</w:t>
      </w:r>
      <w:r>
        <w:rPr>
          <w:rFonts w:hint="eastAsia" w:ascii="仿宋" w:hAnsi="仿宋" w:eastAsia="仿宋" w:cs="仿宋"/>
          <w:kern w:val="2"/>
          <w:sz w:val="24"/>
          <w:lang w:val="en-US" w:eastAsia="zh-CN"/>
        </w:rPr>
        <w:t>99</w:t>
      </w:r>
      <w:r>
        <w:rPr>
          <w:rFonts w:hint="eastAsia" w:ascii="仿宋" w:hAnsi="仿宋" w:eastAsia="仿宋" w:cs="仿宋"/>
          <w:kern w:val="2"/>
          <w:sz w:val="24"/>
        </w:rPr>
        <w:t>%。</w:t>
      </w:r>
    </w:p>
    <w:p>
      <w:pPr>
        <w:spacing w:line="44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2、支出效率</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截至202</w:t>
      </w:r>
      <w:r>
        <w:rPr>
          <w:rFonts w:hint="eastAsia" w:ascii="仿宋" w:hAnsi="仿宋" w:eastAsia="仿宋" w:cs="仿宋"/>
          <w:kern w:val="2"/>
          <w:sz w:val="24"/>
          <w:lang w:val="en-US" w:eastAsia="zh-CN"/>
        </w:rPr>
        <w:t>2</w:t>
      </w:r>
      <w:r>
        <w:rPr>
          <w:rFonts w:hint="eastAsia" w:ascii="仿宋" w:hAnsi="仿宋" w:eastAsia="仿宋" w:cs="仿宋"/>
          <w:kern w:val="2"/>
          <w:sz w:val="24"/>
        </w:rPr>
        <w:t>年12月，本项目已支出</w:t>
      </w:r>
      <w:r>
        <w:rPr>
          <w:rFonts w:hint="eastAsia" w:ascii="仿宋" w:hAnsi="仿宋" w:eastAsia="仿宋" w:cs="仿宋"/>
          <w:kern w:val="2"/>
          <w:sz w:val="24"/>
          <w:lang w:val="en-US" w:eastAsia="zh-CN"/>
        </w:rPr>
        <w:t>30,568,637.68</w:t>
      </w:r>
      <w:r>
        <w:rPr>
          <w:rFonts w:hint="eastAsia" w:ascii="仿宋" w:hAnsi="仿宋" w:eastAsia="仿宋" w:cs="仿宋"/>
          <w:kern w:val="2"/>
          <w:sz w:val="24"/>
        </w:rPr>
        <w:t>元，经费下拨及时率100%。</w:t>
      </w:r>
    </w:p>
    <w:p>
      <w:pPr>
        <w:spacing w:line="44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3、成本控制分析及效益情况</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截至</w:t>
      </w:r>
      <w:r>
        <w:rPr>
          <w:rFonts w:ascii="仿宋" w:hAnsi="仿宋" w:eastAsia="仿宋" w:cs="仿宋"/>
          <w:kern w:val="2"/>
          <w:sz w:val="24"/>
        </w:rPr>
        <w:t>202</w:t>
      </w:r>
      <w:r>
        <w:rPr>
          <w:rFonts w:hint="eastAsia" w:ascii="仿宋" w:hAnsi="仿宋" w:eastAsia="仿宋" w:cs="仿宋"/>
          <w:kern w:val="2"/>
          <w:sz w:val="24"/>
          <w:lang w:val="en-US" w:eastAsia="zh-CN"/>
        </w:rPr>
        <w:t>2</w:t>
      </w:r>
      <w:r>
        <w:rPr>
          <w:rFonts w:hint="eastAsia" w:ascii="仿宋" w:hAnsi="仿宋" w:eastAsia="仿宋" w:cs="仿宋"/>
          <w:kern w:val="2"/>
          <w:sz w:val="24"/>
        </w:rPr>
        <w:t>年年底，本项目实施过程中严格控制经费支出，加强对项目资金的管理和监督工作，保证资金专款、专用、专户、专项核算，确保资金在项目中发挥出最大效益。</w:t>
      </w:r>
    </w:p>
    <w:p>
      <w:pPr>
        <w:spacing w:line="58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（三）评价分值和等级</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根据上述分析，确定本项目绩效评价分值9</w:t>
      </w:r>
      <w:r>
        <w:rPr>
          <w:rFonts w:ascii="仿宋" w:hAnsi="仿宋" w:eastAsia="仿宋" w:cs="仿宋"/>
          <w:kern w:val="2"/>
          <w:sz w:val="24"/>
        </w:rPr>
        <w:t>7</w:t>
      </w:r>
      <w:r>
        <w:rPr>
          <w:rFonts w:hint="eastAsia" w:ascii="仿宋" w:hAnsi="仿宋" w:eastAsia="仿宋" w:cs="仿宋"/>
          <w:kern w:val="2"/>
          <w:sz w:val="24"/>
        </w:rPr>
        <w:t>分，等级为优。</w:t>
      </w:r>
    </w:p>
    <w:p>
      <w:pPr>
        <w:pStyle w:val="3"/>
        <w:spacing w:before="0" w:after="0"/>
        <w:ind w:left="1219" w:hanging="658"/>
        <w:rPr>
          <w:sz w:val="28"/>
          <w:szCs w:val="28"/>
        </w:rPr>
      </w:pPr>
      <w:r>
        <w:rPr>
          <w:rFonts w:hint="eastAsia"/>
          <w:sz w:val="28"/>
          <w:szCs w:val="28"/>
        </w:rPr>
        <w:t>四、存在问题</w:t>
      </w:r>
    </w:p>
    <w:p>
      <w:pPr>
        <w:spacing w:line="58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（一）项目实施存在的问题</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在本项目的实施过程中，严格按照有关规定开展项目工作，因此项目实施过程中无存在问题。</w:t>
      </w:r>
    </w:p>
    <w:p>
      <w:pPr>
        <w:spacing w:line="58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（二）财政支出存在的问题</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本项目严格按照相关规定，全力推进项目，故不存在相关问题。</w:t>
      </w:r>
    </w:p>
    <w:p>
      <w:pPr>
        <w:spacing w:line="58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（三）支出政策制定方面存在的问题</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本项目资金符合预算确定的支出用途，不存在虚列项目支出的情况，资金使用产生效益，财政支出政策无问题。</w:t>
      </w:r>
    </w:p>
    <w:p>
      <w:pPr>
        <w:pStyle w:val="3"/>
        <w:spacing w:before="0" w:after="0"/>
        <w:ind w:left="1219" w:hanging="658"/>
        <w:rPr>
          <w:sz w:val="28"/>
          <w:szCs w:val="28"/>
        </w:rPr>
      </w:pPr>
      <w:r>
        <w:rPr>
          <w:rFonts w:hint="eastAsia"/>
          <w:sz w:val="28"/>
          <w:szCs w:val="28"/>
        </w:rPr>
        <w:t>五、相关建议</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加强信息报送制度，坚持24小时值班制度，要求领导干部在岗带班。做好常态化精准防控和局部应急处理，街道效能办落实监督及各项防疫措施整改工作。</w:t>
      </w:r>
    </w:p>
    <w:p>
      <w:pPr>
        <w:pStyle w:val="3"/>
        <w:spacing w:before="0" w:after="0"/>
        <w:ind w:left="1219" w:hanging="658"/>
        <w:rPr>
          <w:sz w:val="28"/>
          <w:szCs w:val="28"/>
        </w:rPr>
      </w:pPr>
      <w:r>
        <w:rPr>
          <w:rFonts w:hint="eastAsia"/>
          <w:sz w:val="28"/>
          <w:szCs w:val="28"/>
        </w:rPr>
        <w:t>六、下一步工作计划</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lang w:eastAsia="zh-CN"/>
        </w:rPr>
        <w:t>持续</w:t>
      </w:r>
      <w:bookmarkStart w:id="1" w:name="_GoBack"/>
      <w:bookmarkEnd w:id="1"/>
      <w:r>
        <w:rPr>
          <w:rFonts w:hint="eastAsia" w:ascii="仿宋" w:hAnsi="仿宋" w:eastAsia="仿宋" w:cs="仿宋"/>
          <w:kern w:val="2"/>
          <w:sz w:val="24"/>
        </w:rPr>
        <w:t>对接主</w:t>
      </w:r>
      <w:r>
        <w:rPr>
          <w:rFonts w:hint="eastAsia" w:ascii="仿宋" w:hAnsi="仿宋" w:eastAsia="仿宋" w:cs="仿宋"/>
          <w:kern w:val="2"/>
          <w:sz w:val="24"/>
          <w:lang w:eastAsia="zh-CN"/>
        </w:rPr>
        <w:t>管</w:t>
      </w:r>
      <w:r>
        <w:rPr>
          <w:rFonts w:hint="eastAsia" w:ascii="仿宋" w:hAnsi="仿宋" w:eastAsia="仿宋" w:cs="仿宋"/>
          <w:kern w:val="2"/>
          <w:sz w:val="24"/>
        </w:rPr>
        <w:t>部门，按国务院发布的通知做好宣传口径的统一。继续做好疫情防控知识宣传，做好疫情防控措施传达，做好全体工作成员防控培训，强化各网格人员责任意识，做好公共场所日常消杀。</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w:t>
      </w:r>
    </w:p>
    <w:p/>
    <w:p/>
    <w:p/>
    <w:sectPr>
      <w:footerReference r:id="rId3" w:type="default"/>
      <w:pgSz w:w="11906" w:h="16838"/>
      <w:pgMar w:top="1701" w:right="1474" w:bottom="1701"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FE59D6"/>
    <w:rsid w:val="0000476C"/>
    <w:rsid w:val="000526D8"/>
    <w:rsid w:val="0008723A"/>
    <w:rsid w:val="000A1714"/>
    <w:rsid w:val="000D598A"/>
    <w:rsid w:val="00125762"/>
    <w:rsid w:val="00131FD4"/>
    <w:rsid w:val="0015307D"/>
    <w:rsid w:val="0018458E"/>
    <w:rsid w:val="0018746E"/>
    <w:rsid w:val="00203B69"/>
    <w:rsid w:val="00204C2B"/>
    <w:rsid w:val="00211A27"/>
    <w:rsid w:val="00216525"/>
    <w:rsid w:val="00223DEE"/>
    <w:rsid w:val="00230DB1"/>
    <w:rsid w:val="00295878"/>
    <w:rsid w:val="0029594B"/>
    <w:rsid w:val="00301228"/>
    <w:rsid w:val="003020B6"/>
    <w:rsid w:val="0034114D"/>
    <w:rsid w:val="00354DEC"/>
    <w:rsid w:val="0037767D"/>
    <w:rsid w:val="00387A08"/>
    <w:rsid w:val="0039110E"/>
    <w:rsid w:val="003A2391"/>
    <w:rsid w:val="003C08F2"/>
    <w:rsid w:val="00425454"/>
    <w:rsid w:val="0043055D"/>
    <w:rsid w:val="00431693"/>
    <w:rsid w:val="0046419D"/>
    <w:rsid w:val="004A6C2C"/>
    <w:rsid w:val="004B461B"/>
    <w:rsid w:val="004B6784"/>
    <w:rsid w:val="004E2408"/>
    <w:rsid w:val="004E3D3F"/>
    <w:rsid w:val="0054098C"/>
    <w:rsid w:val="00546899"/>
    <w:rsid w:val="00565C2D"/>
    <w:rsid w:val="00577C2C"/>
    <w:rsid w:val="0058102A"/>
    <w:rsid w:val="005D198E"/>
    <w:rsid w:val="005E1EEA"/>
    <w:rsid w:val="0060591C"/>
    <w:rsid w:val="00671ECA"/>
    <w:rsid w:val="00676CDF"/>
    <w:rsid w:val="006B5097"/>
    <w:rsid w:val="006B5522"/>
    <w:rsid w:val="006B7165"/>
    <w:rsid w:val="006D19B3"/>
    <w:rsid w:val="006D6003"/>
    <w:rsid w:val="00702B1E"/>
    <w:rsid w:val="0071038A"/>
    <w:rsid w:val="00710983"/>
    <w:rsid w:val="007441BE"/>
    <w:rsid w:val="00764F40"/>
    <w:rsid w:val="007B05E2"/>
    <w:rsid w:val="007B7AC7"/>
    <w:rsid w:val="007D0983"/>
    <w:rsid w:val="007D3808"/>
    <w:rsid w:val="007E0CC8"/>
    <w:rsid w:val="00807AD1"/>
    <w:rsid w:val="008234C6"/>
    <w:rsid w:val="00845F17"/>
    <w:rsid w:val="00870FE9"/>
    <w:rsid w:val="008719B3"/>
    <w:rsid w:val="00871DAD"/>
    <w:rsid w:val="008B5022"/>
    <w:rsid w:val="00901609"/>
    <w:rsid w:val="0091212E"/>
    <w:rsid w:val="0094540C"/>
    <w:rsid w:val="00954015"/>
    <w:rsid w:val="009C6CEB"/>
    <w:rsid w:val="009F735D"/>
    <w:rsid w:val="00A02ECB"/>
    <w:rsid w:val="00A14E90"/>
    <w:rsid w:val="00A33E3D"/>
    <w:rsid w:val="00A34B3E"/>
    <w:rsid w:val="00A47CB2"/>
    <w:rsid w:val="00A62D50"/>
    <w:rsid w:val="00A856BD"/>
    <w:rsid w:val="00A95D86"/>
    <w:rsid w:val="00AC13FE"/>
    <w:rsid w:val="00B20088"/>
    <w:rsid w:val="00B20A6C"/>
    <w:rsid w:val="00B87179"/>
    <w:rsid w:val="00BC176F"/>
    <w:rsid w:val="00BC5724"/>
    <w:rsid w:val="00BD65AC"/>
    <w:rsid w:val="00C0221D"/>
    <w:rsid w:val="00C1595E"/>
    <w:rsid w:val="00C37E1A"/>
    <w:rsid w:val="00C47917"/>
    <w:rsid w:val="00C56311"/>
    <w:rsid w:val="00C87290"/>
    <w:rsid w:val="00CC4BDC"/>
    <w:rsid w:val="00CD6A99"/>
    <w:rsid w:val="00CE66A9"/>
    <w:rsid w:val="00CE779B"/>
    <w:rsid w:val="00CF32C5"/>
    <w:rsid w:val="00D3597D"/>
    <w:rsid w:val="00D51E09"/>
    <w:rsid w:val="00D55FE5"/>
    <w:rsid w:val="00D57383"/>
    <w:rsid w:val="00D607EC"/>
    <w:rsid w:val="00D65016"/>
    <w:rsid w:val="00D7072B"/>
    <w:rsid w:val="00D866F0"/>
    <w:rsid w:val="00E033FF"/>
    <w:rsid w:val="00E2108A"/>
    <w:rsid w:val="00E213CA"/>
    <w:rsid w:val="00E21D47"/>
    <w:rsid w:val="00E626D3"/>
    <w:rsid w:val="00E64673"/>
    <w:rsid w:val="00EA3C24"/>
    <w:rsid w:val="00EB2A04"/>
    <w:rsid w:val="00ED1BB9"/>
    <w:rsid w:val="00EF47B0"/>
    <w:rsid w:val="00EF599B"/>
    <w:rsid w:val="00F248E0"/>
    <w:rsid w:val="00F34A08"/>
    <w:rsid w:val="00F61B2D"/>
    <w:rsid w:val="00F651D9"/>
    <w:rsid w:val="00F75EE3"/>
    <w:rsid w:val="00F77E71"/>
    <w:rsid w:val="00F94A3D"/>
    <w:rsid w:val="00F97F2C"/>
    <w:rsid w:val="00FD741D"/>
    <w:rsid w:val="00FF37E5"/>
    <w:rsid w:val="0BF4727B"/>
    <w:rsid w:val="0F9B7763"/>
    <w:rsid w:val="11CC0300"/>
    <w:rsid w:val="1C2570BA"/>
    <w:rsid w:val="2A165E7C"/>
    <w:rsid w:val="30FE59D6"/>
    <w:rsid w:val="35F6028E"/>
    <w:rsid w:val="37F23577"/>
    <w:rsid w:val="42CE34BB"/>
    <w:rsid w:val="48BC278D"/>
    <w:rsid w:val="514656E5"/>
    <w:rsid w:val="5BA85C55"/>
    <w:rsid w:val="5BD9112E"/>
    <w:rsid w:val="692C5E29"/>
    <w:rsid w:val="71D25752"/>
    <w:rsid w:val="77E70A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宋体" w:eastAsia="仿宋_GB2312" w:cs="Times New Roman"/>
      <w:kern w:val="96"/>
      <w:sz w:val="32"/>
      <w:szCs w:val="24"/>
      <w:lang w:val="en-US" w:eastAsia="zh-CN" w:bidi="ar-SA"/>
    </w:rPr>
  </w:style>
  <w:style w:type="paragraph" w:styleId="3">
    <w:name w:val="heading 1"/>
    <w:basedOn w:val="1"/>
    <w:next w:val="1"/>
    <w:link w:val="11"/>
    <w:qFormat/>
    <w:uiPriority w:val="0"/>
    <w:pPr>
      <w:keepNext/>
      <w:keepLines/>
      <w:spacing w:before="340" w:after="330" w:line="576" w:lineRule="auto"/>
      <w:outlineLvl w:val="0"/>
    </w:pPr>
    <w:rPr>
      <w:rFonts w:ascii="Times New Roman" w:hAnsi="Times New Roman" w:eastAsia="宋体"/>
      <w:b/>
      <w:bCs/>
      <w:kern w:val="44"/>
      <w:sz w:val="24"/>
      <w:szCs w:val="44"/>
    </w:rPr>
  </w:style>
  <w:style w:type="character" w:default="1" w:styleId="8">
    <w:name w:val="Default Paragraph Font"/>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qFormat/>
    <w:uiPriority w:val="0"/>
    <w:rPr>
      <w:sz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Subtitle"/>
    <w:basedOn w:val="1"/>
    <w:next w:val="1"/>
    <w:qFormat/>
    <w:uiPriority w:val="0"/>
    <w:pPr>
      <w:ind w:firstLine="200" w:firstLineChars="200"/>
      <w:jc w:val="left"/>
      <w:outlineLvl w:val="2"/>
    </w:pPr>
    <w:rPr>
      <w:rFonts w:ascii="Cambria" w:hAnsi="Cambria" w:eastAsia="黑体"/>
      <w:kern w:val="28"/>
      <w:sz w:val="28"/>
      <w:szCs w:val="28"/>
    </w:rPr>
  </w:style>
  <w:style w:type="paragraph" w:styleId="7">
    <w:name w:val="Normal (Web)"/>
    <w:basedOn w:val="1"/>
    <w:qFormat/>
    <w:uiPriority w:val="0"/>
    <w:pPr>
      <w:spacing w:before="100" w:beforeAutospacing="1" w:after="100" w:afterAutospacing="1"/>
      <w:jc w:val="left"/>
    </w:pPr>
    <w:rPr>
      <w:kern w:val="0"/>
      <w:sz w:val="24"/>
    </w:rPr>
  </w:style>
  <w:style w:type="paragraph" w:customStyle="1" w:styleId="10">
    <w:name w:val="无间隔1"/>
    <w:basedOn w:val="1"/>
    <w:qFormat/>
    <w:uiPriority w:val="0"/>
    <w:rPr>
      <w:rFonts w:ascii="Times New Roman" w:hAnsi="Times New Roman" w:eastAsia="宋体"/>
      <w:kern w:val="2"/>
      <w:sz w:val="21"/>
      <w:szCs w:val="21"/>
    </w:rPr>
  </w:style>
  <w:style w:type="character" w:customStyle="1" w:styleId="11">
    <w:name w:val="标题 1 字符"/>
    <w:basedOn w:val="8"/>
    <w:link w:val="3"/>
    <w:qFormat/>
    <w:uiPriority w:val="0"/>
    <w:rPr>
      <w:rFonts w:ascii="Times New Roman" w:hAnsi="Times New Roman" w:eastAsia="宋体" w:cs="Times New Roman"/>
      <w:b/>
      <w:bCs/>
      <w:kern w:val="44"/>
      <w:sz w:val="24"/>
      <w:szCs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613</Words>
  <Characters>3500</Characters>
  <Lines>29</Lines>
  <Paragraphs>8</Paragraphs>
  <TotalTime>1</TotalTime>
  <ScaleCrop>false</ScaleCrop>
  <LinksUpToDate>false</LinksUpToDate>
  <CharactersWithSpaces>4105</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2020-08-10T11:36:00Z</dcterms:created>
  <dc:creator>ミESCAPE-婕┞▓</dc:creator>
  <cp:lastModifiedBy>Administrator</cp:lastModifiedBy>
  <dcterms:modified xsi:type="dcterms:W3CDTF">2023-10-26T02:41:30Z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636B4186D20B48228E15594CA3A8DEC2</vt:lpwstr>
  </property>
</Properties>
</file>