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rPr>
          <w:rFonts w:hint="default"/>
          <w:color w:val="auto"/>
          <w:highlight w:val="none"/>
        </w:rPr>
      </w:pPr>
      <w:r>
        <w:rPr>
          <w:color w:val="auto"/>
          <w:highlight w:val="none"/>
          <w:lang w:eastAsia="zh-CN"/>
        </w:rPr>
        <w:t xml:space="preserve"> </w:t>
      </w:r>
      <w:r>
        <w:rPr>
          <w:color w:val="auto"/>
          <w:highlight w:val="none"/>
        </w:rPr>
        <w:br w:type="textWrapping"/>
      </w:r>
    </w:p>
    <w:p>
      <w:pPr>
        <w:jc w:val="center"/>
        <w:rPr>
          <w:rFonts w:hint="default"/>
          <w:b/>
          <w:bCs/>
          <w:color w:val="auto"/>
          <w:sz w:val="84"/>
          <w:szCs w:val="84"/>
          <w:highlight w:val="none"/>
        </w:rPr>
      </w:pPr>
      <w:r>
        <w:rPr>
          <w:b/>
          <w:bCs/>
          <w:color w:val="auto"/>
          <w:sz w:val="84"/>
          <w:szCs w:val="84"/>
          <w:highlight w:val="none"/>
        </w:rPr>
        <w:t>福建省政府采购</w:t>
      </w:r>
    </w:p>
    <w:p>
      <w:pPr>
        <w:jc w:val="center"/>
        <w:rPr>
          <w:rFonts w:hint="default"/>
          <w:b/>
          <w:bCs/>
          <w:color w:val="auto"/>
          <w:sz w:val="84"/>
          <w:szCs w:val="84"/>
          <w:highlight w:val="none"/>
        </w:rPr>
      </w:pPr>
      <w:r>
        <w:rPr>
          <w:b/>
          <w:bCs/>
          <w:color w:val="auto"/>
          <w:sz w:val="84"/>
          <w:szCs w:val="84"/>
          <w:highlight w:val="none"/>
        </w:rPr>
        <w:t>货物和服务项目</w:t>
      </w:r>
    </w:p>
    <w:p>
      <w:pPr>
        <w:jc w:val="center"/>
        <w:rPr>
          <w:rFonts w:hint="default"/>
          <w:b/>
          <w:bCs/>
          <w:color w:val="auto"/>
          <w:sz w:val="84"/>
          <w:szCs w:val="84"/>
          <w:highlight w:val="none"/>
        </w:rPr>
      </w:pPr>
      <w:r>
        <w:rPr>
          <w:b/>
          <w:bCs/>
          <w:color w:val="auto"/>
          <w:sz w:val="84"/>
          <w:szCs w:val="84"/>
          <w:highlight w:val="none"/>
        </w:rPr>
        <w:t>公开招标文件</w:t>
      </w:r>
    </w:p>
    <w:p>
      <w:pPr>
        <w:rPr>
          <w:b/>
          <w:bCs/>
          <w:color w:val="auto"/>
          <w:highlight w:val="none"/>
        </w:rPr>
      </w:pPr>
    </w:p>
    <w:p>
      <w:pPr>
        <w:rPr>
          <w:b/>
          <w:bCs/>
          <w:color w:val="auto"/>
          <w:highlight w:val="none"/>
        </w:rPr>
      </w:pPr>
    </w:p>
    <w:p>
      <w:pPr>
        <w:rPr>
          <w:b/>
          <w:bCs/>
          <w:color w:val="auto"/>
          <w:highlight w:val="none"/>
        </w:rPr>
      </w:pPr>
    </w:p>
    <w:p>
      <w:pPr>
        <w:ind w:left="2520" w:leftChars="1200" w:firstLine="0" w:firstLineChars="0"/>
        <w:rPr>
          <w:rFonts w:hint="default"/>
          <w:b/>
          <w:bCs/>
          <w:color w:val="auto"/>
          <w:sz w:val="32"/>
          <w:szCs w:val="32"/>
          <w:highlight w:val="none"/>
          <w:lang w:eastAsia="zh-CN"/>
        </w:rPr>
      </w:pPr>
      <w:r>
        <w:rPr>
          <w:b/>
          <w:bCs/>
          <w:color w:val="auto"/>
          <w:sz w:val="32"/>
          <w:szCs w:val="32"/>
          <w:highlight w:val="none"/>
        </w:rPr>
        <w:t>项目名称：</w:t>
      </w:r>
      <w:r>
        <w:rPr>
          <w:b/>
          <w:bCs/>
          <w:color w:val="auto"/>
          <w:sz w:val="32"/>
          <w:szCs w:val="32"/>
          <w:highlight w:val="none"/>
          <w:lang w:eastAsia="zh-CN"/>
        </w:rPr>
        <w:t xml:space="preserve"> </w:t>
      </w:r>
    </w:p>
    <w:p>
      <w:pPr>
        <w:ind w:left="2520" w:leftChars="1200" w:firstLine="0" w:firstLineChars="0"/>
        <w:rPr>
          <w:rFonts w:hint="default"/>
          <w:b/>
          <w:bCs/>
          <w:color w:val="auto"/>
          <w:sz w:val="32"/>
          <w:szCs w:val="32"/>
          <w:highlight w:val="none"/>
        </w:rPr>
      </w:pPr>
      <w:r>
        <w:rPr>
          <w:b/>
          <w:bCs/>
          <w:color w:val="auto"/>
          <w:sz w:val="32"/>
          <w:szCs w:val="32"/>
          <w:highlight w:val="none"/>
        </w:rPr>
        <w:t>备案编号：</w:t>
      </w:r>
    </w:p>
    <w:p>
      <w:pPr>
        <w:ind w:left="2520" w:leftChars="1200" w:firstLine="0" w:firstLineChars="0"/>
        <w:rPr>
          <w:rFonts w:hint="default"/>
          <w:b/>
          <w:bCs/>
          <w:color w:val="auto"/>
          <w:sz w:val="32"/>
          <w:szCs w:val="32"/>
          <w:highlight w:val="none"/>
        </w:rPr>
      </w:pPr>
      <w:r>
        <w:rPr>
          <w:b/>
          <w:bCs/>
          <w:color w:val="auto"/>
          <w:sz w:val="32"/>
          <w:szCs w:val="32"/>
          <w:highlight w:val="none"/>
        </w:rPr>
        <w:t>项目编号：</w:t>
      </w:r>
    </w:p>
    <w:p>
      <w:pPr>
        <w:ind w:left="2520" w:leftChars="1200" w:firstLine="0" w:firstLineChars="0"/>
        <w:rPr>
          <w:rFonts w:hint="default"/>
          <w:b/>
          <w:bCs/>
          <w:color w:val="auto"/>
          <w:sz w:val="32"/>
          <w:szCs w:val="32"/>
          <w:highlight w:val="none"/>
        </w:rPr>
      </w:pPr>
      <w:r>
        <w:rPr>
          <w:b/>
          <w:bCs/>
          <w:color w:val="auto"/>
          <w:sz w:val="32"/>
          <w:szCs w:val="32"/>
          <w:highlight w:val="none"/>
        </w:rPr>
        <w:t>采购人：</w:t>
      </w:r>
    </w:p>
    <w:p>
      <w:pPr>
        <w:rPr>
          <w:rFonts w:hint="default"/>
          <w:b/>
          <w:bCs/>
          <w:color w:val="auto"/>
          <w:highlight w:val="none"/>
        </w:rPr>
      </w:pPr>
    </w:p>
    <w:p>
      <w:pPr>
        <w:jc w:val="center"/>
        <w:rPr>
          <w:rFonts w:hint="default"/>
          <w:b/>
          <w:bCs/>
          <w:color w:val="auto"/>
          <w:sz w:val="28"/>
          <w:szCs w:val="28"/>
          <w:highlight w:val="none"/>
        </w:rPr>
      </w:pPr>
      <w:r>
        <w:rPr>
          <w:b/>
          <w:bCs/>
          <w:color w:val="auto"/>
          <w:sz w:val="28"/>
          <w:szCs w:val="28"/>
          <w:highlight w:val="none"/>
        </w:rPr>
        <w:t>代理机构：</w:t>
      </w:r>
    </w:p>
    <w:p>
      <w:pPr>
        <w:jc w:val="center"/>
        <w:rPr>
          <w:rFonts w:hint="default"/>
          <w:b/>
          <w:bCs/>
          <w:color w:val="auto"/>
          <w:sz w:val="28"/>
          <w:szCs w:val="28"/>
          <w:highlight w:val="none"/>
        </w:rPr>
      </w:pPr>
      <w:r>
        <w:rPr>
          <w:b/>
          <w:bCs/>
          <w:color w:val="auto"/>
          <w:sz w:val="28"/>
          <w:szCs w:val="28"/>
          <w:highlight w:val="none"/>
        </w:rPr>
        <w:t>编制时间：</w:t>
      </w:r>
      <w:r>
        <w:rPr>
          <w:b/>
          <w:bCs/>
          <w:color w:val="auto"/>
          <w:sz w:val="28"/>
          <w:szCs w:val="28"/>
          <w:highlight w:val="none"/>
          <w:lang w:eastAsia="zh-CN"/>
        </w:rPr>
        <w:t xml:space="preserve">  </w:t>
      </w:r>
      <w:r>
        <w:rPr>
          <w:b/>
          <w:bCs/>
          <w:color w:val="auto"/>
          <w:sz w:val="28"/>
          <w:szCs w:val="28"/>
          <w:highlight w:val="none"/>
        </w:rPr>
        <w:t>年</w:t>
      </w:r>
      <w:r>
        <w:rPr>
          <w:b/>
          <w:bCs/>
          <w:color w:val="auto"/>
          <w:sz w:val="28"/>
          <w:szCs w:val="28"/>
          <w:highlight w:val="none"/>
          <w:lang w:eastAsia="zh-CN"/>
        </w:rPr>
        <w:t xml:space="preserve">  </w:t>
      </w:r>
      <w:r>
        <w:rPr>
          <w:b/>
          <w:bCs/>
          <w:color w:val="auto"/>
          <w:sz w:val="28"/>
          <w:szCs w:val="28"/>
          <w:highlight w:val="none"/>
        </w:rPr>
        <w:t>月</w:t>
      </w:r>
    </w:p>
    <w:p>
      <w:pPr>
        <w:pStyle w:val="23"/>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jc w:val="center"/>
        <w:rPr>
          <w:rFonts w:hint="eastAsia"/>
          <w:b/>
          <w:color w:val="auto"/>
          <w:sz w:val="36"/>
          <w:highlight w:val="none"/>
          <w:lang w:val="en-US" w:eastAsia="zh-CN"/>
        </w:rPr>
      </w:pPr>
      <w:r>
        <w:rPr>
          <w:rFonts w:hint="eastAsia"/>
          <w:b/>
          <w:color w:val="auto"/>
          <w:sz w:val="36"/>
          <w:highlight w:val="none"/>
          <w:lang w:val="en-US" w:eastAsia="zh-CN"/>
        </w:rPr>
        <w:t>目录</w:t>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TOC \o "1-3" \h \u </w:instrText>
      </w:r>
      <w:r>
        <w:rPr>
          <w:rFonts w:hint="eastAsia"/>
          <w:color w:val="auto"/>
          <w:highlight w:val="none"/>
          <w:lang w:val="en-US" w:eastAsia="zh-CN"/>
        </w:rPr>
        <w:fldChar w:fldCharType="separate"/>
      </w:r>
      <w:r>
        <w:rPr>
          <w:rFonts w:hint="eastAsia"/>
          <w:color w:val="auto"/>
          <w:highlight w:val="none"/>
          <w:lang w:val="en-US" w:eastAsia="zh-CN"/>
        </w:rPr>
        <w:fldChar w:fldCharType="begin"/>
      </w:r>
      <w:r>
        <w:rPr>
          <w:rFonts w:hint="eastAsia"/>
          <w:color w:val="auto"/>
          <w:highlight w:val="none"/>
          <w:lang w:val="en-US" w:eastAsia="zh-CN"/>
        </w:rPr>
        <w:instrText xml:space="preserve"> HYPERLINK \l _Toc28460 </w:instrText>
      </w:r>
      <w:r>
        <w:rPr>
          <w:rFonts w:hint="eastAsia"/>
          <w:color w:val="auto"/>
          <w:highlight w:val="none"/>
          <w:lang w:val="en-US" w:eastAsia="zh-CN"/>
        </w:rPr>
        <w:fldChar w:fldCharType="separate"/>
      </w:r>
      <w:r>
        <w:rPr>
          <w:color w:val="auto"/>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_Toc28460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lang w:val="en-US" w:eastAsia="zh-CN"/>
        </w:rPr>
        <w:fldChar w:fldCharType="end"/>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_Toc30877 </w:instrText>
      </w:r>
      <w:r>
        <w:rPr>
          <w:rFonts w:hint="eastAsia"/>
          <w:color w:val="auto"/>
          <w:highlight w:val="none"/>
          <w:lang w:val="en-US" w:eastAsia="zh-CN"/>
        </w:rPr>
        <w:fldChar w:fldCharType="separate"/>
      </w:r>
      <w:r>
        <w:rPr>
          <w:color w:val="auto"/>
          <w:highlight w:val="none"/>
        </w:rPr>
        <w:t>第二章 投标人须知前附表</w:t>
      </w:r>
      <w:r>
        <w:rPr>
          <w:color w:val="auto"/>
          <w:highlight w:val="none"/>
        </w:rPr>
        <w:tab/>
      </w:r>
      <w:r>
        <w:rPr>
          <w:color w:val="auto"/>
          <w:highlight w:val="none"/>
        </w:rPr>
        <w:fldChar w:fldCharType="begin"/>
      </w:r>
      <w:r>
        <w:rPr>
          <w:color w:val="auto"/>
          <w:highlight w:val="none"/>
        </w:rPr>
        <w:instrText xml:space="preserve"> PAGEREF _Toc30877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highlight w:val="none"/>
          <w:lang w:val="en-US" w:eastAsia="zh-CN"/>
        </w:rPr>
        <w:fldChar w:fldCharType="end"/>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_Toc5177 </w:instrText>
      </w:r>
      <w:r>
        <w:rPr>
          <w:rFonts w:hint="eastAsia"/>
          <w:color w:val="auto"/>
          <w:highlight w:val="none"/>
          <w:lang w:val="en-US" w:eastAsia="zh-CN"/>
        </w:rPr>
        <w:fldChar w:fldCharType="separate"/>
      </w:r>
      <w:r>
        <w:rPr>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_Toc5177 \h </w:instrText>
      </w:r>
      <w:r>
        <w:rPr>
          <w:color w:val="auto"/>
          <w:highlight w:val="none"/>
        </w:rPr>
        <w:fldChar w:fldCharType="separate"/>
      </w:r>
      <w:r>
        <w:rPr>
          <w:color w:val="auto"/>
          <w:highlight w:val="none"/>
        </w:rPr>
        <w:t>9</w:t>
      </w:r>
      <w:r>
        <w:rPr>
          <w:color w:val="auto"/>
          <w:highlight w:val="none"/>
        </w:rPr>
        <w:fldChar w:fldCharType="end"/>
      </w:r>
      <w:r>
        <w:rPr>
          <w:rFonts w:hint="eastAsia"/>
          <w:color w:val="auto"/>
          <w:highlight w:val="none"/>
          <w:lang w:val="en-US" w:eastAsia="zh-CN"/>
        </w:rPr>
        <w:fldChar w:fldCharType="end"/>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_Toc32268 </w:instrText>
      </w:r>
      <w:r>
        <w:rPr>
          <w:rFonts w:hint="eastAsia"/>
          <w:color w:val="auto"/>
          <w:highlight w:val="none"/>
          <w:lang w:val="en-US" w:eastAsia="zh-CN"/>
        </w:rPr>
        <w:fldChar w:fldCharType="separate"/>
      </w:r>
      <w:r>
        <w:rPr>
          <w:color w:val="auto"/>
          <w:highlight w:val="none"/>
        </w:rPr>
        <w:t>第四章 资格审查与评标</w:t>
      </w:r>
      <w:r>
        <w:rPr>
          <w:color w:val="auto"/>
          <w:highlight w:val="none"/>
        </w:rPr>
        <w:tab/>
      </w:r>
      <w:r>
        <w:rPr>
          <w:color w:val="auto"/>
          <w:highlight w:val="none"/>
        </w:rPr>
        <w:fldChar w:fldCharType="begin"/>
      </w:r>
      <w:r>
        <w:rPr>
          <w:color w:val="auto"/>
          <w:highlight w:val="none"/>
        </w:rPr>
        <w:instrText xml:space="preserve"> PAGEREF _Toc32268 \h </w:instrText>
      </w:r>
      <w:r>
        <w:rPr>
          <w:color w:val="auto"/>
          <w:highlight w:val="none"/>
        </w:rPr>
        <w:fldChar w:fldCharType="separate"/>
      </w:r>
      <w:r>
        <w:rPr>
          <w:color w:val="auto"/>
          <w:highlight w:val="none"/>
        </w:rPr>
        <w:t>19</w:t>
      </w:r>
      <w:r>
        <w:rPr>
          <w:color w:val="auto"/>
          <w:highlight w:val="none"/>
        </w:rPr>
        <w:fldChar w:fldCharType="end"/>
      </w:r>
      <w:r>
        <w:rPr>
          <w:rFonts w:hint="eastAsia"/>
          <w:color w:val="auto"/>
          <w:highlight w:val="none"/>
          <w:lang w:val="en-US" w:eastAsia="zh-CN"/>
        </w:rPr>
        <w:fldChar w:fldCharType="end"/>
      </w:r>
    </w:p>
    <w:p>
      <w:pPr>
        <w:pStyle w:val="12"/>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_Toc7507 </w:instrText>
      </w:r>
      <w:r>
        <w:rPr>
          <w:rFonts w:hint="eastAsia"/>
          <w:color w:val="auto"/>
          <w:highlight w:val="none"/>
          <w:lang w:val="en-US" w:eastAsia="zh-CN"/>
        </w:rPr>
        <w:fldChar w:fldCharType="separate"/>
      </w:r>
      <w:r>
        <w:rPr>
          <w:color w:val="auto"/>
          <w:highlight w:val="none"/>
        </w:rPr>
        <w:t>一、资格审查</w:t>
      </w:r>
      <w:r>
        <w:rPr>
          <w:color w:val="auto"/>
          <w:highlight w:val="none"/>
        </w:rPr>
        <w:tab/>
      </w:r>
      <w:r>
        <w:rPr>
          <w:color w:val="auto"/>
          <w:highlight w:val="none"/>
        </w:rPr>
        <w:fldChar w:fldCharType="begin"/>
      </w:r>
      <w:r>
        <w:rPr>
          <w:color w:val="auto"/>
          <w:highlight w:val="none"/>
        </w:rPr>
        <w:instrText xml:space="preserve"> PAGEREF _Toc7507 \h </w:instrText>
      </w:r>
      <w:r>
        <w:rPr>
          <w:color w:val="auto"/>
          <w:highlight w:val="none"/>
        </w:rPr>
        <w:fldChar w:fldCharType="separate"/>
      </w:r>
      <w:r>
        <w:rPr>
          <w:color w:val="auto"/>
          <w:highlight w:val="none"/>
        </w:rPr>
        <w:t>19</w:t>
      </w:r>
      <w:r>
        <w:rPr>
          <w:color w:val="auto"/>
          <w:highlight w:val="none"/>
        </w:rPr>
        <w:fldChar w:fldCharType="end"/>
      </w:r>
      <w:r>
        <w:rPr>
          <w:rFonts w:hint="eastAsia"/>
          <w:color w:val="auto"/>
          <w:highlight w:val="none"/>
          <w:lang w:val="en-US" w:eastAsia="zh-CN"/>
        </w:rPr>
        <w:fldChar w:fldCharType="end"/>
      </w:r>
    </w:p>
    <w:p>
      <w:pPr>
        <w:pStyle w:val="12"/>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_Toc12586 </w:instrText>
      </w:r>
      <w:r>
        <w:rPr>
          <w:rFonts w:hint="eastAsia"/>
          <w:color w:val="auto"/>
          <w:highlight w:val="none"/>
          <w:lang w:val="en-US" w:eastAsia="zh-CN"/>
        </w:rPr>
        <w:fldChar w:fldCharType="separate"/>
      </w:r>
      <w:r>
        <w:rPr>
          <w:color w:val="auto"/>
          <w:highlight w:val="none"/>
        </w:rPr>
        <w:t>二、评标</w:t>
      </w:r>
      <w:r>
        <w:rPr>
          <w:color w:val="auto"/>
          <w:highlight w:val="none"/>
        </w:rPr>
        <w:tab/>
      </w:r>
      <w:r>
        <w:rPr>
          <w:color w:val="auto"/>
          <w:highlight w:val="none"/>
        </w:rPr>
        <w:fldChar w:fldCharType="begin"/>
      </w:r>
      <w:r>
        <w:rPr>
          <w:color w:val="auto"/>
          <w:highlight w:val="none"/>
        </w:rPr>
        <w:instrText xml:space="preserve"> PAGEREF _Toc12586 \h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highlight w:val="none"/>
          <w:lang w:val="en-US" w:eastAsia="zh-CN"/>
        </w:rPr>
        <w:fldChar w:fldCharType="end"/>
      </w:r>
    </w:p>
    <w:p>
      <w:pPr>
        <w:pStyle w:val="17"/>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_Toc18640 </w:instrText>
      </w:r>
      <w:r>
        <w:rPr>
          <w:rFonts w:hint="eastAsia"/>
          <w:color w:val="auto"/>
          <w:highlight w:val="none"/>
          <w:lang w:val="en-US" w:eastAsia="zh-CN"/>
        </w:rPr>
        <w:fldChar w:fldCharType="separate"/>
      </w:r>
      <w:r>
        <w:rPr>
          <w:color w:val="auto"/>
          <w:highlight w:val="none"/>
        </w:rPr>
        <w:t>价格项（F1×A1）满分为</w:t>
      </w:r>
      <w:r>
        <w:rPr>
          <w:color w:val="auto"/>
          <w:highlight w:val="none"/>
          <w:lang w:eastAsia="zh-CN"/>
        </w:rPr>
        <w:t xml:space="preserve"> </w:t>
      </w:r>
      <w:r>
        <w:rPr>
          <w:rFonts w:hint="eastAsia"/>
          <w:color w:val="auto"/>
          <w:highlight w:val="none"/>
          <w:lang w:val="en-US" w:eastAsia="zh-CN"/>
        </w:rPr>
        <w:t>30</w:t>
      </w:r>
      <w:r>
        <w:rPr>
          <w:color w:val="auto"/>
          <w:highlight w:val="none"/>
          <w:lang w:eastAsia="zh-CN"/>
        </w:rPr>
        <w:t xml:space="preserve"> </w:t>
      </w:r>
      <w:r>
        <w:rPr>
          <w:color w:val="auto"/>
          <w:highlight w:val="none"/>
        </w:rPr>
        <w:t>分</w:t>
      </w:r>
      <w:r>
        <w:rPr>
          <w:color w:val="auto"/>
          <w:highlight w:val="none"/>
        </w:rPr>
        <w:tab/>
      </w:r>
      <w:r>
        <w:rPr>
          <w:color w:val="auto"/>
          <w:highlight w:val="none"/>
        </w:rPr>
        <w:fldChar w:fldCharType="begin"/>
      </w:r>
      <w:r>
        <w:rPr>
          <w:color w:val="auto"/>
          <w:highlight w:val="none"/>
        </w:rPr>
        <w:instrText xml:space="preserve"> PAGEREF _Toc18640 \h </w:instrText>
      </w:r>
      <w:r>
        <w:rPr>
          <w:color w:val="auto"/>
          <w:highlight w:val="none"/>
        </w:rPr>
        <w:fldChar w:fldCharType="separate"/>
      </w:r>
      <w:r>
        <w:rPr>
          <w:color w:val="auto"/>
          <w:highlight w:val="none"/>
        </w:rPr>
        <w:t>25</w:t>
      </w:r>
      <w:r>
        <w:rPr>
          <w:color w:val="auto"/>
          <w:highlight w:val="none"/>
        </w:rPr>
        <w:fldChar w:fldCharType="end"/>
      </w:r>
      <w:r>
        <w:rPr>
          <w:rFonts w:hint="eastAsia"/>
          <w:color w:val="auto"/>
          <w:highlight w:val="none"/>
          <w:lang w:val="en-US" w:eastAsia="zh-CN"/>
        </w:rPr>
        <w:fldChar w:fldCharType="end"/>
      </w:r>
    </w:p>
    <w:p>
      <w:pPr>
        <w:pStyle w:val="17"/>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_Toc20430 </w:instrText>
      </w:r>
      <w:r>
        <w:rPr>
          <w:rFonts w:hint="eastAsia"/>
          <w:color w:val="auto"/>
          <w:highlight w:val="none"/>
          <w:lang w:val="en-US" w:eastAsia="zh-CN"/>
        </w:rPr>
        <w:fldChar w:fldCharType="separate"/>
      </w:r>
      <w:r>
        <w:rPr>
          <w:color w:val="auto"/>
          <w:highlight w:val="none"/>
        </w:rPr>
        <w:t>技术项（F2×A2）满分为</w:t>
      </w:r>
      <w:r>
        <w:rPr>
          <w:color w:val="auto"/>
          <w:highlight w:val="none"/>
          <w:lang w:eastAsia="zh-CN"/>
        </w:rPr>
        <w:t xml:space="preserve">  60   </w:t>
      </w:r>
      <w:r>
        <w:rPr>
          <w:color w:val="auto"/>
          <w:highlight w:val="none"/>
        </w:rPr>
        <w:t>分</w:t>
      </w:r>
      <w:r>
        <w:rPr>
          <w:color w:val="auto"/>
          <w:highlight w:val="none"/>
        </w:rPr>
        <w:tab/>
      </w:r>
      <w:r>
        <w:rPr>
          <w:color w:val="auto"/>
          <w:highlight w:val="none"/>
        </w:rPr>
        <w:fldChar w:fldCharType="begin"/>
      </w:r>
      <w:r>
        <w:rPr>
          <w:color w:val="auto"/>
          <w:highlight w:val="none"/>
        </w:rPr>
        <w:instrText xml:space="preserve"> PAGEREF _Toc20430 \h </w:instrText>
      </w:r>
      <w:r>
        <w:rPr>
          <w:color w:val="auto"/>
          <w:highlight w:val="none"/>
        </w:rPr>
        <w:fldChar w:fldCharType="separate"/>
      </w:r>
      <w:r>
        <w:rPr>
          <w:color w:val="auto"/>
          <w:highlight w:val="none"/>
        </w:rPr>
        <w:t>25</w:t>
      </w:r>
      <w:r>
        <w:rPr>
          <w:color w:val="auto"/>
          <w:highlight w:val="none"/>
        </w:rPr>
        <w:fldChar w:fldCharType="end"/>
      </w:r>
      <w:r>
        <w:rPr>
          <w:rFonts w:hint="eastAsia"/>
          <w:color w:val="auto"/>
          <w:highlight w:val="none"/>
          <w:lang w:val="en-US" w:eastAsia="zh-CN"/>
        </w:rPr>
        <w:fldChar w:fldCharType="end"/>
      </w:r>
    </w:p>
    <w:p>
      <w:pPr>
        <w:pStyle w:val="17"/>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_Toc15031 </w:instrText>
      </w:r>
      <w:r>
        <w:rPr>
          <w:rFonts w:hint="eastAsia"/>
          <w:color w:val="auto"/>
          <w:highlight w:val="none"/>
          <w:lang w:val="en-US" w:eastAsia="zh-CN"/>
        </w:rPr>
        <w:fldChar w:fldCharType="separate"/>
      </w:r>
      <w:r>
        <w:rPr>
          <w:color w:val="auto"/>
          <w:highlight w:val="none"/>
        </w:rPr>
        <w:t>商务项（F3×A3）满分为</w:t>
      </w:r>
      <w:r>
        <w:rPr>
          <w:color w:val="auto"/>
          <w:highlight w:val="none"/>
          <w:lang w:eastAsia="zh-CN"/>
        </w:rPr>
        <w:t xml:space="preserve"> 10  </w:t>
      </w:r>
      <w:r>
        <w:rPr>
          <w:color w:val="auto"/>
          <w:highlight w:val="none"/>
        </w:rPr>
        <w:t>分</w:t>
      </w:r>
      <w:r>
        <w:rPr>
          <w:color w:val="auto"/>
          <w:highlight w:val="none"/>
        </w:rPr>
        <w:tab/>
      </w:r>
      <w:r>
        <w:rPr>
          <w:color w:val="auto"/>
          <w:highlight w:val="none"/>
        </w:rPr>
        <w:fldChar w:fldCharType="begin"/>
      </w:r>
      <w:r>
        <w:rPr>
          <w:color w:val="auto"/>
          <w:highlight w:val="none"/>
        </w:rPr>
        <w:instrText xml:space="preserve"> PAGEREF _Toc15031 \h </w:instrText>
      </w:r>
      <w:r>
        <w:rPr>
          <w:color w:val="auto"/>
          <w:highlight w:val="none"/>
        </w:rPr>
        <w:fldChar w:fldCharType="separate"/>
      </w:r>
      <w:r>
        <w:rPr>
          <w:color w:val="auto"/>
          <w:highlight w:val="none"/>
        </w:rPr>
        <w:t>29</w:t>
      </w:r>
      <w:r>
        <w:rPr>
          <w:color w:val="auto"/>
          <w:highlight w:val="none"/>
        </w:rPr>
        <w:fldChar w:fldCharType="end"/>
      </w:r>
      <w:r>
        <w:rPr>
          <w:rFonts w:hint="eastAsia"/>
          <w:color w:val="auto"/>
          <w:highlight w:val="none"/>
          <w:lang w:val="en-US" w:eastAsia="zh-CN"/>
        </w:rPr>
        <w:fldChar w:fldCharType="end"/>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_Toc32064 </w:instrText>
      </w:r>
      <w:r>
        <w:rPr>
          <w:rFonts w:hint="eastAsia"/>
          <w:color w:val="auto"/>
          <w:highlight w:val="none"/>
          <w:lang w:val="en-US" w:eastAsia="zh-CN"/>
        </w:rPr>
        <w:fldChar w:fldCharType="separate"/>
      </w:r>
      <w:r>
        <w:rPr>
          <w:color w:val="auto"/>
          <w:highlight w:val="none"/>
        </w:rPr>
        <w:t>第五章 招标内容及要求</w:t>
      </w:r>
      <w:r>
        <w:rPr>
          <w:color w:val="auto"/>
          <w:highlight w:val="none"/>
        </w:rPr>
        <w:tab/>
      </w:r>
      <w:r>
        <w:rPr>
          <w:color w:val="auto"/>
          <w:highlight w:val="none"/>
        </w:rPr>
        <w:fldChar w:fldCharType="begin"/>
      </w:r>
      <w:r>
        <w:rPr>
          <w:color w:val="auto"/>
          <w:highlight w:val="none"/>
        </w:rPr>
        <w:instrText xml:space="preserve"> PAGEREF _Toc32064 \h </w:instrText>
      </w:r>
      <w:r>
        <w:rPr>
          <w:color w:val="auto"/>
          <w:highlight w:val="none"/>
        </w:rPr>
        <w:fldChar w:fldCharType="separate"/>
      </w:r>
      <w:r>
        <w:rPr>
          <w:color w:val="auto"/>
          <w:highlight w:val="none"/>
        </w:rPr>
        <w:t>31</w:t>
      </w:r>
      <w:r>
        <w:rPr>
          <w:color w:val="auto"/>
          <w:highlight w:val="none"/>
        </w:rPr>
        <w:fldChar w:fldCharType="end"/>
      </w:r>
      <w:r>
        <w:rPr>
          <w:rFonts w:hint="eastAsia"/>
          <w:color w:val="auto"/>
          <w:highlight w:val="none"/>
          <w:lang w:val="en-US" w:eastAsia="zh-CN"/>
        </w:rPr>
        <w:fldChar w:fldCharType="end"/>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_Toc25353 </w:instrText>
      </w:r>
      <w:r>
        <w:rPr>
          <w:rFonts w:hint="eastAsia"/>
          <w:color w:val="auto"/>
          <w:highlight w:val="none"/>
          <w:lang w:val="en-US" w:eastAsia="zh-CN"/>
        </w:rPr>
        <w:fldChar w:fldCharType="separate"/>
      </w:r>
      <w:r>
        <w:rPr>
          <w:color w:val="auto"/>
          <w:highlight w:val="none"/>
        </w:rPr>
        <w:t>第六章 政府采购合同</w:t>
      </w:r>
      <w:r>
        <w:rPr>
          <w:color w:val="auto"/>
          <w:highlight w:val="none"/>
        </w:rPr>
        <w:tab/>
      </w:r>
      <w:r>
        <w:rPr>
          <w:color w:val="auto"/>
          <w:highlight w:val="none"/>
        </w:rPr>
        <w:fldChar w:fldCharType="begin"/>
      </w:r>
      <w:r>
        <w:rPr>
          <w:color w:val="auto"/>
          <w:highlight w:val="none"/>
        </w:rPr>
        <w:instrText xml:space="preserve"> PAGEREF _Toc25353 \h </w:instrText>
      </w:r>
      <w:r>
        <w:rPr>
          <w:color w:val="auto"/>
          <w:highlight w:val="none"/>
        </w:rPr>
        <w:fldChar w:fldCharType="separate"/>
      </w:r>
      <w:r>
        <w:rPr>
          <w:color w:val="auto"/>
          <w:highlight w:val="none"/>
        </w:rPr>
        <w:t>81</w:t>
      </w:r>
      <w:r>
        <w:rPr>
          <w:color w:val="auto"/>
          <w:highlight w:val="none"/>
        </w:rPr>
        <w:fldChar w:fldCharType="end"/>
      </w:r>
      <w:r>
        <w:rPr>
          <w:rFonts w:hint="eastAsia"/>
          <w:color w:val="auto"/>
          <w:highlight w:val="none"/>
          <w:lang w:val="en-US" w:eastAsia="zh-CN"/>
        </w:rPr>
        <w:fldChar w:fldCharType="end"/>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_Toc17394 </w:instrText>
      </w:r>
      <w:r>
        <w:rPr>
          <w:rFonts w:hint="eastAsia"/>
          <w:color w:val="auto"/>
          <w:highlight w:val="none"/>
          <w:lang w:val="en-US" w:eastAsia="zh-CN"/>
        </w:rPr>
        <w:fldChar w:fldCharType="separate"/>
      </w:r>
      <w:r>
        <w:rPr>
          <w:color w:val="auto"/>
          <w:highlight w:val="none"/>
        </w:rPr>
        <w:t>第七章 电子投标文件格式</w:t>
      </w:r>
      <w:r>
        <w:rPr>
          <w:color w:val="auto"/>
          <w:highlight w:val="none"/>
        </w:rPr>
        <w:tab/>
      </w:r>
      <w:r>
        <w:rPr>
          <w:color w:val="auto"/>
          <w:highlight w:val="none"/>
        </w:rPr>
        <w:fldChar w:fldCharType="begin"/>
      </w:r>
      <w:r>
        <w:rPr>
          <w:color w:val="auto"/>
          <w:highlight w:val="none"/>
        </w:rPr>
        <w:instrText xml:space="preserve"> PAGEREF _Toc17394 \h </w:instrText>
      </w:r>
      <w:r>
        <w:rPr>
          <w:color w:val="auto"/>
          <w:highlight w:val="none"/>
        </w:rPr>
        <w:fldChar w:fldCharType="separate"/>
      </w:r>
      <w:r>
        <w:rPr>
          <w:color w:val="auto"/>
          <w:highlight w:val="none"/>
        </w:rPr>
        <w:t>92</w:t>
      </w:r>
      <w:r>
        <w:rPr>
          <w:color w:val="auto"/>
          <w:highlight w:val="none"/>
        </w:rPr>
        <w:fldChar w:fldCharType="end"/>
      </w:r>
      <w:r>
        <w:rPr>
          <w:rFonts w:hint="eastAsia"/>
          <w:color w:val="auto"/>
          <w:highlight w:val="none"/>
          <w:lang w:val="en-US" w:eastAsia="zh-CN"/>
        </w:rPr>
        <w:fldChar w:fldCharType="end"/>
      </w:r>
    </w:p>
    <w:p>
      <w:pPr>
        <w:pStyle w:val="2"/>
        <w:rPr>
          <w:b/>
          <w:color w:val="auto"/>
          <w:sz w:val="36"/>
          <w:highlight w:val="none"/>
        </w:rPr>
      </w:pPr>
      <w:r>
        <w:rPr>
          <w:rFonts w:hint="eastAsia"/>
          <w:color w:val="auto"/>
          <w:highlight w:val="none"/>
          <w:lang w:val="en-US" w:eastAsia="zh-CN"/>
        </w:rPr>
        <w:fldChar w:fldCharType="end"/>
      </w:r>
      <w:r>
        <w:rPr>
          <w:b/>
          <w:color w:val="auto"/>
          <w:sz w:val="36"/>
          <w:highlight w:val="none"/>
        </w:rPr>
        <w:br w:type="page"/>
      </w:r>
    </w:p>
    <w:p>
      <w:pPr>
        <w:pStyle w:val="3"/>
        <w:bidi w:val="0"/>
        <w:rPr>
          <w:rFonts w:hint="default"/>
          <w:color w:val="auto"/>
          <w:highlight w:val="none"/>
        </w:rPr>
      </w:pPr>
      <w:bookmarkStart w:id="0" w:name="_Toc28460"/>
      <w:r>
        <w:rPr>
          <w:color w:val="auto"/>
          <w:highlight w:val="none"/>
        </w:rPr>
        <w:t>第一章 投标邀请</w:t>
      </w:r>
      <w:bookmarkEnd w:id="0"/>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u w:val="single"/>
          <w:lang w:eastAsia="zh-CN"/>
        </w:rPr>
        <w:t xml:space="preserve">         </w:t>
      </w:r>
      <w:r>
        <w:rPr>
          <w:color w:val="auto"/>
          <w:highlight w:val="none"/>
        </w:rPr>
        <w:t xml:space="preserve"> 采用公开招标方式组织</w:t>
      </w:r>
      <w:r>
        <w:rPr>
          <w:color w:val="auto"/>
          <w:highlight w:val="none"/>
          <w:u w:val="single"/>
          <w:lang w:eastAsia="zh-CN"/>
        </w:rPr>
        <w:t xml:space="preserve">        </w:t>
      </w:r>
      <w:r>
        <w:rPr>
          <w:color w:val="auto"/>
          <w:highlight w:val="none"/>
        </w:rPr>
        <w:t xml:space="preserve"> （以下简称：“本项目”）的政府采购活动，现邀请供应商参加投标。</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lang w:eastAsia="zh-CN"/>
        </w:rPr>
      </w:pPr>
      <w:r>
        <w:rPr>
          <w:b/>
          <w:color w:val="auto"/>
          <w:sz w:val="28"/>
          <w:highlight w:val="none"/>
        </w:rPr>
        <w:t>1、备案编号：</w:t>
      </w:r>
      <w:r>
        <w:rPr>
          <w:b/>
          <w:color w:val="auto"/>
          <w:sz w:val="28"/>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lang w:eastAsia="zh-CN"/>
        </w:rPr>
      </w:pPr>
      <w:r>
        <w:rPr>
          <w:b/>
          <w:color w:val="auto"/>
          <w:sz w:val="28"/>
          <w:highlight w:val="none"/>
        </w:rPr>
        <w:t>2、项目编号：</w:t>
      </w:r>
      <w:r>
        <w:rPr>
          <w:b/>
          <w:color w:val="auto"/>
          <w:sz w:val="28"/>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3、预算金额、最高限价：详见《采购标的一览表》。</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rPr>
      </w:pPr>
      <w:r>
        <w:rPr>
          <w:b/>
          <w:color w:val="auto"/>
          <w:sz w:val="28"/>
          <w:highlight w:val="none"/>
        </w:rPr>
        <w:t>4、招标内容及要求：详见《采购标的一览表》及招标文件第五章。</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rPr>
      </w:pPr>
      <w:r>
        <w:rPr>
          <w:b/>
          <w:color w:val="auto"/>
          <w:sz w:val="28"/>
          <w:highlight w:val="none"/>
        </w:rPr>
        <w:t>5、需要落实的政府采购政策</w:t>
      </w:r>
    </w:p>
    <w:p>
      <w:pPr>
        <w:pStyle w:val="23"/>
        <w:keepNext w:val="0"/>
        <w:keepLines w:val="0"/>
        <w:pageBreakBefore w:val="0"/>
        <w:widowControl/>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进口产品：不允许进口产品参加本项目的采购活动</w:t>
      </w:r>
    </w:p>
    <w:p>
      <w:pPr>
        <w:pStyle w:val="23"/>
        <w:keepNext w:val="0"/>
        <w:keepLines w:val="0"/>
        <w:pageBreakBefore w:val="0"/>
        <w:widowControl/>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节能产品：按照《关于调整优化节能产品、环境标志产品政府采购执行机制的通知》（财库〔2019〕9号）以及最新的《节能产品政府采购品目清单》的规定执行</w:t>
      </w:r>
    </w:p>
    <w:p>
      <w:pPr>
        <w:pStyle w:val="23"/>
        <w:keepNext w:val="0"/>
        <w:keepLines w:val="0"/>
        <w:pageBreakBefore w:val="0"/>
        <w:widowControl/>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环境标志产品：按照《关于调整优化节能产品、环境标志产品政府采购执行机制的通知》（财库〔2019〕9号）以及最新的《环境标志产品政府采购品目清单》的规定执行</w:t>
      </w:r>
    </w:p>
    <w:p>
      <w:pPr>
        <w:pStyle w:val="23"/>
        <w:keepNext w:val="0"/>
        <w:keepLines w:val="0"/>
        <w:pageBreakBefore w:val="0"/>
        <w:widowControl/>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促进中小企业发展的相关政策：</w:t>
      </w:r>
    </w:p>
    <w:p>
      <w:pPr>
        <w:pStyle w:val="23"/>
        <w:keepNext w:val="0"/>
        <w:keepLines w:val="0"/>
        <w:pageBreakBefore w:val="0"/>
        <w:widowControl/>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采购包1：不专门面向中小企业采购</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6、投标人的资格要求</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6.1法定条件：符合政府采购法第二十二条第一款规定的条件。</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6.2特定条件：</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采购包1：</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5"/>
        <w:gridCol w:w="65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资格审查要求概况</w:t>
            </w:r>
          </w:p>
        </w:tc>
        <w:tc>
          <w:tcPr>
            <w:tcW w:w="6581"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信用记录查询结果增补内容</w:t>
            </w:r>
          </w:p>
        </w:tc>
        <w:tc>
          <w:tcPr>
            <w:tcW w:w="6581"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在一般资格证明文件中关于“信用记录查询结果”要求的基础上，对于厦门市政府采购项目，还应符合《关于进一步规范供应商信用记录查询使用的通知》（厦财采〔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“信用承诺制”要求</w:t>
            </w:r>
          </w:p>
        </w:tc>
        <w:tc>
          <w:tcPr>
            <w:tcW w:w="6581"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本项目允许采用“信用承诺制”，根据《厦门市财政局关于进一步减轻供应商参与政府采购活动成本负担的通知》（厦财采〔2021〕5号）规定，投标人提供“资格承诺函”的即可参加采购活动，在投标文件中无需再提供财务状况报告、依法缴纳税收和社会保障资金的相关证明材料。投标人应当遵循诚实信用原则，不得作虚假承诺。投标人承诺不实的，属于提供虚假材料谋取中标，应依法承担相应的法律责任。</w:t>
            </w:r>
          </w:p>
        </w:tc>
      </w:tr>
    </w:tbl>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6.3是否接受联合体投标：</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采购包1：不接受</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highlight w:val="none"/>
        </w:rPr>
        <w:t>※根据上述资格要求，电子投标文件中应提交的“投标人的资格及资信证明文件”详见招标文件第四章。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7、招标文件的获取</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7.1、招标文件获取期限：详见招标公告或更正公告，若不一致，以更正公告为准。</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7.3、获取地点及方式：注册账号后，通过福建省政府采购网上公开信息系统以下载方式获取。</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7.4、招标文件售价：0元。</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8、投标截止</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8.1、投标截止时间：详见招标公告或更正公告，若不一致，以更正公告为准。</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9、开标时间及地点</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详见招标公告或更正公告，若不一致，以更正公告为准。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10、公告期限</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10.1、招标公告的公告期限：自财政部和福建省财政厅指定的政府采购信息发布媒体最先发布公告之日起5个工作日。</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10.2、招标文件公告期限：招标文件随同招标公告一并发布，其公告期限与招标公告的公告期限保持一致。</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lang w:eastAsia="zh-CN"/>
        </w:rPr>
      </w:pPr>
      <w:r>
        <w:rPr>
          <w:b/>
          <w:color w:val="auto"/>
          <w:sz w:val="28"/>
          <w:highlight w:val="none"/>
        </w:rPr>
        <w:t>11、采购人：</w:t>
      </w:r>
      <w:r>
        <w:rPr>
          <w:b/>
          <w:color w:val="auto"/>
          <w:sz w:val="28"/>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 xml:space="preserve"> 地址： </w:t>
      </w:r>
      <w:r>
        <w:rPr>
          <w:color w:val="auto"/>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 xml:space="preserve"> 邮编： </w:t>
      </w:r>
      <w:r>
        <w:rPr>
          <w:color w:val="auto"/>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 xml:space="preserve"> 联系人： </w:t>
      </w:r>
      <w:r>
        <w:rPr>
          <w:color w:val="auto"/>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 xml:space="preserve"> 联系电话：</w:t>
      </w:r>
      <w:r>
        <w:rPr>
          <w:color w:val="auto"/>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lang w:eastAsia="zh-CN"/>
        </w:rPr>
      </w:pPr>
      <w:r>
        <w:rPr>
          <w:b/>
          <w:color w:val="auto"/>
          <w:sz w:val="28"/>
          <w:highlight w:val="none"/>
        </w:rPr>
        <w:t>12、代理机构：</w:t>
      </w:r>
      <w:r>
        <w:rPr>
          <w:b/>
          <w:color w:val="auto"/>
          <w:sz w:val="28"/>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ind w:firstLine="220"/>
        <w:jc w:val="both"/>
        <w:textAlignment w:val="auto"/>
        <w:outlineLvl w:val="9"/>
        <w:rPr>
          <w:rFonts w:hint="default"/>
          <w:color w:val="auto"/>
          <w:highlight w:val="none"/>
        </w:rPr>
      </w:pPr>
      <w:r>
        <w:rPr>
          <w:color w:val="auto"/>
          <w:highlight w:val="none"/>
        </w:rPr>
        <w:t xml:space="preserve"> 地址： </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color w:val="auto"/>
          <w:highlight w:val="none"/>
        </w:rPr>
        <w:t xml:space="preserve"> 邮编：</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color w:val="auto"/>
          <w:highlight w:val="none"/>
          <w:lang w:eastAsia="zh-CN"/>
        </w:rPr>
        <w:t xml:space="preserve"> </w:t>
      </w:r>
      <w:r>
        <w:rPr>
          <w:color w:val="auto"/>
          <w:highlight w:val="none"/>
        </w:rPr>
        <w:t xml:space="preserve">联系人： </w:t>
      </w:r>
      <w:r>
        <w:rPr>
          <w:color w:val="auto"/>
          <w:highlight w:val="none"/>
          <w:lang w:eastAsia="zh-CN"/>
        </w:rPr>
        <w:t xml:space="preserve"> </w:t>
      </w:r>
      <w:r>
        <w:rPr>
          <w:color w:val="auto"/>
          <w:highlight w:val="none"/>
        </w:rPr>
        <w:t xml:space="preserve"> </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lang w:eastAsia="zh-CN"/>
        </w:rPr>
      </w:pPr>
      <w:r>
        <w:rPr>
          <w:color w:val="auto"/>
          <w:highlight w:val="none"/>
        </w:rPr>
        <w:t>联系电话：</w:t>
      </w:r>
      <w:r>
        <w:rPr>
          <w:color w:val="auto"/>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附1：账户信息</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投标保证金账户</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开户名称：</w:t>
            </w:r>
            <w:r>
              <w:rPr>
                <w:color w:val="auto"/>
                <w:highlight w:val="none"/>
                <w:lang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1、投标人应认真核对账户信息，将投标保证金汇入以上账户，并自行承担因汇错投标保证金而产生的一切后果。</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2、投标人在转账或电汇的凭证上应按照以下格式注明，以便核对：“（项目编号：***）的投标保证金”。</w:t>
            </w:r>
          </w:p>
        </w:tc>
      </w:tr>
    </w:tbl>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附2：采购标的一览表</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采购包1：</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采购包预算金额（元）:</w:t>
      </w:r>
      <w:r>
        <w:rPr>
          <w:color w:val="auto"/>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采购包最高限价（元）:</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采购包保证金金额（元）:</w:t>
      </w:r>
      <w:r>
        <w:rPr>
          <w:color w:val="auto"/>
          <w:highlight w:val="none"/>
          <w:lang w:eastAsia="zh-CN"/>
        </w:rPr>
        <w:t xml:space="preserve"> </w:t>
      </w:r>
    </w:p>
    <w:tbl>
      <w:tblPr>
        <w:tblStyle w:val="1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序号</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标的名称</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数量</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标的金额 （元）</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计量单位</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所属行业</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金湖路和安宅路小型消防站</w:t>
            </w:r>
          </w:p>
        </w:tc>
        <w:tc>
          <w:tcPr>
            <w:tcW w:w="1187" w:type="dxa"/>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r>
              <w:rPr>
                <w:color w:val="auto"/>
                <w:highlight w:val="none"/>
                <w:lang w:eastAsia="zh-CN"/>
              </w:rPr>
              <w:t>1.00</w:t>
            </w:r>
          </w:p>
        </w:tc>
        <w:tc>
          <w:tcPr>
            <w:tcW w:w="1187" w:type="dxa"/>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r>
              <w:rPr>
                <w:color w:val="auto"/>
                <w:highlight w:val="none"/>
                <w:lang w:eastAsia="zh-CN"/>
              </w:rPr>
              <w:t>8170000.00</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项</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工业</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否</w:t>
            </w:r>
          </w:p>
        </w:tc>
      </w:tr>
    </w:tbl>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采购包1：</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（1）报价要求：</w:t>
      </w:r>
    </w:p>
    <w:tbl>
      <w:tblPr>
        <w:tblStyle w:val="19"/>
        <w:tblW w:w="83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序号</w:t>
            </w:r>
          </w:p>
        </w:tc>
        <w:tc>
          <w:tcPr>
            <w:tcW w:w="304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报价内容</w:t>
            </w:r>
          </w:p>
        </w:tc>
        <w:tc>
          <w:tcPr>
            <w:tcW w:w="55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计量单位</w:t>
            </w:r>
          </w:p>
        </w:tc>
        <w:tc>
          <w:tcPr>
            <w:tcW w:w="55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报价单位</w:t>
            </w:r>
          </w:p>
        </w:tc>
        <w:tc>
          <w:tcPr>
            <w:tcW w:w="138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最高限价</w:t>
            </w:r>
          </w:p>
        </w:tc>
        <w:tc>
          <w:tcPr>
            <w:tcW w:w="138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价款形式</w:t>
            </w:r>
          </w:p>
        </w:tc>
        <w:tc>
          <w:tcPr>
            <w:tcW w:w="1038"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304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lang w:eastAsia="zh-CN"/>
              </w:rPr>
              <w:t>金湖路和安宅路小型消防站</w:t>
            </w:r>
          </w:p>
        </w:tc>
        <w:tc>
          <w:tcPr>
            <w:tcW w:w="55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项</w:t>
            </w:r>
          </w:p>
        </w:tc>
        <w:tc>
          <w:tcPr>
            <w:tcW w:w="55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元</w:t>
            </w:r>
          </w:p>
        </w:tc>
        <w:tc>
          <w:tcPr>
            <w:tcW w:w="1384" w:type="dxa"/>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r>
              <w:rPr>
                <w:color w:val="auto"/>
                <w:highlight w:val="none"/>
                <w:lang w:eastAsia="zh-CN"/>
              </w:rPr>
              <w:t>8170000.00</w:t>
            </w:r>
          </w:p>
        </w:tc>
        <w:tc>
          <w:tcPr>
            <w:tcW w:w="138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总价</w:t>
            </w:r>
          </w:p>
        </w:tc>
        <w:tc>
          <w:tcPr>
            <w:tcW w:w="1038"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无</w:t>
            </w:r>
          </w:p>
        </w:tc>
      </w:tr>
    </w:tbl>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（2）报价明细要求：</w:t>
      </w:r>
    </w:p>
    <w:tbl>
      <w:tblPr>
        <w:tblStyle w:val="19"/>
        <w:tblW w:w="852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964"/>
        <w:gridCol w:w="1145"/>
        <w:gridCol w:w="850"/>
        <w:gridCol w:w="978"/>
        <w:gridCol w:w="1179"/>
        <w:gridCol w:w="803"/>
        <w:gridCol w:w="1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序号</w:t>
            </w:r>
          </w:p>
        </w:tc>
        <w:tc>
          <w:tcPr>
            <w:tcW w:w="196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报价明细内容</w:t>
            </w:r>
          </w:p>
        </w:tc>
        <w:tc>
          <w:tcPr>
            <w:tcW w:w="114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报价要求</w:t>
            </w:r>
          </w:p>
        </w:tc>
        <w:tc>
          <w:tcPr>
            <w:tcW w:w="85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计量单位</w:t>
            </w:r>
          </w:p>
        </w:tc>
        <w:tc>
          <w:tcPr>
            <w:tcW w:w="978"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报价单位</w:t>
            </w:r>
          </w:p>
        </w:tc>
        <w:tc>
          <w:tcPr>
            <w:tcW w:w="1179"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最高限价</w:t>
            </w:r>
          </w:p>
        </w:tc>
        <w:tc>
          <w:tcPr>
            <w:tcW w:w="80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价款形式</w:t>
            </w:r>
          </w:p>
        </w:tc>
        <w:tc>
          <w:tcPr>
            <w:tcW w:w="1191"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rFonts w:hint="default"/>
                <w:color w:val="auto"/>
                <w:highlight w:val="none"/>
              </w:rPr>
              <w:t>1</w:t>
            </w:r>
          </w:p>
        </w:tc>
        <w:tc>
          <w:tcPr>
            <w:tcW w:w="196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lang w:eastAsia="zh-CN"/>
              </w:rPr>
              <w:t>金湖路小型消防站</w:t>
            </w:r>
          </w:p>
        </w:tc>
        <w:tc>
          <w:tcPr>
            <w:tcW w:w="114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p>
        </w:tc>
        <w:tc>
          <w:tcPr>
            <w:tcW w:w="850"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1项</w:t>
            </w:r>
          </w:p>
        </w:tc>
        <w:tc>
          <w:tcPr>
            <w:tcW w:w="978"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元</w:t>
            </w:r>
          </w:p>
        </w:tc>
        <w:tc>
          <w:tcPr>
            <w:tcW w:w="1179" w:type="dxa"/>
            <w:shd w:val="clear" w:color="auto" w:fill="auto"/>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p>
        </w:tc>
        <w:tc>
          <w:tcPr>
            <w:tcW w:w="803"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总价</w:t>
            </w:r>
          </w:p>
        </w:tc>
        <w:tc>
          <w:tcPr>
            <w:tcW w:w="1191"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rFonts w:hint="default"/>
                <w:color w:val="auto"/>
                <w:highlight w:val="none"/>
                <w:lang w:eastAsia="zh-CN"/>
              </w:rPr>
              <w:t>2</w:t>
            </w:r>
          </w:p>
        </w:tc>
        <w:tc>
          <w:tcPr>
            <w:tcW w:w="196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安宅路小型消防站</w:t>
            </w:r>
          </w:p>
        </w:tc>
        <w:tc>
          <w:tcPr>
            <w:tcW w:w="114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c>
          <w:tcPr>
            <w:tcW w:w="850"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1项</w:t>
            </w:r>
          </w:p>
        </w:tc>
        <w:tc>
          <w:tcPr>
            <w:tcW w:w="978"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元</w:t>
            </w:r>
          </w:p>
        </w:tc>
        <w:tc>
          <w:tcPr>
            <w:tcW w:w="1179"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c>
          <w:tcPr>
            <w:tcW w:w="803" w:type="dxa"/>
            <w:shd w:val="clear" w:color="auto" w:fill="auto"/>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p>
        </w:tc>
        <w:tc>
          <w:tcPr>
            <w:tcW w:w="1191"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rFonts w:hint="default"/>
                <w:color w:val="auto"/>
                <w:highlight w:val="none"/>
                <w:lang w:eastAsia="zh-CN"/>
              </w:rPr>
              <w:t>3</w:t>
            </w:r>
          </w:p>
        </w:tc>
        <w:tc>
          <w:tcPr>
            <w:tcW w:w="196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随站消防器材装备</w:t>
            </w:r>
          </w:p>
        </w:tc>
        <w:tc>
          <w:tcPr>
            <w:tcW w:w="114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c>
          <w:tcPr>
            <w:tcW w:w="850"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2批</w:t>
            </w:r>
          </w:p>
        </w:tc>
        <w:tc>
          <w:tcPr>
            <w:tcW w:w="978"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元</w:t>
            </w:r>
          </w:p>
        </w:tc>
        <w:tc>
          <w:tcPr>
            <w:tcW w:w="1179"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c>
          <w:tcPr>
            <w:tcW w:w="803" w:type="dxa"/>
            <w:shd w:val="clear" w:color="auto" w:fill="auto"/>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p>
        </w:tc>
        <w:tc>
          <w:tcPr>
            <w:tcW w:w="1191"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rFonts w:hint="default"/>
                <w:color w:val="auto"/>
                <w:highlight w:val="none"/>
                <w:lang w:eastAsia="zh-CN"/>
              </w:rPr>
              <w:t>4</w:t>
            </w:r>
          </w:p>
        </w:tc>
        <w:tc>
          <w:tcPr>
            <w:tcW w:w="196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随站接警系统</w:t>
            </w:r>
          </w:p>
        </w:tc>
        <w:tc>
          <w:tcPr>
            <w:tcW w:w="114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c>
          <w:tcPr>
            <w:tcW w:w="850"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2套</w:t>
            </w:r>
          </w:p>
        </w:tc>
        <w:tc>
          <w:tcPr>
            <w:tcW w:w="978"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元</w:t>
            </w:r>
          </w:p>
        </w:tc>
        <w:tc>
          <w:tcPr>
            <w:tcW w:w="1179"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c>
          <w:tcPr>
            <w:tcW w:w="803" w:type="dxa"/>
            <w:shd w:val="clear" w:color="auto" w:fill="auto"/>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p>
        </w:tc>
        <w:tc>
          <w:tcPr>
            <w:tcW w:w="1191"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r>
    </w:tbl>
    <w:p>
      <w:pPr>
        <w:pStyle w:val="23"/>
        <w:rPr>
          <w:rFonts w:hint="default"/>
          <w:color w:val="auto"/>
          <w:highlight w:val="none"/>
        </w:rPr>
      </w:pPr>
      <w:r>
        <w:rPr>
          <w:color w:val="auto"/>
          <w:highlight w:val="none"/>
        </w:rPr>
        <w:br w:type="page"/>
      </w:r>
    </w:p>
    <w:p>
      <w:pPr>
        <w:pStyle w:val="3"/>
        <w:bidi w:val="0"/>
        <w:rPr>
          <w:rFonts w:hint="default"/>
          <w:color w:val="auto"/>
          <w:highlight w:val="none"/>
        </w:rPr>
      </w:pPr>
      <w:bookmarkStart w:id="1" w:name="_Toc30877"/>
      <w:r>
        <w:rPr>
          <w:color w:val="auto"/>
          <w:highlight w:val="none"/>
        </w:rPr>
        <w:t>第二章 投标人须知前附表</w:t>
      </w:r>
      <w:bookmarkEnd w:id="1"/>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一、投标人须知前附表1</w:t>
      </w:r>
    </w:p>
    <w:tbl>
      <w:tblPr>
        <w:tblStyle w:val="1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0"/>
        <w:gridCol w:w="1434"/>
        <w:gridCol w:w="59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序号</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招标文件</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（第三章）</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6.1</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是否组织现场考察或召开开标前答疑会：</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1：本项目采购人不组织集中现场踏勘，投标人可在投标文件递交截止时间前自行对项目现场及周围环境进行踏勘，以便获取有关编制投标文件和签署合同所涉及现场的资料。投标人应自行承担踏勘现场所发生的费用。现场踏勘联系人：</w:t>
            </w:r>
            <w:r>
              <w:rPr>
                <w:color w:val="auto"/>
                <w:highlight w:val="none"/>
                <w:u w:val="single"/>
                <w:lang w:eastAsia="zh-CN"/>
              </w:rPr>
              <w:t xml:space="preserve">     </w:t>
            </w:r>
            <w:r>
              <w:rPr>
                <w:color w:val="auto"/>
                <w:highlight w:val="none"/>
              </w:rPr>
              <w:t>，联系电话：</w:t>
            </w:r>
            <w:r>
              <w:rPr>
                <w:color w:val="auto"/>
                <w:highlight w:val="none"/>
                <w:u w:val="single"/>
                <w:lang w:eastAsia="zh-CN"/>
              </w:rPr>
              <w:t xml:space="preserve">           </w:t>
            </w:r>
            <w:r>
              <w:rPr>
                <w:color w:val="auto"/>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10.4</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投标文件的份数：</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（1）可读介质（光盘或U盘） 0 份：投标人应将其上传至福建省政府采购网上公开信息系统的电子投标文件在该可读介质中另存 0 份。</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10.7-（1）</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是否允许中标人将本项目的非主体、非关键性工作进行分包：</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10.8-（1）</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12.1</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确定中标候选人名单：</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12.2</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本项目中标人的确定（以采购包为单位）：</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 采购人应在政府采购招投标管理办法规定的时限内确定中标人。</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（2）若出现中标候选人并列情形，则按照下列方式确定中标人：</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①招标文件规定的方式：</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a.按技术项得分由高到低顺序排列；b.技术项得分均相同的，按商务项得分由高到低顺序排列；c.技术项、商务项得分均相同的，随机抽取</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②若本款第①点规定方式为“无”，则按照下列方式确定：</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无</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③若本款第①、②点规定方式均为“无”，则按照下列方式确定：随机抽取。</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（3）本项目确定的中标人家数：</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13.2</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合同签订时限： 自中标通知书发出之日起</w:t>
            </w:r>
            <w:r>
              <w:rPr>
                <w:color w:val="auto"/>
                <w:highlight w:val="none"/>
                <w:u w:val="single"/>
                <w:lang w:eastAsia="zh-CN"/>
              </w:rPr>
              <w:t xml:space="preserve">   </w:t>
            </w:r>
            <w:r>
              <w:rPr>
                <w:color w:val="auto"/>
                <w:highlight w:val="none"/>
              </w:rPr>
              <w:t>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8</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15.1-（2）</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9</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15.4</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招标文件的质疑</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（1）潜在投标人可在质疑时效期间内对招标文件以书面形式提出质疑。</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（2）质疑时效期间：应在依法获取招标文件之日起7个工作日内向 </w:t>
            </w:r>
            <w:r>
              <w:rPr>
                <w:color w:val="auto"/>
                <w:highlight w:val="none"/>
                <w:u w:val="single"/>
                <w:lang w:eastAsia="zh-CN"/>
              </w:rPr>
              <w:t xml:space="preserve">          </w:t>
            </w:r>
            <w:r>
              <w:rPr>
                <w:color w:val="auto"/>
                <w:highlight w:val="none"/>
              </w:rPr>
              <w:t xml:space="preserve"> 提出，依法获取招标文件的时间以福建省政府采购网上公开信息系统记载的为准。</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10</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16.1</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监督管理部门：</w:t>
            </w:r>
            <w:r>
              <w:rPr>
                <w:color w:val="auto"/>
                <w:highlight w:val="none"/>
                <w:lang w:eastAsia="zh-CN"/>
              </w:rPr>
              <w:t xml:space="preserve">   </w:t>
            </w:r>
            <w:r>
              <w:rPr>
                <w:color w:val="auto"/>
                <w:highlight w:val="none"/>
              </w:rPr>
              <w:t xml:space="preserve">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11</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18.1</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财政部和福建省财政厅指定的政府采购信息发布媒体（以下简称：“指定媒体”）：</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（1）中国政府采购网，网址www.ccgp.gov.cn。</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（2）中国政府采购网福建分网（福建省政府采购网），网址zfcg.czt.fujian.gov.cn。</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12</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19</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其他事项：</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(1)本项目代理服务费：</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lang w:eastAsia="zh-CN"/>
              </w:rPr>
              <w:t xml:space="preserve"> </w:t>
            </w:r>
            <w:r>
              <w:rPr>
                <w:color w:val="auto"/>
                <w:highlight w:val="none"/>
              </w:rPr>
              <w:t>代理服务费用收取对象：</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代理服务费收费标准：</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 xml:space="preserve"> (2)其他：</w:t>
            </w:r>
            <w:r>
              <w:rPr>
                <w:color w:val="auto"/>
                <w:highlight w:val="none"/>
                <w:lang w:eastAsia="zh-CN"/>
              </w:rPr>
              <w:t>/</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34" w:type="dxa"/>
            <w:gridSpan w:val="2"/>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备注</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后有投标人须知前附表2，请勿遗漏。</w:t>
            </w:r>
          </w:p>
        </w:tc>
      </w:tr>
    </w:tbl>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二、投标人须知前附表2</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0"/>
        <w:gridCol w:w="74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序号</w:t>
            </w:r>
          </w:p>
        </w:tc>
        <w:tc>
          <w:tcPr>
            <w:tcW w:w="74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74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（1）电子招标投标活动的专门规定适用本项目电子招标投标活动。</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（2）将招标文件</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无 的内容修正为下列内容：</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无 后适用本项目的电子招标投标活动。</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（3）将下列内容增列为招标文件的组成部分（以下简称：“增列内容”）适用本项目的电子招标投标活动，若增列内容与招标文件其他章节内容有冲突，应以增列内容为准：</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①电子招标投标活动的具体操作流程以福建省政府采购网上公开信息系统设定的为准。</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②关于电子投标文件：</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a.投标人应按照福建省政府采购网上公开信息系统设定的评审节点编制电子投标文件，否则资格审查小组、评标委员会将按照不利于投标人的内容进行认定。</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保持一致，并以投标客户端的投标（响应）报价明细表为准。</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③关于证明材料或资料：</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④关于“全称”、“投标人代表签字”及“加盖单位公章”：</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a.在电子投标文件中，涉及“全称”和“投标人代表签字”的内容可使用打字录入方式完成。</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b.在电子投标文件中，涉及“加盖单位公章”的内容应使用投标人的CA证书完成，否则投标无效。</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c.在电子投标文件中，若投标人按照本增列内容第④点第b项规定加盖其单位公章，则出现无全称、或投标人代表未签字等情形，不视为投标无效。</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⑤关于投标人的CA证书：</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a.投标人的CA证书应在系统规定时间内使用CA证书进行电子投标文件的解密操作，逾期未解密的视为放弃投标。</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b.投标人的CA证书可采用信封（包括但不限于：信封、档案袋、文件袋等）作为外包装进行单独包装。外包装密封、不密封皆可。</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c.投标人的CA证书或外包装应标记“项目名称、项目编号、投标人的全称”等内容，以方便识别、使用。</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d.投标人的CA证书应能正常、有效使用，否则产生不利后果由投标人承担责任。</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⑥关于投标截止时间过后</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a.未按招标文件规定提交投标保证金的，其投标将按无效投标处理。</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b.有下列情形之一的，其投标无效,其保证金不予退还或通过投标保函进行索赔：</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b1不同投标人的电子投标文件具有相同内部识别码；</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b2不同投标人的投标保证金从同一单位或个人的账户转出；</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b3投标人的投标保证金同一采购包下有其他投标人提交的投标保证金；</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b4不同投标人存在串通投标的其他情形。</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⑧其他：</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p>
        </w:tc>
      </w:tr>
    </w:tbl>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3"/>
        <w:bidi w:val="0"/>
        <w:rPr>
          <w:rFonts w:hint="default"/>
          <w:color w:val="auto"/>
          <w:highlight w:val="none"/>
        </w:rPr>
      </w:pPr>
      <w:bookmarkStart w:id="2" w:name="_Toc5177"/>
      <w:r>
        <w:rPr>
          <w:color w:val="auto"/>
          <w:highlight w:val="none"/>
        </w:rPr>
        <w:t>第三章 投标人须知</w:t>
      </w:r>
      <w:bookmarkEnd w:id="2"/>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一、总则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1、适用范围</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1.1适用于招标文件载明项目的政府采购活动（以下简称：“本次采购活动”）。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2、定义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2.1“采购标的”指招标文件载明的需要采购的货物或服务。</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2.2“潜在投标人”指按照招标文件第一章第7条规定获取招标文件且有意向参加本项目投标的供应商。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2.3“投标人”指按照招标文件第一章第7条规定获取招标文件并参加本项目投标的供应商。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2.4“单位负责人”指单位法定代表人或法律、法规规定代表单位行使职权的主要负责人。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2.5“投标人代表”指投标人的单位负责人或“单位负责人授权书”中载明的接受授权方。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二、投标人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3、合格投标人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3.1一般规定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（2）投标人的资格要求：详见招标文件第一章。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3.2若本项目接受联合体投标且投标人为联合体，则联合体各方应遵守本章第3.1条规定，同时还应遵守下列规定：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（1）联合体各方应提交联合体协议，联合体协议应符合招标文件规定。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（2）联合体各方不得再单独参加或与其他供应商另外组成联合体参加同一合同项下的投标。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（3）联合体各方应共同与采购人签订政府采购合同，就政府采购合同约定的事项对采购人承担连带责任。</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（5）联合体一方放弃中标的，视为联合体整体放弃中标，联合体各方承担连带责任。</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（6）如本项目不接受联合体投标而投标人为联合体的，或者本项目接受联合体投标但投标人组成的联合体不符合本章第3.2条规定的，投标无效。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4、投标费用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4.1除招标文件另有规定外，投标人应自行承担其参加本项目投标所涉及的一切费用。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三、招标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5、招标文件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5.1招标文件由下述部分组成：</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（1）投标邀请</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（2）投标人须知前附表（表1、2）</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（3）投标人须知</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（4）资格审查与评标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（5）招标内容及要求</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（6）政府采购合同（参考文本）</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（7）电子投标文件格式</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（8）按照招标文件规定作为招标文件组成部分的其他内容（若有）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5.2招标文件的澄清或修改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（1） </w:t>
      </w:r>
      <w:r>
        <w:rPr>
          <w:color w:val="auto"/>
          <w:highlight w:val="none"/>
          <w:u w:val="single"/>
          <w:lang w:eastAsia="zh-CN"/>
        </w:rPr>
        <w:t xml:space="preserve">               </w:t>
      </w:r>
      <w:r>
        <w:rPr>
          <w:color w:val="auto"/>
          <w:highlight w:val="none"/>
        </w:rPr>
        <w:t xml:space="preserve"> 可对已发出的招标文件进行必要的澄清或修改，但不得对招标文件载明的采购标的和投标人的资格要求进行改变。</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（2）除本章第5.2条第（3）款规定情形外，澄清或修改的内容可能影响电子投标文件编制的， </w:t>
      </w:r>
      <w:r>
        <w:rPr>
          <w:color w:val="auto"/>
          <w:highlight w:val="none"/>
          <w:u w:val="single"/>
          <w:lang w:eastAsia="zh-CN"/>
        </w:rPr>
        <w:t xml:space="preserve">                </w:t>
      </w:r>
      <w:r>
        <w:rPr>
          <w:color w:val="auto"/>
          <w:highlight w:val="none"/>
        </w:rPr>
        <w:t xml:space="preserve"> 将在投标截止时间至少15个日历日前，在招标文件载明的指定媒体以更正公告的形式发布澄清或修改的内容。不足15个日历日的， </w:t>
      </w:r>
      <w:r>
        <w:rPr>
          <w:color w:val="auto"/>
          <w:highlight w:val="none"/>
          <w:u w:val="single"/>
          <w:lang w:eastAsia="zh-CN"/>
        </w:rPr>
        <w:t xml:space="preserve">              </w:t>
      </w:r>
      <w:r>
        <w:rPr>
          <w:color w:val="auto"/>
          <w:highlight w:val="none"/>
        </w:rPr>
        <w:t xml:space="preserve"> 将顺延投标截止时间及开标时间，</w:t>
      </w:r>
      <w:r>
        <w:rPr>
          <w:color w:val="auto"/>
          <w:highlight w:val="none"/>
          <w:u w:val="single"/>
          <w:lang w:eastAsia="zh-CN"/>
        </w:rPr>
        <w:t xml:space="preserve">             </w:t>
      </w:r>
      <w:r>
        <w:rPr>
          <w:color w:val="auto"/>
          <w:highlight w:val="none"/>
        </w:rPr>
        <w:t xml:space="preserve"> 和投标人受原投标截止时间及开标时间制约的所有权利和义务均延长至新的投标截止时间及开标时间。</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（3）澄清或修改的内容可能改变招标文件载明的采购标的和投标人的资格要求的，本次采购活动结束， </w:t>
      </w:r>
      <w:r>
        <w:rPr>
          <w:color w:val="auto"/>
          <w:highlight w:val="none"/>
          <w:u w:val="single"/>
          <w:lang w:eastAsia="zh-CN"/>
        </w:rPr>
        <w:t xml:space="preserve">               </w:t>
      </w:r>
      <w:r>
        <w:rPr>
          <w:color w:val="auto"/>
          <w:highlight w:val="none"/>
        </w:rPr>
        <w:t>将依法组织后续采购活动（包括但不限于：重新招标、采用其他方式采购等）。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6、现场考察或开标前答疑会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6.1是否组织现场考察或召开开标前答疑会：详见招标文件第二章。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7、更正公告</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7.1若 </w:t>
      </w:r>
      <w:r>
        <w:rPr>
          <w:color w:val="auto"/>
          <w:highlight w:val="none"/>
          <w:u w:val="single"/>
          <w:lang w:eastAsia="zh-CN"/>
        </w:rPr>
        <w:t xml:space="preserve">          </w:t>
      </w:r>
      <w:r>
        <w:rPr>
          <w:color w:val="auto"/>
          <w:highlight w:val="none"/>
        </w:rPr>
        <w:t xml:space="preserve"> 发布更正公告，则更正公告及其所发布的内容或信息（包括但不限于：招标文件的澄清或修改、现场考察或答疑会的有关事宜等）作为招标文件组成部分，对投标人具有约束力。</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7.2更正公告作为 </w:t>
      </w:r>
      <w:r>
        <w:rPr>
          <w:color w:val="auto"/>
          <w:highlight w:val="none"/>
          <w:u w:val="single"/>
          <w:lang w:eastAsia="zh-CN"/>
        </w:rPr>
        <w:t xml:space="preserve">           </w:t>
      </w:r>
      <w:r>
        <w:rPr>
          <w:color w:val="auto"/>
          <w:highlight w:val="none"/>
        </w:rPr>
        <w:t xml:space="preserve"> 通知所有潜在投标人的书面形式。</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8、终止公告</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8.1若出现因重大变故导致采购任务取消情形， </w:t>
      </w:r>
      <w:r>
        <w:rPr>
          <w:color w:val="auto"/>
          <w:highlight w:val="none"/>
          <w:u w:val="single"/>
          <w:lang w:eastAsia="zh-CN"/>
        </w:rPr>
        <w:t xml:space="preserve">            </w:t>
      </w:r>
      <w:r>
        <w:rPr>
          <w:color w:val="auto"/>
          <w:highlight w:val="none"/>
        </w:rPr>
        <w:t xml:space="preserve"> 可终止招标并发布终止公告。</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8.2终止公告作为 </w:t>
      </w:r>
      <w:r>
        <w:rPr>
          <w:color w:val="auto"/>
          <w:highlight w:val="none"/>
          <w:u w:val="single"/>
          <w:lang w:eastAsia="zh-CN"/>
        </w:rPr>
        <w:t xml:space="preserve">               </w:t>
      </w:r>
      <w:r>
        <w:rPr>
          <w:color w:val="auto"/>
          <w:highlight w:val="none"/>
        </w:rPr>
        <w:t xml:space="preserve"> 通知所有潜在投标人的书面形式。</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四、投标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9.1投标人可对招标文件载明的全部或部分采购包进行投标。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9.2投标人应对同一个采购包内的所有内容进行完整投标，否则投标无效。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9.3投标人代表只能接受一个投标人的授权参加投标，否则投标无效。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9.4单位负责人为同一人或存在直接控股、管理关系的不同供应商，不得同时参加同一合同项下的投标，否则投标无效。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9.5为本项目提供整体设计、规范编制或项目管理、监理、检测等服务的供应商，不得参加本项目除整体设计、规范编制和项目管理、监理、检测等服务外的采购活动，否则投标无效。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9.6列入失信被执行人、重大税收违法案件当事人名单、政府采购严重违法失信行为记录名单及其他不符合政府采购法第二十二条规定条件的供应商，不得参加投标，否则投标无效。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9.7有下列情形之一的，视为投标人串通投标，其投标无效：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（1）不同投标人的电子投标文件由同一单位或个人编制；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（2）不同投标人委托同一单位或个人办理投标事宜；</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（3）不同投标人的电子投标文件载明的项目管理成员或联系人员为同一人；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（4）不同投标人的电子投标文件异常一致或投标报价呈规律性差异；</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（5）不同投标人的电子投标文件相互混装；</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（6）不同投标人的投标保证金从同一单位或个人的账户转出；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（7）有关法律、法规和规章及招标文件规定的其他串通投标情形。</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10、电子投标文件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10.1电子投标文件的编制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（1）投标人应先仔细阅读招标文件的全部内容后，再进行电子投标文件的编制。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（2）电子投标文件应按照本章第10.2条规定编制其组成部分。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10.2电子投标文件由下述部分组成：</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（1）资格及资信证明部分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①投标函</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②投标人的资格及资信证明文件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③投标保证金</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（2）报价部分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①开标（报价）一览表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②投标（响应）报价明细表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③招标文件规定的价格扣除证明材料（若有）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④招标文件规定的加分证明材料（若有）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（3）技术商务部分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①标的说明一览表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②技术和服务要求响应表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③商务条件响应表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④投标人提交的其他资料（若有）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⑤招标文件规定作为电子投标文件组成部分的其他内容（若有）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10.3电子投标文件的语言</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（1）除招标文件另有规定外，电子投标文件应使用中文文本，若有不同文本，以中文文本为准。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10.4投标文件的份数：详见招标文件第二章。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10.5电子投标文件的格式</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（1）除招标文件另有规定外，电子投标文件应使用招标文件第七章规定的格式。</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（2）除招标文件另有规定外，电子投标文件应使用不能擦去的墨料或墨水打印、书写或复印。</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（3）除招标文件另有规定外，电子投标文件应使用人民币作为计量货币。</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（4）除招标文件另有规定外，签署、盖章应遵守下列规定：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①电子投标文件应加盖投标人的单位公章。若投标人代表为单位授权的委托代理人，应提供“单位授权书”。</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②电子投标文件应没有涂改或行间插字，除非这些改动是根据 </w:t>
      </w:r>
      <w:r>
        <w:rPr>
          <w:color w:val="auto"/>
          <w:highlight w:val="none"/>
          <w:u w:val="single"/>
          <w:lang w:eastAsia="zh-CN"/>
        </w:rPr>
        <w:t xml:space="preserve">             </w:t>
      </w:r>
      <w:r>
        <w:rPr>
          <w:color w:val="auto"/>
          <w:highlight w:val="none"/>
        </w:rPr>
        <w:t>司 的指示进行的，或是为改正投标人造成的应修改的错误而进行的。若有前述改动，应按照下列规定之一对改动处进行处理：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a.投标人代表签字确认；</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b.加盖投标人的单位公章或校正章。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10.6投标报价</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（1）投标报价超出最高限价将导致投标无效。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（2）最高限价由采购人根据价格测算情况，在预算金额的额度内合理设定。最高限价不得超出预算金额。</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（3）除招标文件另有规定外，电子投标文件不能出现任何选择性的投标报价，即每一个采购包和品目号的采购标的都只能有一个投标报价。任何选择性的投标报价将导致投标无效。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10.7分包</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（1）是否允许中标人将本项目的非主体、非关键性工作进行分包：详见招标文件第二章。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（3）招标文件允许中标人将非主体、非关键性工作进行分包的项目，有下列情形之一的，中标人不得分包：</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①电子投标文件中未载明分包承担主体；</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②电子投标文件载明的分包承担主体不具备相应资质条件；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③电子投标文件载明的分包承担主体拟再次分包；</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④享受中小企业扶持政策获得政府采购合同的，小微企业不得将合同分包给大中型企业，中型企业不得将合同分包给大型企业。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10.8投标有效期</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（1）招标文件载明的投标有效期：详见招标文件第二章。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（2）电子投标文件承诺的投标有效期不得少于招标文件载明的投标有效期，否则投标无效。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（3）根据本次采购活动的需要， </w:t>
      </w:r>
      <w:r>
        <w:rPr>
          <w:color w:val="auto"/>
          <w:highlight w:val="none"/>
          <w:u w:val="single"/>
          <w:lang w:eastAsia="zh-CN"/>
        </w:rPr>
        <w:t xml:space="preserve">            </w:t>
      </w:r>
      <w:r>
        <w:rPr>
          <w:color w:val="auto"/>
          <w:highlight w:val="none"/>
        </w:rPr>
        <w:t xml:space="preserve"> 可于投标有效期届满之前书面要求投标人延长投标有效期，投标人应在 </w:t>
      </w:r>
      <w:r>
        <w:rPr>
          <w:color w:val="auto"/>
          <w:highlight w:val="none"/>
          <w:u w:val="single"/>
          <w:lang w:eastAsia="zh-CN"/>
        </w:rPr>
        <w:t xml:space="preserve">             </w:t>
      </w:r>
      <w:r>
        <w:rPr>
          <w:color w:val="auto"/>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10.9投标保证金</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（1）投标保证金作为投标人按照招标文件规定履行相应投标责任、义务的约束及担保。</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（2）投标人以电子保函形式提交投标保证金的，保函的有效期应等于或长于电子投标文件承诺的投标有效期，否则投标无效。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（3）提交</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③其他形式：</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④若本项目接受联合体投标且投标人为联合体，则联合体中的牵头方应按照本章第10.9条第（3）款第①、②、③点规定提交投标保证金。</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※除招标文件另有规定外，未按照上述规定提交投标保证金将导致资格审查不合格。</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（4）退还</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①在投标截止时间前撤回已提交的电子投标文件的投标人，其投标保证金将在</w:t>
      </w:r>
      <w:r>
        <w:rPr>
          <w:color w:val="auto"/>
          <w:highlight w:val="none"/>
          <w:u w:val="single"/>
          <w:lang w:eastAsia="zh-CN"/>
        </w:rPr>
        <w:t xml:space="preserve">       </w:t>
      </w:r>
      <w:r>
        <w:rPr>
          <w:color w:val="auto"/>
          <w:highlight w:val="none"/>
        </w:rPr>
        <w:t xml:space="preserve"> 收到投标人书面撤回通知之日起5个工作日内退回原账户。</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②未中标人的投标保证金将在中标通知书发出之日起5个工作日内退回原账户。</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③中标人的投标保证金将在政府采购合同签订之日起5个工作日内退回原账户；合同签订之日以福建省政府采购网上公开信息系统记载的为准。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④终止招标的， </w:t>
      </w:r>
      <w:r>
        <w:rPr>
          <w:color w:val="auto"/>
          <w:highlight w:val="none"/>
          <w:u w:val="single"/>
          <w:lang w:eastAsia="zh-CN"/>
        </w:rPr>
        <w:t xml:space="preserve">            </w:t>
      </w:r>
      <w:r>
        <w:rPr>
          <w:color w:val="auto"/>
          <w:highlight w:val="none"/>
        </w:rPr>
        <w:t xml:space="preserve"> 将在终止公告发布之日起5个工作日内退回已收取的投标保证金及其在银行产生的孳息。</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⑤除招标文件另有规定外，质疑或投诉涉及的投标人，若投标保证金尚未退还，则待质疑或投诉处理完毕后不计利息原额退还。</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※本章第10.9条第（4）款第①、②、③点规定的投标保证金退还时限不包括因投标人自身原因导致无法及时退还而增加的时间。</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（6）有下列情形之一的，投标保证金将不予退还或通过投标保函进行索赔：</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①投标人串通投标；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②投标人提供虚假材料；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③投标人采取不正当手段诋毁、排挤其他投标人；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④投标截止时间后，投标人在投标有效期内撤销电子投标文件；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⑤招标文件规定的其他不予退还情形；</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⑥中标人有下列情形之一的：</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a.除不可抗力外，因中标人自身原因未在中标通知书要求的期限内与采购人签订政府采购合同；</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b.未按照招标文件、投标文件的约定签订政府采购合同或提交履约保证金。</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※若上述投标保证金不予退还情形给采购人（采购代理机构）造成损失，则投标人还要承担相应的赔偿责任。</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10.10电子投标文件的提交</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（1）一个投标人只能提交一个电子投标文件，并按照招标文件第一章规定在系统上完成上传、解密操作。</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10.11电子投标文件的补充、修改或撤回</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（1）投标截止时间前，投标人可对所提交的电子投标文件进行补充、修改或撤回，并书面通知 </w:t>
      </w:r>
      <w:r>
        <w:rPr>
          <w:color w:val="auto"/>
          <w:highlight w:val="none"/>
          <w:u w:val="single"/>
          <w:lang w:eastAsia="zh-CN"/>
        </w:rPr>
        <w:t xml:space="preserve">              </w:t>
      </w:r>
      <w:r>
        <w:rPr>
          <w:color w:val="auto"/>
          <w:highlight w:val="none"/>
        </w:rPr>
        <w:t xml:space="preserve"> 。</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（2）补充、修改的内容应按照本章第10.5条第（4）款规定进行签署、盖章，并按照本章第10.10条规定提交，否则将被拒收。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※按照上述规定提交的补充、修改内容作为电子投标文件组成部分。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10.12除招标文件另有规定外，有下列情形之一的，投标无效：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（1）电子投标文件未按照招标文件要求签署、盖章；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（2）不符合招标文件中规定的资格要求；</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（3）投标报价超过招标文件中规定的预算金额或最高限价；</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（4）电子投标文件含有采购人不能接受的附加条件；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（5）有关法律、法规和规章及招标文件规定的其他无效情形。</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五、开标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11、开标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11.1 </w:t>
      </w:r>
      <w:r>
        <w:rPr>
          <w:color w:val="auto"/>
          <w:highlight w:val="none"/>
          <w:u w:val="single"/>
          <w:lang w:eastAsia="zh-CN"/>
        </w:rPr>
        <w:t xml:space="preserve">            </w:t>
      </w:r>
      <w:r>
        <w:rPr>
          <w:color w:val="auto"/>
          <w:highlight w:val="none"/>
        </w:rPr>
        <w:t xml:space="preserve"> 将在招标文件载明的开标时间及地点主持召开开标会，并邀请投标人参加。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11.2开标会的主持人、唱标人、记录人及其他工作人员（若有）均由</w:t>
      </w:r>
      <w:r>
        <w:rPr>
          <w:color w:val="auto"/>
          <w:highlight w:val="none"/>
          <w:u w:val="single"/>
          <w:lang w:eastAsia="zh-CN"/>
        </w:rPr>
        <w:t xml:space="preserve">             </w:t>
      </w:r>
      <w:r>
        <w:rPr>
          <w:color w:val="auto"/>
          <w:highlight w:val="none"/>
        </w:rPr>
        <w:t xml:space="preserve"> 派出，现场监督人员（若有）可由有关方面派出。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11.4开标会应遵守下列规定：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（5）若投标人未到开标现场参加开标会，也未通过远程参加开标会的，视同认可开标结果。</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color w:val="auto"/>
          <w:highlight w:val="none"/>
          <w:u w:val="single"/>
          <w:lang w:eastAsia="zh-CN"/>
        </w:rPr>
        <w:t xml:space="preserve">        </w:t>
      </w:r>
      <w:r>
        <w:rPr>
          <w:color w:val="auto"/>
          <w:highlight w:val="none"/>
        </w:rPr>
        <w:t xml:space="preserve"> 提出任何疑义或要求（包括质疑）。</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11.5投标截止时间后，参加投标的投标人不足三家的，不进行开标。同时，本次采购活动结束，</w:t>
      </w:r>
      <w:r>
        <w:rPr>
          <w:color w:val="auto"/>
          <w:highlight w:val="none"/>
          <w:u w:val="single"/>
          <w:lang w:eastAsia="zh-CN"/>
        </w:rPr>
        <w:t xml:space="preserve">           </w:t>
      </w:r>
      <w:r>
        <w:rPr>
          <w:color w:val="auto"/>
          <w:highlight w:val="none"/>
        </w:rPr>
        <w:t xml:space="preserve"> 将依法组织后续采购活动（包括但不限于：重新招标、采用其他方式采购等）。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11.6投标截止时间后撤销投标的处理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投标截止时间后，投标人在投标有效期内撤销投标的，其撤销投标的行为无效。</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六、中标与政府采购合同</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12、中标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12.1本项目推荐的中标候选人家数：详见招标文件第二章。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12.2本项目中标人的确定：详见招标文件第二章。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12.3中标公告</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（1）中标人确定之日起2个工作日内， </w:t>
      </w:r>
      <w:r>
        <w:rPr>
          <w:color w:val="auto"/>
          <w:highlight w:val="none"/>
          <w:u w:val="single"/>
          <w:lang w:eastAsia="zh-CN"/>
        </w:rPr>
        <w:t xml:space="preserve">              </w:t>
      </w:r>
      <w:r>
        <w:rPr>
          <w:color w:val="auto"/>
          <w:highlight w:val="none"/>
        </w:rPr>
        <w:t xml:space="preserve"> 将在招标文件载明的指定媒体以中标公告的形式发布中标结果。</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（2）中标公告的公告期限为1个工作日。</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12.4中标通知书</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（1）中标公告发布的同时， </w:t>
      </w:r>
      <w:r>
        <w:rPr>
          <w:color w:val="auto"/>
          <w:highlight w:val="none"/>
          <w:u w:val="single"/>
          <w:lang w:eastAsia="zh-CN"/>
        </w:rPr>
        <w:t xml:space="preserve">            </w:t>
      </w:r>
      <w:r>
        <w:rPr>
          <w:color w:val="auto"/>
          <w:highlight w:val="none"/>
        </w:rPr>
        <w:t xml:space="preserve"> 将向中标人发出中标通知书。</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（2）中标通知书发出后，采购人不得违法改变中标结果，中标人无正当理由不得放弃中标。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13、政府采购合同</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13.2签订时限：详见须知前附表1的13.2。</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13.3政府采购合同的履行、违约责任和解决争议的方法等适用民法典。</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13.4采购人与中标人应根据政府采购合同的约定依法履行合同义务。</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13.5政府采购合同履行过程中，采购人若需追加与合同标的相同的货物或服务，则追加采购金额不得超过原合同采购金额的10%。</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13.6中标人在政府采购合同履行过程中应遵守有关法律、法规和规章的强制性规定（即使前述强制性规定有可能在招标文件中未予列明）。</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七、询问、质疑与投诉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14、询问</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14.1潜在投标人或投标人对本次采购活动的有关事项若有疑问，可向 </w:t>
      </w:r>
      <w:r>
        <w:rPr>
          <w:color w:val="auto"/>
          <w:highlight w:val="none"/>
          <w:u w:val="single"/>
          <w:lang w:eastAsia="zh-CN"/>
        </w:rPr>
        <w:t xml:space="preserve">             </w:t>
      </w:r>
      <w:r>
        <w:rPr>
          <w:color w:val="auto"/>
          <w:highlight w:val="none"/>
        </w:rPr>
        <w:t xml:space="preserve"> 提出询问，</w:t>
      </w:r>
      <w:r>
        <w:rPr>
          <w:color w:val="auto"/>
          <w:highlight w:val="none"/>
          <w:u w:val="single"/>
          <w:lang w:eastAsia="zh-CN"/>
        </w:rPr>
        <w:t xml:space="preserve">           </w:t>
      </w:r>
      <w:r>
        <w:rPr>
          <w:color w:val="auto"/>
          <w:highlight w:val="none"/>
        </w:rPr>
        <w:t xml:space="preserve"> 将按照政府采购法及实施条例的有关规定进行答复。</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15、质疑</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（2）质疑人应按照招标文件第二章规定方式提交质疑函。</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（3）质疑函应包括下列主要内容：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①质疑人的基本信息，至少包括：全称、地址、邮政编码等；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②所质疑项目的基本信息，至少包括：项目编号、项目名称等；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③所质疑的具体事项（以下简称：“质疑事项”）；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④针对质疑事项提出的明确请求，前述明确请求指质疑人提出质疑的目的以及希望 </w:t>
      </w:r>
      <w:r>
        <w:rPr>
          <w:color w:val="auto"/>
          <w:highlight w:val="none"/>
          <w:u w:val="single"/>
          <w:lang w:eastAsia="zh-CN"/>
        </w:rPr>
        <w:t xml:space="preserve">   </w:t>
      </w:r>
      <w:r>
        <w:rPr>
          <w:color w:val="auto"/>
          <w:highlight w:val="none"/>
        </w:rPr>
        <w:t xml:space="preserve"> 对其质疑作出的处理结果，如：暂停招标投标活动、修改招标文件、停止或纠正违法违规行为、中标结果无效、废标、重新招标等；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⑤针对质疑事项导致质疑人自身权益受到损害的必要证明材料，至少包括：</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a.质疑人代表的身份证明材料：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a2若本项目接受自然人投标且质疑人为自然人的，提供本人的身份证复印件。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b.其他证明材料（即事实依据和必要的法律依据）包括但不限于下列材料：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b1所质疑的具体事项是与自己有利害关系的证明材料；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b2质疑函所述事实存在的证明材料，如：采购文件、采购过程或中标结果违法违规或不符合采购文件要求等证明材料；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b3依法应终止采购程序的证明材料；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b4应重新采购的证明材料；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b5采购文件、采购过程或中标、成交结果损害自己合法权益的证明材料等；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⑥质疑人代表及其联系方法的信息，至少包括：姓名、手机、电子信箱、邮寄地址等。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⑦提出质疑的日期。</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※质疑人为法人或其他组织的，质疑函应由单位负责人或委托代理人签字或盖章，并加盖投标人的单位公章。质疑人为自然人的，质疑函应由本人签字。</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15.2对不符合本章第15.1条规定的质疑，将按照下列规定进行处理：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（1）不符合其中第（1）、（2）条规定的，书面告知质疑人不予受理及其理由。</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（2）不符合其中第（3）条规定的，书面告知质疑人修改、补充后在规定时限内重新提交质疑函。</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15.3对符合本章第15.1条规定的质疑，将按照政府采购法及实施条例、政府采购质疑和投诉办法的有关规定进行答复。</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15.4招标文件的质疑：详见招标文件第二章。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16、投诉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16.2投诉应有明确的请求和必要的证明材料，投诉的事项不得超出已质疑事项的范围。</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八、政府采购政策</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17、政府采购政策由财政部根据国家的经济和社会发展政策并会同国家有关部委制定，包括但不限于下列具体政策要求：</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17.1进口产品指通过中国海关报关验放进入中国境内且产自关境外的产品，其中：</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（2）凡在海关特殊监管区域内企业生产或加工（包括从境外进口料件）销往境内其他地区的产品，不作为政府采购项下进口产品。</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（3）对从境外进入海关特殊监管区域，再经办理报关手续后从海关特殊监管区进入境内其他地区的产品，认定为进口产品。</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（4）招标文件列明不允许或未列明允许进口产品参加投标的，均视为拒绝进口产品参加投标。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（1）中小企业指符合下列条件的中型、小型、微型企业：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②符合中小企业划分标准的个体工商户，在政府采购活动中视同中小企业。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（2）在政府采购活动中，供应商提供的货物、工程或者服务符合下列情形的，享受本办法规定的中小企业扶持政策：</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①在货物采购项目中，货物由中小企业制造，即货物由中小企业生产且使用该中小企业商号或者注册商标；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②在工程采购项目中，工程由中小企业承建，即工程施工单位为中小企业；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③在服务采购项目中，服务由中小企业承接，即提供服务的人员为中小企业依照《中华人民共和国劳动合同法》订立劳动合同的从业人员。</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在货物采购项目中，供应商提供的货物既有中小企业制造货物，也有大型企业制造货物的，不享受本办法规定的中小企业扶持政策。</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（3）投标人应当按照招标文件明确的采购标的对应行业的划分标准出具中小企业声明函。</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①监狱企业参加采购活动时，应提供由省级以上监狱管理局、戒毒管理局（含新疆生产建设兵团）出具的属于监狱企业的证明文件。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②监狱企业视同小型、微型企业。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（5）残疾人福利性单位指同时符合下列条件的单位：</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①安置的残疾人占本单位在职职工人数的比例不低于25%（含25%），并且安置的残疾人人数不少于10人（含10人）；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②依法与安置的每位残疾人签订了一年以上（含一年）的劳动合同或服务协议；</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③为安置的每位残疾人按月足额缴纳了基本养老保险、基本医疗保险、失业保险、工伤保险和生育保险等社会保险费；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④通过银行等金融机构向安置的每位残疾人，按月支付了不低于单位所在区县适用的经省级人民政府批准的月最低工资标准的工资；</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⑤提供本单位制造的货物、承担的工程或服务，或提供其他残疾人福利性单位制造的货物（不包括使用非残疾人福利性单位注册商标的货物）。</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17.4信用记录指由财政部确定的有关网站提供的相关主体信用信息。信用记录的查询及使用应符合财政部文件（财库[2016]125号）规定。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17.5为落实政府采购政策需满足的要求：详见招标文件第一章。</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九、本项目的有关信息</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18.1指定媒体：详见招标文件第二章。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18.2本项目的潜在投标人或投标人应随时关注指定媒体，否则产生不利后果由其自行承担。</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十、其他事项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19、其他事项：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19.2其他：详见招标文件第二章。</w:t>
      </w:r>
    </w:p>
    <w:p>
      <w:pPr>
        <w:pStyle w:val="23"/>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3"/>
        <w:bidi w:val="0"/>
        <w:rPr>
          <w:rFonts w:hint="default"/>
          <w:color w:val="auto"/>
          <w:highlight w:val="none"/>
        </w:rPr>
      </w:pPr>
      <w:bookmarkStart w:id="3" w:name="_Toc32268"/>
      <w:r>
        <w:rPr>
          <w:color w:val="auto"/>
          <w:highlight w:val="none"/>
        </w:rPr>
        <w:t>第四章 资格审查与评标</w:t>
      </w:r>
      <w:bookmarkEnd w:id="3"/>
    </w:p>
    <w:p>
      <w:pPr>
        <w:pStyle w:val="23"/>
        <w:jc w:val="both"/>
        <w:outlineLvl w:val="2"/>
        <w:rPr>
          <w:rFonts w:hint="default"/>
          <w:color w:val="auto"/>
          <w:highlight w:val="none"/>
        </w:rPr>
      </w:pPr>
      <w:bookmarkStart w:id="4" w:name="_Toc7507"/>
      <w:r>
        <w:rPr>
          <w:b/>
          <w:color w:val="auto"/>
          <w:sz w:val="28"/>
          <w:highlight w:val="none"/>
        </w:rPr>
        <w:t>一、资格审查</w:t>
      </w:r>
      <w:bookmarkEnd w:id="4"/>
    </w:p>
    <w:p>
      <w:pPr>
        <w:pStyle w:val="23"/>
        <w:ind w:firstLine="480"/>
        <w:jc w:val="both"/>
        <w:rPr>
          <w:rFonts w:hint="default"/>
          <w:color w:val="auto"/>
          <w:highlight w:val="none"/>
        </w:rPr>
      </w:pPr>
      <w:r>
        <w:rPr>
          <w:color w:val="auto"/>
          <w:highlight w:val="none"/>
        </w:rPr>
        <w:t xml:space="preserve">1、开标结束后，由 </w:t>
      </w:r>
      <w:r>
        <w:rPr>
          <w:color w:val="auto"/>
          <w:highlight w:val="none"/>
          <w:u w:val="single"/>
          <w:lang w:eastAsia="zh-CN"/>
        </w:rPr>
        <w:t xml:space="preserve">       </w:t>
      </w:r>
      <w:r>
        <w:rPr>
          <w:color w:val="auto"/>
          <w:highlight w:val="none"/>
        </w:rPr>
        <w:t xml:space="preserve"> 负责资格审查小组的组建及资格审查工作的组织。</w:t>
      </w:r>
    </w:p>
    <w:p>
      <w:pPr>
        <w:pStyle w:val="23"/>
        <w:ind w:firstLine="480"/>
        <w:jc w:val="both"/>
        <w:rPr>
          <w:rFonts w:hint="default"/>
          <w:color w:val="auto"/>
          <w:highlight w:val="none"/>
        </w:rPr>
      </w:pPr>
      <w:r>
        <w:rPr>
          <w:color w:val="auto"/>
          <w:highlight w:val="none"/>
        </w:rPr>
        <w:t>1.1资格审查小组</w:t>
      </w:r>
    </w:p>
    <w:p>
      <w:pPr>
        <w:pStyle w:val="23"/>
        <w:ind w:firstLine="480"/>
        <w:jc w:val="both"/>
        <w:rPr>
          <w:rFonts w:hint="default"/>
          <w:color w:val="auto"/>
          <w:highlight w:val="none"/>
        </w:rPr>
      </w:pPr>
      <w:r>
        <w:rPr>
          <w:color w:val="auto"/>
          <w:highlight w:val="none"/>
        </w:rPr>
        <w:t>资格审查小组由3人组成，并负责具体审查事务，其中由采购人派出的采购人代表至少1人，由</w:t>
      </w:r>
      <w:r>
        <w:rPr>
          <w:color w:val="auto"/>
          <w:highlight w:val="none"/>
          <w:u w:val="single"/>
          <w:lang w:eastAsia="zh-CN"/>
        </w:rPr>
        <w:t xml:space="preserve">            </w:t>
      </w:r>
      <w:r>
        <w:rPr>
          <w:color w:val="auto"/>
          <w:highlight w:val="none"/>
        </w:rPr>
        <w:t>派出的工作人员至少1人，其余1人可为采购人代表或</w:t>
      </w:r>
      <w:r>
        <w:rPr>
          <w:color w:val="auto"/>
          <w:highlight w:val="none"/>
          <w:u w:val="single"/>
          <w:lang w:eastAsia="zh-CN"/>
        </w:rPr>
        <w:t xml:space="preserve">         </w:t>
      </w:r>
      <w:r>
        <w:rPr>
          <w:color w:val="auto"/>
          <w:highlight w:val="none"/>
        </w:rPr>
        <w:t>的工作人员。</w:t>
      </w:r>
    </w:p>
    <w:p>
      <w:pPr>
        <w:pStyle w:val="23"/>
        <w:ind w:firstLine="480"/>
        <w:jc w:val="both"/>
        <w:rPr>
          <w:rFonts w:hint="default"/>
          <w:color w:val="auto"/>
          <w:highlight w:val="none"/>
        </w:rPr>
      </w:pPr>
      <w:r>
        <w:rPr>
          <w:color w:val="auto"/>
          <w:highlight w:val="none"/>
        </w:rPr>
        <w:t>1.2资格审查的依据是招标文件和电子投标文件。</w:t>
      </w:r>
    </w:p>
    <w:p>
      <w:pPr>
        <w:pStyle w:val="23"/>
        <w:ind w:firstLine="480"/>
        <w:jc w:val="both"/>
        <w:rPr>
          <w:rFonts w:hint="default"/>
          <w:color w:val="auto"/>
          <w:highlight w:val="none"/>
        </w:rPr>
      </w:pPr>
      <w:r>
        <w:rPr>
          <w:color w:val="auto"/>
          <w:highlight w:val="none"/>
        </w:rPr>
        <w:t>1.3资格审查的范围及内容：电子投标文件（资格及资信证明部分），具体如下：</w:t>
      </w:r>
    </w:p>
    <w:p>
      <w:pPr>
        <w:pStyle w:val="23"/>
        <w:ind w:firstLine="480"/>
        <w:jc w:val="both"/>
        <w:rPr>
          <w:rFonts w:hint="default"/>
          <w:color w:val="auto"/>
          <w:highlight w:val="none"/>
        </w:rPr>
      </w:pPr>
      <w:r>
        <w:rPr>
          <w:color w:val="auto"/>
          <w:highlight w:val="none"/>
        </w:rPr>
        <w:t>（1）“投标函”；</w:t>
      </w:r>
    </w:p>
    <w:p>
      <w:pPr>
        <w:pStyle w:val="23"/>
        <w:ind w:firstLine="480"/>
        <w:jc w:val="both"/>
        <w:rPr>
          <w:rFonts w:hint="default"/>
          <w:color w:val="auto"/>
          <w:highlight w:val="none"/>
        </w:rPr>
      </w:pPr>
      <w:r>
        <w:rPr>
          <w:color w:val="auto"/>
          <w:highlight w:val="none"/>
        </w:rPr>
        <w:t>（2）“投标人的资格及资信证明文件”</w:t>
      </w:r>
    </w:p>
    <w:p>
      <w:pPr>
        <w:pStyle w:val="23"/>
        <w:ind w:firstLine="480"/>
        <w:jc w:val="both"/>
        <w:rPr>
          <w:rFonts w:hint="default"/>
          <w:color w:val="auto"/>
          <w:highlight w:val="none"/>
        </w:rPr>
      </w:pPr>
      <w:r>
        <w:rPr>
          <w:color w:val="auto"/>
          <w:highlight w:val="none"/>
        </w:rPr>
        <w:t>①一般资格证明文件：</w:t>
      </w:r>
    </w:p>
    <w:p>
      <w:pPr>
        <w:pStyle w:val="23"/>
        <w:ind w:firstLine="480"/>
        <w:jc w:val="both"/>
        <w:rPr>
          <w:rFonts w:hint="default"/>
          <w:color w:val="auto"/>
          <w:highlight w:val="none"/>
        </w:rPr>
      </w:pPr>
      <w:r>
        <w:rPr>
          <w:color w:val="auto"/>
          <w:highlight w:val="none"/>
        </w:rPr>
        <w:t>采购包1：</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553"/>
        <w:gridCol w:w="59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 xml:space="preserve"> 序号</w:t>
            </w:r>
          </w:p>
        </w:tc>
        <w:tc>
          <w:tcPr>
            <w:tcW w:w="1553" w:type="dxa"/>
          </w:tcPr>
          <w:p>
            <w:pPr>
              <w:pStyle w:val="23"/>
              <w:jc w:val="both"/>
              <w:rPr>
                <w:rFonts w:hint="default"/>
                <w:color w:val="auto"/>
                <w:highlight w:val="none"/>
              </w:rPr>
            </w:pPr>
            <w:r>
              <w:rPr>
                <w:color w:val="auto"/>
                <w:highlight w:val="none"/>
              </w:rPr>
              <w:t xml:space="preserve"> 资格审查要求概况</w:t>
            </w:r>
          </w:p>
        </w:tc>
        <w:tc>
          <w:tcPr>
            <w:tcW w:w="5922" w:type="dxa"/>
          </w:tcPr>
          <w:p>
            <w:pPr>
              <w:pStyle w:val="23"/>
              <w:jc w:val="both"/>
              <w:rPr>
                <w:rFonts w:hint="default"/>
                <w:color w:val="auto"/>
                <w:highlight w:val="none"/>
              </w:rPr>
            </w:pPr>
            <w:r>
              <w:rPr>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1</w:t>
            </w:r>
          </w:p>
        </w:tc>
        <w:tc>
          <w:tcPr>
            <w:tcW w:w="1553" w:type="dxa"/>
          </w:tcPr>
          <w:p>
            <w:pPr>
              <w:pStyle w:val="23"/>
              <w:jc w:val="both"/>
              <w:rPr>
                <w:rFonts w:hint="default"/>
                <w:color w:val="auto"/>
                <w:highlight w:val="none"/>
              </w:rPr>
            </w:pPr>
            <w:r>
              <w:rPr>
                <w:color w:val="auto"/>
                <w:highlight w:val="none"/>
              </w:rPr>
              <w:t>单位授权书</w:t>
            </w:r>
          </w:p>
        </w:tc>
        <w:tc>
          <w:tcPr>
            <w:tcW w:w="5922" w:type="dxa"/>
          </w:tcPr>
          <w:p>
            <w:pPr>
              <w:pStyle w:val="23"/>
              <w:jc w:val="both"/>
              <w:rPr>
                <w:rFonts w:hint="default"/>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2</w:t>
            </w:r>
          </w:p>
        </w:tc>
        <w:tc>
          <w:tcPr>
            <w:tcW w:w="1553" w:type="dxa"/>
          </w:tcPr>
          <w:p>
            <w:pPr>
              <w:pStyle w:val="23"/>
              <w:jc w:val="both"/>
              <w:rPr>
                <w:rFonts w:hint="default"/>
                <w:color w:val="auto"/>
                <w:highlight w:val="none"/>
              </w:rPr>
            </w:pPr>
            <w:r>
              <w:rPr>
                <w:color w:val="auto"/>
                <w:highlight w:val="none"/>
              </w:rPr>
              <w:t>营业执照等证明文件</w:t>
            </w:r>
          </w:p>
        </w:tc>
        <w:tc>
          <w:tcPr>
            <w:tcW w:w="5922" w:type="dxa"/>
          </w:tcPr>
          <w:p>
            <w:pPr>
              <w:pStyle w:val="23"/>
              <w:jc w:val="both"/>
              <w:rPr>
                <w:rFonts w:hint="default"/>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23"/>
              <w:jc w:val="both"/>
              <w:rPr>
                <w:rFonts w:hint="default"/>
                <w:color w:val="auto"/>
                <w:highlight w:val="none"/>
              </w:rPr>
            </w:pPr>
            <w:r>
              <w:rPr>
                <w:color w:val="auto"/>
                <w:highlight w:val="none"/>
              </w:rPr>
              <w:t>3</w:t>
            </w:r>
          </w:p>
        </w:tc>
        <w:tc>
          <w:tcPr>
            <w:tcW w:w="1553" w:type="dxa"/>
          </w:tcPr>
          <w:p>
            <w:pPr>
              <w:pStyle w:val="23"/>
              <w:jc w:val="both"/>
              <w:rPr>
                <w:rFonts w:hint="default"/>
                <w:color w:val="auto"/>
                <w:highlight w:val="none"/>
              </w:rPr>
            </w:pPr>
            <w:r>
              <w:rPr>
                <w:color w:val="auto"/>
                <w:highlight w:val="none"/>
              </w:rPr>
              <w:t>提供财务状况报告(财务报告、或资信证明）</w:t>
            </w:r>
          </w:p>
        </w:tc>
        <w:tc>
          <w:tcPr>
            <w:tcW w:w="5922" w:type="dxa"/>
          </w:tcPr>
          <w:p>
            <w:pPr>
              <w:pStyle w:val="23"/>
              <w:jc w:val="both"/>
              <w:rPr>
                <w:rFonts w:hint="default"/>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4</w:t>
            </w:r>
          </w:p>
        </w:tc>
        <w:tc>
          <w:tcPr>
            <w:tcW w:w="1553" w:type="dxa"/>
          </w:tcPr>
          <w:p>
            <w:pPr>
              <w:pStyle w:val="23"/>
              <w:jc w:val="both"/>
              <w:rPr>
                <w:rFonts w:hint="default"/>
                <w:color w:val="auto"/>
                <w:highlight w:val="none"/>
              </w:rPr>
            </w:pPr>
            <w:r>
              <w:rPr>
                <w:color w:val="auto"/>
                <w:highlight w:val="none"/>
              </w:rPr>
              <w:t>依法缴纳税收证明材料</w:t>
            </w:r>
          </w:p>
        </w:tc>
        <w:tc>
          <w:tcPr>
            <w:tcW w:w="5922" w:type="dxa"/>
          </w:tcPr>
          <w:p>
            <w:pPr>
              <w:pStyle w:val="23"/>
              <w:jc w:val="both"/>
              <w:rPr>
                <w:rFonts w:hint="default"/>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5</w:t>
            </w:r>
          </w:p>
        </w:tc>
        <w:tc>
          <w:tcPr>
            <w:tcW w:w="1553" w:type="dxa"/>
          </w:tcPr>
          <w:p>
            <w:pPr>
              <w:pStyle w:val="23"/>
              <w:jc w:val="both"/>
              <w:rPr>
                <w:rFonts w:hint="default"/>
                <w:color w:val="auto"/>
                <w:highlight w:val="none"/>
              </w:rPr>
            </w:pPr>
            <w:r>
              <w:rPr>
                <w:color w:val="auto"/>
                <w:highlight w:val="none"/>
              </w:rPr>
              <w:t>依法缴纳社会保障资金证明材料</w:t>
            </w:r>
          </w:p>
        </w:tc>
        <w:tc>
          <w:tcPr>
            <w:tcW w:w="5922" w:type="dxa"/>
          </w:tcPr>
          <w:p>
            <w:pPr>
              <w:pStyle w:val="23"/>
              <w:jc w:val="both"/>
              <w:rPr>
                <w:rFonts w:hint="default"/>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6</w:t>
            </w:r>
          </w:p>
        </w:tc>
        <w:tc>
          <w:tcPr>
            <w:tcW w:w="1553" w:type="dxa"/>
          </w:tcPr>
          <w:p>
            <w:pPr>
              <w:pStyle w:val="23"/>
              <w:jc w:val="both"/>
              <w:rPr>
                <w:rFonts w:hint="default"/>
                <w:color w:val="auto"/>
                <w:highlight w:val="none"/>
              </w:rPr>
            </w:pPr>
            <w:r>
              <w:rPr>
                <w:color w:val="auto"/>
                <w:highlight w:val="none"/>
              </w:rPr>
              <w:t>具备履行合同所必需设备和专业技术能力的声明函(若有)</w:t>
            </w:r>
          </w:p>
        </w:tc>
        <w:tc>
          <w:tcPr>
            <w:tcW w:w="5922" w:type="dxa"/>
          </w:tcPr>
          <w:p>
            <w:pPr>
              <w:pStyle w:val="23"/>
              <w:jc w:val="both"/>
              <w:rPr>
                <w:rFonts w:hint="default"/>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23"/>
              <w:jc w:val="both"/>
              <w:rPr>
                <w:rFonts w:hint="default"/>
                <w:color w:val="auto"/>
                <w:highlight w:val="none"/>
              </w:rPr>
            </w:pPr>
            <w:r>
              <w:rPr>
                <w:color w:val="auto"/>
                <w:highlight w:val="none"/>
              </w:rPr>
              <w:t>7</w:t>
            </w:r>
          </w:p>
        </w:tc>
        <w:tc>
          <w:tcPr>
            <w:tcW w:w="1553" w:type="dxa"/>
          </w:tcPr>
          <w:p>
            <w:pPr>
              <w:pStyle w:val="23"/>
              <w:jc w:val="both"/>
              <w:rPr>
                <w:rFonts w:hint="default"/>
                <w:color w:val="auto"/>
                <w:highlight w:val="none"/>
              </w:rPr>
            </w:pPr>
            <w:r>
              <w:rPr>
                <w:color w:val="auto"/>
                <w:highlight w:val="none"/>
              </w:rPr>
              <w:t>参加采购活动前三年内在经营活动中没有重大违法记录的声明</w:t>
            </w:r>
          </w:p>
        </w:tc>
        <w:tc>
          <w:tcPr>
            <w:tcW w:w="5922" w:type="dxa"/>
          </w:tcPr>
          <w:p>
            <w:pPr>
              <w:pStyle w:val="23"/>
              <w:jc w:val="both"/>
              <w:rPr>
                <w:rFonts w:hint="default"/>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8</w:t>
            </w:r>
          </w:p>
        </w:tc>
        <w:tc>
          <w:tcPr>
            <w:tcW w:w="1553" w:type="dxa"/>
          </w:tcPr>
          <w:p>
            <w:pPr>
              <w:pStyle w:val="23"/>
              <w:jc w:val="both"/>
              <w:rPr>
                <w:rFonts w:hint="default"/>
                <w:color w:val="auto"/>
                <w:highlight w:val="none"/>
              </w:rPr>
            </w:pPr>
            <w:r>
              <w:rPr>
                <w:color w:val="auto"/>
                <w:highlight w:val="none"/>
              </w:rPr>
              <w:t>信用记录查询结果</w:t>
            </w:r>
          </w:p>
        </w:tc>
        <w:tc>
          <w:tcPr>
            <w:tcW w:w="5922" w:type="dxa"/>
          </w:tcPr>
          <w:p>
            <w:pPr>
              <w:pStyle w:val="23"/>
              <w:jc w:val="both"/>
              <w:rPr>
                <w:rFonts w:hint="default"/>
                <w:color w:val="auto"/>
                <w:highlight w:val="none"/>
              </w:rPr>
            </w:pPr>
            <w:r>
              <w:rPr>
                <w:color w:val="auto"/>
                <w:highlight w:val="none"/>
              </w:rPr>
              <w:t>①信用记录查询的截止</w:t>
            </w:r>
            <w:r>
              <w:rPr>
                <w:rFonts w:hint="eastAsia"/>
                <w:color w:val="auto"/>
                <w:highlight w:val="none"/>
                <w:lang w:eastAsia="zh-CN"/>
              </w:rPr>
              <w:t>时间</w:t>
            </w:r>
            <w:r>
              <w:rPr>
                <w:color w:val="auto"/>
                <w:highlight w:val="none"/>
              </w:rPr>
              <w:t>：信用记录查询的截止</w:t>
            </w:r>
            <w:r>
              <w:rPr>
                <w:rFonts w:hint="eastAsia"/>
                <w:color w:val="auto"/>
                <w:highlight w:val="none"/>
                <w:lang w:eastAsia="zh-CN"/>
              </w:rPr>
              <w:t>时间</w:t>
            </w:r>
            <w:r>
              <w:rPr>
                <w:color w:val="auto"/>
                <w:highlight w:val="none"/>
              </w:rPr>
              <w:t>为本项目投标</w:t>
            </w:r>
            <w:r>
              <w:rPr>
                <w:rFonts w:hint="eastAsia"/>
                <w:color w:val="auto"/>
                <w:highlight w:val="none"/>
                <w:lang w:eastAsia="zh-CN"/>
              </w:rPr>
              <w:t>截至当日</w:t>
            </w:r>
            <w:r>
              <w:rPr>
                <w:color w:val="auto"/>
                <w:highlight w:val="none"/>
              </w:rPr>
              <w:t>。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9</w:t>
            </w:r>
          </w:p>
        </w:tc>
        <w:tc>
          <w:tcPr>
            <w:tcW w:w="1553" w:type="dxa"/>
          </w:tcPr>
          <w:p>
            <w:pPr>
              <w:pStyle w:val="23"/>
              <w:jc w:val="both"/>
              <w:rPr>
                <w:rFonts w:hint="default"/>
                <w:color w:val="auto"/>
                <w:highlight w:val="none"/>
              </w:rPr>
            </w:pPr>
            <w:r>
              <w:rPr>
                <w:color w:val="auto"/>
                <w:highlight w:val="none"/>
              </w:rPr>
              <w:t>中小企业声明函（以资格条件落实中小企业扶持政策时适用 ）</w:t>
            </w:r>
          </w:p>
        </w:tc>
        <w:tc>
          <w:tcPr>
            <w:tcW w:w="5922" w:type="dxa"/>
          </w:tcPr>
          <w:p>
            <w:pPr>
              <w:pStyle w:val="23"/>
              <w:jc w:val="both"/>
              <w:rPr>
                <w:rFonts w:hint="default"/>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10</w:t>
            </w:r>
          </w:p>
        </w:tc>
        <w:tc>
          <w:tcPr>
            <w:tcW w:w="1553" w:type="dxa"/>
          </w:tcPr>
          <w:p>
            <w:pPr>
              <w:pStyle w:val="23"/>
              <w:jc w:val="both"/>
              <w:rPr>
                <w:rFonts w:hint="default"/>
                <w:color w:val="auto"/>
                <w:highlight w:val="none"/>
              </w:rPr>
            </w:pPr>
            <w:r>
              <w:rPr>
                <w:color w:val="auto"/>
                <w:highlight w:val="none"/>
              </w:rPr>
              <w:t>联合体协议（若有）</w:t>
            </w:r>
          </w:p>
        </w:tc>
        <w:tc>
          <w:tcPr>
            <w:tcW w:w="5922" w:type="dxa"/>
          </w:tcPr>
          <w:p>
            <w:pPr>
              <w:pStyle w:val="23"/>
              <w:jc w:val="both"/>
              <w:rPr>
                <w:rFonts w:hint="default"/>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23"/>
        <w:ind w:firstLine="480"/>
        <w:jc w:val="both"/>
        <w:rPr>
          <w:rFonts w:hint="default"/>
          <w:color w:val="auto"/>
          <w:highlight w:val="none"/>
        </w:rPr>
      </w:pPr>
      <w:r>
        <w:rPr>
          <w:color w:val="auto"/>
          <w:highlight w:val="none"/>
        </w:rPr>
        <w:t>※备注说明</w:t>
      </w:r>
    </w:p>
    <w:p>
      <w:pPr>
        <w:pStyle w:val="23"/>
        <w:ind w:firstLine="480"/>
        <w:jc w:val="both"/>
        <w:rPr>
          <w:rFonts w:hint="default"/>
          <w:color w:val="auto"/>
          <w:highlight w:val="none"/>
        </w:rPr>
      </w:pPr>
      <w:r>
        <w:rPr>
          <w:color w:val="auto"/>
          <w:highlight w:val="none"/>
        </w:rPr>
        <w:t>①投标人应根据自身实际情况提供上述资格要求的证明材料，格式可参考招标文件第七章提供。</w:t>
      </w:r>
      <w:bookmarkStart w:id="14" w:name="_GoBack"/>
      <w:bookmarkEnd w:id="14"/>
    </w:p>
    <w:p>
      <w:pPr>
        <w:pStyle w:val="23"/>
        <w:ind w:firstLine="480"/>
        <w:jc w:val="both"/>
        <w:rPr>
          <w:rFonts w:hint="default"/>
          <w:color w:val="auto"/>
          <w:highlight w:val="none"/>
        </w:rPr>
      </w:pPr>
      <w:r>
        <w:rPr>
          <w:color w:val="auto"/>
          <w:highlight w:val="none"/>
        </w:rPr>
        <w:t>②投标人提供的相应证明材料复印件均应符合：内容完整、清晰、整洁，并由投标人加盖其单位公章。</w:t>
      </w:r>
    </w:p>
    <w:p>
      <w:pPr>
        <w:pStyle w:val="23"/>
        <w:ind w:firstLine="480"/>
        <w:jc w:val="both"/>
        <w:rPr>
          <w:rFonts w:hint="default"/>
          <w:color w:val="auto"/>
          <w:highlight w:val="none"/>
        </w:rPr>
      </w:pPr>
      <w:r>
        <w:rPr>
          <w:color w:val="auto"/>
          <w:highlight w:val="none"/>
        </w:rPr>
        <w:t>②.其他资格证明文件：</w:t>
      </w:r>
    </w:p>
    <w:p>
      <w:pPr>
        <w:pStyle w:val="23"/>
        <w:rPr>
          <w:rFonts w:hint="default"/>
          <w:color w:val="auto"/>
          <w:highlight w:val="none"/>
        </w:rPr>
      </w:pPr>
      <w:r>
        <w:rPr>
          <w:color w:val="auto"/>
          <w:highlight w:val="none"/>
        </w:rPr>
        <w:t>采购包1：</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50"/>
        <w:gridCol w:w="67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0" w:type="dxa"/>
          </w:tcPr>
          <w:p>
            <w:pPr>
              <w:pStyle w:val="23"/>
              <w:rPr>
                <w:rFonts w:hint="default"/>
                <w:color w:val="auto"/>
                <w:highlight w:val="none"/>
              </w:rPr>
            </w:pPr>
            <w:r>
              <w:rPr>
                <w:color w:val="auto"/>
                <w:highlight w:val="none"/>
              </w:rPr>
              <w:t xml:space="preserve"> 资格审查要求概况</w:t>
            </w:r>
          </w:p>
        </w:tc>
        <w:tc>
          <w:tcPr>
            <w:tcW w:w="6756" w:type="dxa"/>
          </w:tcPr>
          <w:p>
            <w:pPr>
              <w:pStyle w:val="23"/>
              <w:rPr>
                <w:rFonts w:hint="default"/>
                <w:color w:val="auto"/>
                <w:highlight w:val="none"/>
              </w:rPr>
            </w:pPr>
            <w:r>
              <w:rPr>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0" w:type="dxa"/>
          </w:tcPr>
          <w:p>
            <w:pPr>
              <w:pStyle w:val="23"/>
              <w:rPr>
                <w:rFonts w:hint="default"/>
                <w:color w:val="auto"/>
                <w:highlight w:val="none"/>
              </w:rPr>
            </w:pPr>
            <w:r>
              <w:rPr>
                <w:color w:val="auto"/>
                <w:highlight w:val="none"/>
              </w:rPr>
              <w:t>信用记录查询结果增补内容</w:t>
            </w:r>
          </w:p>
        </w:tc>
        <w:tc>
          <w:tcPr>
            <w:tcW w:w="6756" w:type="dxa"/>
          </w:tcPr>
          <w:p>
            <w:pPr>
              <w:pStyle w:val="23"/>
              <w:rPr>
                <w:rFonts w:hint="default"/>
                <w:color w:val="auto"/>
                <w:highlight w:val="none"/>
              </w:rPr>
            </w:pPr>
            <w:r>
              <w:rPr>
                <w:color w:val="auto"/>
                <w:highlight w:val="none"/>
              </w:rPr>
              <w:t>在一般资格证明文件中关于“信用记录查询结果”要求的基础上，对于厦门市政府采购项目，还应符合《关于进一步规范供应商信用记录查询使用的通知》（厦财采〔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0" w:type="dxa"/>
          </w:tcPr>
          <w:p>
            <w:pPr>
              <w:pStyle w:val="23"/>
              <w:rPr>
                <w:rFonts w:hint="default"/>
                <w:color w:val="auto"/>
                <w:highlight w:val="none"/>
              </w:rPr>
            </w:pPr>
            <w:r>
              <w:rPr>
                <w:color w:val="auto"/>
                <w:highlight w:val="none"/>
              </w:rPr>
              <w:t>“信用承诺制”要求</w:t>
            </w:r>
          </w:p>
        </w:tc>
        <w:tc>
          <w:tcPr>
            <w:tcW w:w="6756" w:type="dxa"/>
          </w:tcPr>
          <w:p>
            <w:pPr>
              <w:pStyle w:val="23"/>
              <w:rPr>
                <w:rFonts w:hint="default"/>
                <w:color w:val="auto"/>
                <w:highlight w:val="none"/>
              </w:rPr>
            </w:pPr>
            <w:r>
              <w:rPr>
                <w:color w:val="auto"/>
                <w:highlight w:val="none"/>
              </w:rPr>
              <w:t>本项目允许采用“信用承诺制”，根据《厦门市财政局关于进一步减轻供应商参与政府采购活动成本负担的通知》（厦财采〔2021〕5号）规定，投标人提供“资格承诺函”的即可参加采购活动，在投标文件中无需再提供财务状况报告、依法缴纳税收和社会保障资金的相关证明材料。投标人应当遵循诚实信用原则，不得作虚假承诺。投标人承诺不实的，属于提供虚假材料谋取中标，应依法承担相应的法律责任。</w:t>
            </w:r>
          </w:p>
        </w:tc>
      </w:tr>
    </w:tbl>
    <w:p>
      <w:pPr>
        <w:pStyle w:val="23"/>
        <w:ind w:firstLine="480"/>
        <w:jc w:val="both"/>
        <w:rPr>
          <w:rFonts w:hint="default"/>
          <w:color w:val="auto"/>
          <w:highlight w:val="none"/>
        </w:rPr>
      </w:pPr>
      <w:r>
        <w:rPr>
          <w:color w:val="auto"/>
          <w:highlight w:val="none"/>
        </w:rPr>
        <w:t>（3）投标保证金。</w:t>
      </w:r>
    </w:p>
    <w:p>
      <w:pPr>
        <w:pStyle w:val="23"/>
        <w:ind w:firstLine="480"/>
        <w:jc w:val="both"/>
        <w:rPr>
          <w:rFonts w:hint="default"/>
          <w:color w:val="auto"/>
          <w:highlight w:val="none"/>
        </w:rPr>
      </w:pPr>
      <w:r>
        <w:rPr>
          <w:color w:val="auto"/>
          <w:highlight w:val="none"/>
        </w:rPr>
        <w:t>1.4有下列情形之一的，资格审查不合格：</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rPr>
                <w:rFonts w:hint="default"/>
                <w:color w:val="auto"/>
                <w:highlight w:val="none"/>
              </w:rPr>
            </w:pPr>
            <w:r>
              <w:rPr>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rPr>
                <w:rFonts w:hint="default"/>
                <w:color w:val="auto"/>
                <w:highlight w:val="none"/>
              </w:rPr>
            </w:pPr>
            <w:r>
              <w:rPr>
                <w:color w:val="auto"/>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rPr>
                <w:rFonts w:hint="default"/>
                <w:color w:val="auto"/>
                <w:highlight w:val="none"/>
              </w:rPr>
            </w:pPr>
            <w:r>
              <w:rPr>
                <w:color w:val="auto"/>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23"/>
              <w:rPr>
                <w:rFonts w:hint="default"/>
                <w:color w:val="auto"/>
                <w:highlight w:val="none"/>
              </w:rPr>
            </w:pPr>
            <w:r>
              <w:rPr>
                <w:color w:val="auto"/>
                <w:highlight w:val="none"/>
              </w:rPr>
              <w:t>未按照招标文件规定提交投标保证金</w:t>
            </w:r>
          </w:p>
        </w:tc>
      </w:tr>
    </w:tbl>
    <w:p>
      <w:pPr>
        <w:pStyle w:val="23"/>
        <w:ind w:firstLine="480"/>
        <w:rPr>
          <w:rFonts w:hint="default"/>
          <w:color w:val="auto"/>
          <w:highlight w:val="none"/>
        </w:rPr>
      </w:pPr>
      <w:r>
        <w:rPr>
          <w:color w:val="auto"/>
          <w:highlight w:val="none"/>
        </w:rPr>
        <w:t>采购包1：</w:t>
      </w:r>
    </w:p>
    <w:p>
      <w:pPr>
        <w:pStyle w:val="23"/>
        <w:rPr>
          <w:rFonts w:hint="default"/>
          <w:color w:val="auto"/>
          <w:highlight w:val="none"/>
        </w:rPr>
      </w:pPr>
      <w:r>
        <w:rPr>
          <w:color w:val="auto"/>
          <w:highlight w:val="none"/>
        </w:rPr>
        <w:t>资格审查不合格项：无</w:t>
      </w:r>
    </w:p>
    <w:p>
      <w:pPr>
        <w:pStyle w:val="23"/>
        <w:ind w:firstLine="480"/>
        <w:jc w:val="both"/>
        <w:rPr>
          <w:rFonts w:hint="default"/>
          <w:color w:val="auto"/>
          <w:highlight w:val="none"/>
        </w:rPr>
      </w:pPr>
      <w:r>
        <w:rPr>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23"/>
        <w:ind w:firstLine="480"/>
        <w:jc w:val="both"/>
        <w:rPr>
          <w:rFonts w:hint="default"/>
          <w:color w:val="auto"/>
          <w:highlight w:val="none"/>
        </w:rPr>
      </w:pPr>
      <w:r>
        <w:rPr>
          <w:color w:val="auto"/>
          <w:highlight w:val="none"/>
        </w:rPr>
        <w:t xml:space="preserve">2、资格审查情况不得私自外泄，有关信息由 </w:t>
      </w:r>
      <w:r>
        <w:rPr>
          <w:color w:val="auto"/>
          <w:highlight w:val="none"/>
          <w:u w:val="single"/>
          <w:lang w:eastAsia="zh-CN"/>
        </w:rPr>
        <w:t xml:space="preserve">            </w:t>
      </w:r>
      <w:r>
        <w:rPr>
          <w:color w:val="auto"/>
          <w:highlight w:val="none"/>
        </w:rPr>
        <w:t xml:space="preserve"> 统一对外发布。</w:t>
      </w:r>
    </w:p>
    <w:p>
      <w:pPr>
        <w:pStyle w:val="23"/>
        <w:ind w:firstLine="480"/>
        <w:jc w:val="both"/>
        <w:rPr>
          <w:rFonts w:hint="default"/>
          <w:color w:val="auto"/>
          <w:highlight w:val="none"/>
        </w:rPr>
      </w:pPr>
      <w:r>
        <w:rPr>
          <w:color w:val="auto"/>
          <w:highlight w:val="none"/>
        </w:rPr>
        <w:t xml:space="preserve">3、资格审查合格的投标人不足三家的，不进行评标。同时，本次采购活动结束， </w:t>
      </w:r>
      <w:r>
        <w:rPr>
          <w:color w:val="auto"/>
          <w:highlight w:val="none"/>
          <w:u w:val="single"/>
          <w:lang w:eastAsia="zh-CN"/>
        </w:rPr>
        <w:t xml:space="preserve">        </w:t>
      </w:r>
      <w:r>
        <w:rPr>
          <w:color w:val="auto"/>
          <w:highlight w:val="none"/>
        </w:rPr>
        <w:t xml:space="preserve"> 将依法组织后续采购活动（包括但不限于：重新招标、采用其他方式采购等）。</w:t>
      </w:r>
    </w:p>
    <w:p>
      <w:pPr>
        <w:pStyle w:val="23"/>
        <w:jc w:val="both"/>
        <w:outlineLvl w:val="2"/>
        <w:rPr>
          <w:rFonts w:hint="default"/>
          <w:color w:val="auto"/>
          <w:highlight w:val="none"/>
        </w:rPr>
      </w:pPr>
      <w:bookmarkStart w:id="5" w:name="_Toc12586"/>
      <w:r>
        <w:rPr>
          <w:b/>
          <w:color w:val="auto"/>
          <w:sz w:val="28"/>
          <w:highlight w:val="none"/>
        </w:rPr>
        <w:t>二、评标</w:t>
      </w:r>
      <w:bookmarkEnd w:id="5"/>
    </w:p>
    <w:p>
      <w:pPr>
        <w:pStyle w:val="23"/>
        <w:ind w:firstLine="480"/>
        <w:jc w:val="both"/>
        <w:rPr>
          <w:rFonts w:hint="default"/>
          <w:color w:val="auto"/>
          <w:highlight w:val="none"/>
        </w:rPr>
      </w:pPr>
      <w:r>
        <w:rPr>
          <w:color w:val="auto"/>
          <w:highlight w:val="none"/>
        </w:rPr>
        <w:t xml:space="preserve">4、资格审查结束后，由 </w:t>
      </w:r>
      <w:r>
        <w:rPr>
          <w:color w:val="auto"/>
          <w:highlight w:val="none"/>
          <w:u w:val="single"/>
          <w:lang w:eastAsia="zh-CN"/>
        </w:rPr>
        <w:t xml:space="preserve">        </w:t>
      </w:r>
      <w:r>
        <w:rPr>
          <w:color w:val="auto"/>
          <w:highlight w:val="none"/>
        </w:rPr>
        <w:t xml:space="preserve"> 负责评标委员会的组建及评标工作的组织。</w:t>
      </w:r>
    </w:p>
    <w:p>
      <w:pPr>
        <w:pStyle w:val="23"/>
        <w:ind w:firstLine="480"/>
        <w:jc w:val="both"/>
        <w:rPr>
          <w:rFonts w:hint="default"/>
          <w:color w:val="auto"/>
          <w:highlight w:val="none"/>
        </w:rPr>
      </w:pPr>
      <w:r>
        <w:rPr>
          <w:color w:val="auto"/>
          <w:highlight w:val="none"/>
        </w:rPr>
        <w:t>5、评标委员会</w:t>
      </w:r>
    </w:p>
    <w:p>
      <w:pPr>
        <w:pStyle w:val="23"/>
        <w:ind w:firstLine="480"/>
        <w:jc w:val="both"/>
        <w:rPr>
          <w:rFonts w:hint="default"/>
          <w:color w:val="auto"/>
          <w:highlight w:val="none"/>
        </w:rPr>
      </w:pPr>
      <w:r>
        <w:rPr>
          <w:color w:val="auto"/>
          <w:highlight w:val="none"/>
        </w:rPr>
        <w:t>由采购人代表和评审专家两部分共5人组成，其中由福建省政府采购评审专家库产生的评审专家4人，由采购人派出的采购人代表1人。</w:t>
      </w:r>
    </w:p>
    <w:p>
      <w:pPr>
        <w:pStyle w:val="23"/>
        <w:ind w:firstLine="480"/>
        <w:jc w:val="both"/>
        <w:rPr>
          <w:rFonts w:hint="default"/>
          <w:color w:val="auto"/>
          <w:highlight w:val="none"/>
        </w:rPr>
      </w:pPr>
      <w:r>
        <w:rPr>
          <w:color w:val="auto"/>
          <w:highlight w:val="none"/>
        </w:rPr>
        <w:t>5.2评标委员会负责具体评标事务，并按照下列原则依法独立履行有关职责：</w:t>
      </w:r>
    </w:p>
    <w:p>
      <w:pPr>
        <w:pStyle w:val="23"/>
        <w:ind w:firstLine="480"/>
        <w:jc w:val="both"/>
        <w:rPr>
          <w:rFonts w:hint="default"/>
          <w:color w:val="auto"/>
          <w:highlight w:val="none"/>
        </w:rPr>
      </w:pPr>
      <w:r>
        <w:rPr>
          <w:color w:val="auto"/>
          <w:highlight w:val="none"/>
        </w:rPr>
        <w:t>（1）评标应保护国家利益、社会公共利益和各方当事人合法权益，提高采购效益，保证项目质量。</w:t>
      </w:r>
    </w:p>
    <w:p>
      <w:pPr>
        <w:pStyle w:val="23"/>
        <w:ind w:firstLine="480"/>
        <w:jc w:val="both"/>
        <w:rPr>
          <w:rFonts w:hint="default"/>
          <w:color w:val="auto"/>
          <w:highlight w:val="none"/>
        </w:rPr>
      </w:pPr>
      <w:r>
        <w:rPr>
          <w:color w:val="auto"/>
          <w:highlight w:val="none"/>
        </w:rPr>
        <w:t>（2）评标应遵循公平、公正、科学、严谨和择优原则。</w:t>
      </w:r>
    </w:p>
    <w:p>
      <w:pPr>
        <w:pStyle w:val="23"/>
        <w:ind w:firstLine="480"/>
        <w:jc w:val="both"/>
        <w:rPr>
          <w:rFonts w:hint="default"/>
          <w:color w:val="auto"/>
          <w:highlight w:val="none"/>
        </w:rPr>
      </w:pPr>
      <w:r>
        <w:rPr>
          <w:color w:val="auto"/>
          <w:highlight w:val="none"/>
        </w:rPr>
        <w:t>（3）评标的依据是招标文件和电子投标文件。</w:t>
      </w:r>
    </w:p>
    <w:p>
      <w:pPr>
        <w:pStyle w:val="23"/>
        <w:ind w:firstLine="480"/>
        <w:jc w:val="both"/>
        <w:rPr>
          <w:rFonts w:hint="default"/>
          <w:color w:val="auto"/>
          <w:highlight w:val="none"/>
        </w:rPr>
      </w:pPr>
      <w:r>
        <w:rPr>
          <w:color w:val="auto"/>
          <w:highlight w:val="none"/>
        </w:rPr>
        <w:t>（4）应按照招标文件规定推荐中标候选人或确定中标人。</w:t>
      </w:r>
    </w:p>
    <w:p>
      <w:pPr>
        <w:pStyle w:val="23"/>
        <w:ind w:firstLine="480"/>
        <w:jc w:val="both"/>
        <w:rPr>
          <w:rFonts w:hint="default"/>
          <w:color w:val="auto"/>
          <w:highlight w:val="none"/>
        </w:rPr>
      </w:pPr>
      <w:r>
        <w:rPr>
          <w:color w:val="auto"/>
          <w:highlight w:val="none"/>
        </w:rPr>
        <w:t>（5）评标应遵守下列评标纪律：</w:t>
      </w:r>
    </w:p>
    <w:p>
      <w:pPr>
        <w:pStyle w:val="23"/>
        <w:ind w:firstLine="480"/>
        <w:jc w:val="both"/>
        <w:rPr>
          <w:rFonts w:hint="default"/>
          <w:color w:val="auto"/>
          <w:highlight w:val="none"/>
        </w:rPr>
      </w:pPr>
      <w:r>
        <w:rPr>
          <w:color w:val="auto"/>
          <w:highlight w:val="none"/>
        </w:rPr>
        <w:t xml:space="preserve">①评标情况不得私自外泄，有关信息由 </w:t>
      </w:r>
      <w:r>
        <w:rPr>
          <w:color w:val="auto"/>
          <w:highlight w:val="none"/>
          <w:u w:val="single"/>
          <w:lang w:eastAsia="zh-CN"/>
        </w:rPr>
        <w:t xml:space="preserve">              </w:t>
      </w:r>
      <w:r>
        <w:rPr>
          <w:color w:val="auto"/>
          <w:highlight w:val="none"/>
        </w:rPr>
        <w:t xml:space="preserve"> 统一对外发布。</w:t>
      </w:r>
    </w:p>
    <w:p>
      <w:pPr>
        <w:pStyle w:val="23"/>
        <w:ind w:firstLine="480"/>
        <w:jc w:val="both"/>
        <w:rPr>
          <w:rFonts w:hint="default"/>
          <w:color w:val="auto"/>
          <w:highlight w:val="none"/>
        </w:rPr>
      </w:pPr>
      <w:r>
        <w:rPr>
          <w:color w:val="auto"/>
          <w:highlight w:val="none"/>
        </w:rPr>
        <w:t xml:space="preserve">②对 </w:t>
      </w:r>
      <w:r>
        <w:rPr>
          <w:color w:val="auto"/>
          <w:highlight w:val="none"/>
          <w:u w:val="single"/>
          <w:lang w:eastAsia="zh-CN"/>
        </w:rPr>
        <w:t xml:space="preserve">           </w:t>
      </w:r>
      <w:r>
        <w:rPr>
          <w:color w:val="auto"/>
          <w:highlight w:val="none"/>
        </w:rPr>
        <w:t xml:space="preserve"> 或投标人提供的要求保密的资料，不得摘记翻印和外传。</w:t>
      </w:r>
    </w:p>
    <w:p>
      <w:pPr>
        <w:pStyle w:val="23"/>
        <w:ind w:firstLine="480"/>
        <w:jc w:val="both"/>
        <w:rPr>
          <w:rFonts w:hint="default"/>
          <w:color w:val="auto"/>
          <w:highlight w:val="none"/>
        </w:rPr>
      </w:pPr>
      <w:r>
        <w:rPr>
          <w:color w:val="auto"/>
          <w:highlight w:val="none"/>
        </w:rPr>
        <w:t>③不得收受投标人或有关人员的任何礼物，不得串联鼓动其他人袒护某投标人。若与投标人存在利害关系，则应主动声明并回避。</w:t>
      </w:r>
    </w:p>
    <w:p>
      <w:pPr>
        <w:pStyle w:val="23"/>
        <w:ind w:firstLine="480"/>
        <w:jc w:val="both"/>
        <w:rPr>
          <w:rFonts w:hint="default"/>
          <w:color w:val="auto"/>
          <w:highlight w:val="none"/>
        </w:rPr>
      </w:pPr>
      <w:r>
        <w:rPr>
          <w:color w:val="auto"/>
          <w:highlight w:val="none"/>
        </w:rPr>
        <w:t>④全体评委应按照招标文件规定进行评标，一切认定事项应查有实据且不得弄虚作假。</w:t>
      </w:r>
    </w:p>
    <w:p>
      <w:pPr>
        <w:pStyle w:val="23"/>
        <w:ind w:firstLine="480"/>
        <w:jc w:val="both"/>
        <w:rPr>
          <w:rFonts w:hint="default"/>
          <w:color w:val="auto"/>
          <w:highlight w:val="none"/>
        </w:rPr>
      </w:pPr>
      <w:r>
        <w:rPr>
          <w:color w:val="auto"/>
          <w:highlight w:val="none"/>
        </w:rPr>
        <w:t>⑤评标中应充分发扬民主，推荐中标候选人或确定中标人后要服从评标报告。</w:t>
      </w:r>
    </w:p>
    <w:p>
      <w:pPr>
        <w:pStyle w:val="23"/>
        <w:ind w:firstLine="480"/>
        <w:jc w:val="both"/>
        <w:rPr>
          <w:rFonts w:hint="default"/>
          <w:color w:val="auto"/>
          <w:highlight w:val="none"/>
        </w:rPr>
      </w:pPr>
      <w:r>
        <w:rPr>
          <w:color w:val="auto"/>
          <w:highlight w:val="none"/>
        </w:rPr>
        <w:t>※对违反评标纪律的评委，将取消其评委资格，对评标工作造成严重损失者将予以通报批评乃至追究法律责任。</w:t>
      </w:r>
    </w:p>
    <w:p>
      <w:pPr>
        <w:pStyle w:val="23"/>
        <w:ind w:firstLine="480"/>
        <w:jc w:val="both"/>
        <w:rPr>
          <w:rFonts w:hint="default"/>
          <w:color w:val="auto"/>
          <w:highlight w:val="none"/>
        </w:rPr>
      </w:pPr>
      <w:r>
        <w:rPr>
          <w:color w:val="auto"/>
          <w:highlight w:val="none"/>
        </w:rPr>
        <w:t>6、评标程序</w:t>
      </w:r>
    </w:p>
    <w:p>
      <w:pPr>
        <w:pStyle w:val="23"/>
        <w:ind w:firstLine="480"/>
        <w:jc w:val="both"/>
        <w:rPr>
          <w:rFonts w:hint="default"/>
          <w:color w:val="auto"/>
          <w:highlight w:val="none"/>
        </w:rPr>
      </w:pPr>
      <w:r>
        <w:rPr>
          <w:color w:val="auto"/>
          <w:highlight w:val="none"/>
        </w:rPr>
        <w:t>6.1评标前的准备工作</w:t>
      </w:r>
    </w:p>
    <w:p>
      <w:pPr>
        <w:pStyle w:val="23"/>
        <w:ind w:firstLine="480"/>
        <w:jc w:val="both"/>
        <w:rPr>
          <w:rFonts w:hint="default"/>
          <w:color w:val="auto"/>
          <w:highlight w:val="none"/>
        </w:rPr>
      </w:pPr>
      <w:r>
        <w:rPr>
          <w:color w:val="auto"/>
          <w:highlight w:val="none"/>
        </w:rPr>
        <w:t>（1）全体评委应认真审阅招标文件，了解评委应履行或遵守的职责、义务和评标纪律。</w:t>
      </w:r>
    </w:p>
    <w:p>
      <w:pPr>
        <w:pStyle w:val="23"/>
        <w:ind w:firstLine="480"/>
        <w:jc w:val="both"/>
        <w:rPr>
          <w:rFonts w:hint="default"/>
          <w:color w:val="auto"/>
          <w:highlight w:val="none"/>
        </w:rPr>
      </w:pPr>
      <w:r>
        <w:rPr>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23"/>
        <w:ind w:firstLine="480"/>
        <w:jc w:val="both"/>
        <w:rPr>
          <w:rFonts w:hint="default"/>
          <w:color w:val="auto"/>
          <w:highlight w:val="none"/>
        </w:rPr>
      </w:pPr>
      <w:r>
        <w:rPr>
          <w:color w:val="auto"/>
          <w:highlight w:val="none"/>
        </w:rPr>
        <w:t>6.2符合性审查</w:t>
      </w:r>
    </w:p>
    <w:p>
      <w:pPr>
        <w:pStyle w:val="23"/>
        <w:ind w:firstLine="480"/>
        <w:jc w:val="both"/>
        <w:rPr>
          <w:rFonts w:hint="default"/>
          <w:color w:val="auto"/>
          <w:highlight w:val="none"/>
        </w:rPr>
      </w:pPr>
      <w:r>
        <w:rPr>
          <w:color w:val="auto"/>
          <w:highlight w:val="none"/>
        </w:rPr>
        <w:t>（1）评标委员会依据招标文件的实质性要求，对通过资格审查的电子投标文件进行符合性审查，以确定其是否满足招标文件的实质性要求。</w:t>
      </w:r>
    </w:p>
    <w:p>
      <w:pPr>
        <w:pStyle w:val="23"/>
        <w:ind w:firstLine="480"/>
        <w:jc w:val="both"/>
        <w:rPr>
          <w:rFonts w:hint="default"/>
          <w:color w:val="auto"/>
          <w:highlight w:val="none"/>
        </w:rPr>
      </w:pPr>
      <w:r>
        <w:rPr>
          <w:color w:val="auto"/>
          <w:highlight w:val="none"/>
        </w:rPr>
        <w:t>（2）满足招标文件的实质性要求指电子投标文件对招标文件实质性要求的响应不存在重大偏差或保留。</w:t>
      </w:r>
    </w:p>
    <w:p>
      <w:pPr>
        <w:pStyle w:val="23"/>
        <w:ind w:firstLine="480"/>
        <w:jc w:val="both"/>
        <w:rPr>
          <w:rFonts w:hint="default"/>
          <w:color w:val="auto"/>
          <w:highlight w:val="none"/>
        </w:rPr>
      </w:pPr>
      <w:r>
        <w:rPr>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23"/>
        <w:ind w:firstLine="480"/>
        <w:jc w:val="both"/>
        <w:rPr>
          <w:rFonts w:hint="default"/>
          <w:color w:val="auto"/>
          <w:highlight w:val="none"/>
        </w:rPr>
      </w:pPr>
      <w:r>
        <w:rPr>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23"/>
        <w:ind w:firstLine="480"/>
        <w:jc w:val="both"/>
        <w:rPr>
          <w:rFonts w:hint="default"/>
          <w:color w:val="auto"/>
          <w:highlight w:val="none"/>
        </w:rPr>
      </w:pPr>
      <w:r>
        <w:rPr>
          <w:color w:val="auto"/>
          <w:highlight w:val="none"/>
        </w:rPr>
        <w:t>（5）评标委员会对所有投标人都执行相同的程序和标准。</w:t>
      </w:r>
    </w:p>
    <w:p>
      <w:pPr>
        <w:pStyle w:val="23"/>
        <w:ind w:firstLine="480"/>
        <w:jc w:val="both"/>
        <w:rPr>
          <w:rFonts w:hint="default"/>
          <w:color w:val="auto"/>
          <w:highlight w:val="none"/>
        </w:rPr>
      </w:pPr>
      <w:r>
        <w:rPr>
          <w:color w:val="auto"/>
          <w:highlight w:val="none"/>
        </w:rPr>
        <w:t>（6）有下列情形之一的，符合性审查不合格：</w:t>
      </w:r>
    </w:p>
    <w:p>
      <w:pPr>
        <w:pStyle w:val="23"/>
        <w:ind w:firstLine="480"/>
        <w:jc w:val="both"/>
        <w:rPr>
          <w:rFonts w:hint="default"/>
          <w:color w:val="auto"/>
          <w:highlight w:val="none"/>
        </w:rPr>
      </w:pPr>
      <w:r>
        <w:rPr>
          <w:color w:val="auto"/>
          <w:highlight w:val="none"/>
        </w:rPr>
        <w:t>①项目一般情形：</w:t>
      </w:r>
    </w:p>
    <w:p>
      <w:pPr>
        <w:pStyle w:val="23"/>
        <w:rPr>
          <w:rFonts w:hint="default"/>
          <w:color w:val="auto"/>
          <w:highlight w:val="none"/>
        </w:rPr>
      </w:pPr>
      <w:r>
        <w:rPr>
          <w:color w:val="auto"/>
          <w:highlight w:val="none"/>
        </w:rPr>
        <w:t>采购包1：</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0"/>
        <w:gridCol w:w="2034"/>
        <w:gridCol w:w="55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23"/>
              <w:rPr>
                <w:rFonts w:hint="default"/>
                <w:color w:val="auto"/>
                <w:highlight w:val="none"/>
              </w:rPr>
            </w:pPr>
            <w:r>
              <w:rPr>
                <w:color w:val="auto"/>
                <w:highlight w:val="none"/>
              </w:rPr>
              <w:t xml:space="preserve"> 序号</w:t>
            </w:r>
          </w:p>
        </w:tc>
        <w:tc>
          <w:tcPr>
            <w:tcW w:w="2034" w:type="dxa"/>
          </w:tcPr>
          <w:p>
            <w:pPr>
              <w:pStyle w:val="23"/>
              <w:rPr>
                <w:rFonts w:hint="default"/>
                <w:color w:val="auto"/>
                <w:highlight w:val="none"/>
              </w:rPr>
            </w:pPr>
            <w:r>
              <w:rPr>
                <w:color w:val="auto"/>
                <w:highlight w:val="none"/>
              </w:rPr>
              <w:t xml:space="preserve"> 符合审查要求概况</w:t>
            </w:r>
          </w:p>
        </w:tc>
        <w:tc>
          <w:tcPr>
            <w:tcW w:w="5522" w:type="dxa"/>
          </w:tcPr>
          <w:p>
            <w:pPr>
              <w:pStyle w:val="23"/>
              <w:rPr>
                <w:rFonts w:hint="default"/>
                <w:color w:val="auto"/>
                <w:highlight w:val="none"/>
              </w:rPr>
            </w:pPr>
            <w:r>
              <w:rPr>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23"/>
              <w:rPr>
                <w:rFonts w:hint="default"/>
                <w:color w:val="auto"/>
                <w:highlight w:val="none"/>
              </w:rPr>
            </w:pPr>
            <w:r>
              <w:rPr>
                <w:color w:val="auto"/>
                <w:highlight w:val="none"/>
              </w:rPr>
              <w:t>1</w:t>
            </w:r>
          </w:p>
        </w:tc>
        <w:tc>
          <w:tcPr>
            <w:tcW w:w="2034" w:type="dxa"/>
          </w:tcPr>
          <w:p>
            <w:pPr>
              <w:pStyle w:val="23"/>
              <w:rPr>
                <w:rFonts w:hint="default"/>
                <w:color w:val="auto"/>
                <w:highlight w:val="none"/>
              </w:rPr>
            </w:pPr>
            <w:r>
              <w:rPr>
                <w:color w:val="auto"/>
                <w:highlight w:val="none"/>
              </w:rPr>
              <w:t>情形1</w:t>
            </w:r>
          </w:p>
        </w:tc>
        <w:tc>
          <w:tcPr>
            <w:tcW w:w="5522" w:type="dxa"/>
          </w:tcPr>
          <w:p>
            <w:pPr>
              <w:pStyle w:val="23"/>
              <w:rPr>
                <w:rFonts w:hint="default"/>
                <w:color w:val="auto"/>
                <w:highlight w:val="none"/>
              </w:rPr>
            </w:pPr>
            <w:r>
              <w:rPr>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23"/>
              <w:rPr>
                <w:rFonts w:hint="default"/>
                <w:color w:val="auto"/>
                <w:highlight w:val="none"/>
              </w:rPr>
            </w:pPr>
            <w:r>
              <w:rPr>
                <w:color w:val="auto"/>
                <w:highlight w:val="none"/>
              </w:rPr>
              <w:t>2</w:t>
            </w:r>
          </w:p>
        </w:tc>
        <w:tc>
          <w:tcPr>
            <w:tcW w:w="2034" w:type="dxa"/>
          </w:tcPr>
          <w:p>
            <w:pPr>
              <w:pStyle w:val="23"/>
              <w:rPr>
                <w:rFonts w:hint="default"/>
                <w:color w:val="auto"/>
                <w:highlight w:val="none"/>
              </w:rPr>
            </w:pPr>
            <w:r>
              <w:rPr>
                <w:color w:val="auto"/>
                <w:highlight w:val="none"/>
              </w:rPr>
              <w:t>情形2</w:t>
            </w:r>
          </w:p>
        </w:tc>
        <w:tc>
          <w:tcPr>
            <w:tcW w:w="5522" w:type="dxa"/>
          </w:tcPr>
          <w:p>
            <w:pPr>
              <w:pStyle w:val="23"/>
              <w:rPr>
                <w:rFonts w:hint="default"/>
                <w:color w:val="auto"/>
                <w:highlight w:val="none"/>
              </w:rPr>
            </w:pPr>
            <w:r>
              <w:rPr>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0" w:type="dxa"/>
          </w:tcPr>
          <w:p>
            <w:pPr>
              <w:pStyle w:val="23"/>
              <w:rPr>
                <w:rFonts w:hint="default"/>
                <w:color w:val="auto"/>
                <w:highlight w:val="none"/>
              </w:rPr>
            </w:pPr>
            <w:r>
              <w:rPr>
                <w:color w:val="auto"/>
                <w:highlight w:val="none"/>
              </w:rPr>
              <w:t>3</w:t>
            </w:r>
          </w:p>
        </w:tc>
        <w:tc>
          <w:tcPr>
            <w:tcW w:w="2034" w:type="dxa"/>
          </w:tcPr>
          <w:p>
            <w:pPr>
              <w:pStyle w:val="23"/>
              <w:rPr>
                <w:rFonts w:hint="default"/>
                <w:color w:val="auto"/>
                <w:highlight w:val="none"/>
              </w:rPr>
            </w:pPr>
            <w:r>
              <w:rPr>
                <w:color w:val="auto"/>
                <w:highlight w:val="none"/>
              </w:rPr>
              <w:t>情形3</w:t>
            </w:r>
          </w:p>
        </w:tc>
        <w:tc>
          <w:tcPr>
            <w:tcW w:w="5522" w:type="dxa"/>
          </w:tcPr>
          <w:p>
            <w:pPr>
              <w:pStyle w:val="23"/>
              <w:rPr>
                <w:rFonts w:hint="default"/>
                <w:color w:val="auto"/>
                <w:highlight w:val="none"/>
              </w:rPr>
            </w:pPr>
            <w:r>
              <w:rPr>
                <w:color w:val="auto"/>
                <w:highlight w:val="none"/>
              </w:rPr>
              <w:t>投标文件对招标文件实质性要求的响应存在重大偏离或保留。</w:t>
            </w:r>
          </w:p>
        </w:tc>
      </w:tr>
    </w:tbl>
    <w:p>
      <w:pPr>
        <w:pStyle w:val="23"/>
        <w:ind w:firstLine="480"/>
        <w:jc w:val="both"/>
        <w:rPr>
          <w:rFonts w:hint="default"/>
          <w:color w:val="auto"/>
          <w:highlight w:val="none"/>
        </w:rPr>
      </w:pPr>
      <w:r>
        <w:rPr>
          <w:color w:val="auto"/>
          <w:highlight w:val="none"/>
        </w:rPr>
        <w:t>②本项目规定的其他情形：</w:t>
      </w:r>
    </w:p>
    <w:p>
      <w:pPr>
        <w:pStyle w:val="23"/>
        <w:rPr>
          <w:rFonts w:hint="default"/>
          <w:color w:val="auto"/>
          <w:highlight w:val="none"/>
        </w:rPr>
      </w:pPr>
      <w:r>
        <w:rPr>
          <w:color w:val="auto"/>
          <w:highlight w:val="none"/>
        </w:rPr>
        <w:t>采购包1：</w:t>
      </w:r>
    </w:p>
    <w:p>
      <w:pPr>
        <w:pStyle w:val="23"/>
        <w:rPr>
          <w:rFonts w:hint="default"/>
          <w:color w:val="auto"/>
          <w:highlight w:val="none"/>
        </w:rPr>
      </w:pPr>
      <w:r>
        <w:rPr>
          <w:color w:val="auto"/>
          <w:highlight w:val="none"/>
        </w:rPr>
        <w:t>技术符合性</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7"/>
        <w:gridCol w:w="55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7" w:type="dxa"/>
          </w:tcPr>
          <w:p>
            <w:pPr>
              <w:pStyle w:val="23"/>
              <w:rPr>
                <w:rFonts w:hint="default"/>
                <w:color w:val="auto"/>
                <w:highlight w:val="none"/>
              </w:rPr>
            </w:pPr>
            <w:r>
              <w:rPr>
                <w:color w:val="auto"/>
                <w:highlight w:val="none"/>
              </w:rPr>
              <w:t xml:space="preserve"> 情形</w:t>
            </w:r>
          </w:p>
        </w:tc>
        <w:tc>
          <w:tcPr>
            <w:tcW w:w="5539" w:type="dxa"/>
          </w:tcPr>
          <w:p>
            <w:pPr>
              <w:pStyle w:val="23"/>
              <w:rPr>
                <w:rFonts w:hint="default"/>
                <w:color w:val="auto"/>
                <w:highlight w:val="none"/>
              </w:rPr>
            </w:pPr>
            <w:r>
              <w:rPr>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7" w:type="dxa"/>
          </w:tcPr>
          <w:p>
            <w:pPr>
              <w:pStyle w:val="23"/>
              <w:rPr>
                <w:rFonts w:hint="default"/>
                <w:color w:val="auto"/>
                <w:highlight w:val="none"/>
              </w:rPr>
            </w:pPr>
            <w:r>
              <w:rPr>
                <w:color w:val="auto"/>
                <w:highlight w:val="none"/>
              </w:rPr>
              <w:t>其他情形</w:t>
            </w:r>
          </w:p>
        </w:tc>
        <w:tc>
          <w:tcPr>
            <w:tcW w:w="5539" w:type="dxa"/>
          </w:tcPr>
          <w:p>
            <w:pPr>
              <w:pStyle w:val="23"/>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7" w:type="dxa"/>
          </w:tcPr>
          <w:p>
            <w:pPr>
              <w:pStyle w:val="23"/>
              <w:rPr>
                <w:rFonts w:hint="default"/>
                <w:color w:val="auto"/>
                <w:highlight w:val="none"/>
              </w:rPr>
            </w:pPr>
            <w:r>
              <w:rPr>
                <w:color w:val="auto"/>
                <w:highlight w:val="none"/>
              </w:rPr>
              <w:t>其他情形</w:t>
            </w:r>
          </w:p>
        </w:tc>
        <w:tc>
          <w:tcPr>
            <w:tcW w:w="5539" w:type="dxa"/>
          </w:tcPr>
          <w:p>
            <w:pPr>
              <w:pStyle w:val="23"/>
              <w:rPr>
                <w:rFonts w:hint="default"/>
                <w:color w:val="auto"/>
                <w:highlight w:val="none"/>
              </w:rPr>
            </w:pPr>
          </w:p>
        </w:tc>
      </w:tr>
    </w:tbl>
    <w:p>
      <w:pPr>
        <w:pStyle w:val="23"/>
        <w:rPr>
          <w:rFonts w:hint="default"/>
          <w:color w:val="auto"/>
          <w:highlight w:val="none"/>
        </w:rPr>
      </w:pPr>
      <w:r>
        <w:rPr>
          <w:color w:val="auto"/>
          <w:highlight w:val="none"/>
        </w:rPr>
        <w:t>商务符合性：无</w:t>
      </w:r>
    </w:p>
    <w:p>
      <w:pPr>
        <w:pStyle w:val="23"/>
        <w:rPr>
          <w:rFonts w:hint="default"/>
          <w:color w:val="auto"/>
          <w:highlight w:val="none"/>
        </w:rPr>
      </w:pPr>
      <w:r>
        <w:rPr>
          <w:color w:val="auto"/>
          <w:highlight w:val="none"/>
        </w:rPr>
        <w:t>附加符合性：无</w:t>
      </w:r>
    </w:p>
    <w:p>
      <w:pPr>
        <w:pStyle w:val="23"/>
        <w:rPr>
          <w:rFonts w:hint="default"/>
          <w:color w:val="auto"/>
          <w:highlight w:val="none"/>
        </w:rPr>
      </w:pPr>
      <w:r>
        <w:rPr>
          <w:color w:val="auto"/>
          <w:highlight w:val="none"/>
        </w:rPr>
        <w:t>价格符合性：无</w:t>
      </w:r>
    </w:p>
    <w:p>
      <w:pPr>
        <w:pStyle w:val="23"/>
        <w:ind w:firstLine="480"/>
        <w:jc w:val="both"/>
        <w:rPr>
          <w:rFonts w:hint="default"/>
          <w:color w:val="auto"/>
          <w:highlight w:val="none"/>
        </w:rPr>
      </w:pPr>
      <w:r>
        <w:rPr>
          <w:color w:val="auto"/>
          <w:highlight w:val="none"/>
        </w:rPr>
        <w:t>6.3澄清有关问题</w:t>
      </w:r>
    </w:p>
    <w:p>
      <w:pPr>
        <w:pStyle w:val="23"/>
        <w:ind w:firstLine="480"/>
        <w:jc w:val="both"/>
        <w:rPr>
          <w:rFonts w:hint="default"/>
          <w:color w:val="auto"/>
          <w:highlight w:val="none"/>
        </w:rPr>
      </w:pPr>
      <w:r>
        <w:rPr>
          <w:color w:val="auto"/>
          <w:highlight w:val="none"/>
        </w:rPr>
        <w:t>（1）对通过符合性审查的电子投标文件中含义不明确、同类问题表述不一致或有明显文字和计算错误的内容，评标委员会将以书面形式要求投标人作出必要的澄清、说明或补正。</w:t>
      </w:r>
    </w:p>
    <w:p>
      <w:pPr>
        <w:pStyle w:val="23"/>
        <w:ind w:firstLine="480"/>
        <w:jc w:val="both"/>
        <w:rPr>
          <w:rFonts w:hint="default"/>
          <w:color w:val="auto"/>
          <w:highlight w:val="none"/>
        </w:rPr>
      </w:pPr>
      <w:r>
        <w:rPr>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23"/>
        <w:ind w:firstLine="480"/>
        <w:jc w:val="both"/>
        <w:rPr>
          <w:rFonts w:hint="default"/>
          <w:color w:val="auto"/>
          <w:highlight w:val="none"/>
        </w:rPr>
      </w:pPr>
      <w:r>
        <w:rPr>
          <w:color w:val="auto"/>
          <w:highlight w:val="none"/>
        </w:rPr>
        <w:t>（3）电子投标文件报价出现前后不一致的，除招标文件另有规定外，按照下列规定修正：</w:t>
      </w:r>
    </w:p>
    <w:p>
      <w:pPr>
        <w:pStyle w:val="23"/>
        <w:ind w:firstLine="480"/>
        <w:jc w:val="both"/>
        <w:rPr>
          <w:rFonts w:hint="default"/>
          <w:color w:val="auto"/>
          <w:highlight w:val="none"/>
        </w:rPr>
      </w:pPr>
      <w:r>
        <w:rPr>
          <w:color w:val="auto"/>
          <w:highlight w:val="none"/>
        </w:rPr>
        <w:t>①开标（报价）一览表内容与电子投标文件中相应内容不一致的，以开标（报价）一览表为准；</w:t>
      </w:r>
    </w:p>
    <w:p>
      <w:pPr>
        <w:pStyle w:val="23"/>
        <w:ind w:firstLine="480"/>
        <w:jc w:val="both"/>
        <w:rPr>
          <w:rFonts w:hint="default"/>
          <w:color w:val="auto"/>
          <w:highlight w:val="none"/>
        </w:rPr>
      </w:pPr>
      <w:r>
        <w:rPr>
          <w:color w:val="auto"/>
          <w:highlight w:val="none"/>
        </w:rPr>
        <w:t>②大写金额和小写金额不一致的，以大写金额为准；</w:t>
      </w:r>
    </w:p>
    <w:p>
      <w:pPr>
        <w:pStyle w:val="23"/>
        <w:ind w:firstLine="480"/>
        <w:jc w:val="both"/>
        <w:rPr>
          <w:rFonts w:hint="default"/>
          <w:color w:val="auto"/>
          <w:highlight w:val="none"/>
        </w:rPr>
      </w:pPr>
      <w:r>
        <w:rPr>
          <w:color w:val="auto"/>
          <w:highlight w:val="none"/>
        </w:rPr>
        <w:t>③单价金额小数点或百分比有明显错位的，以开标（报价）一览表的总价为准，并修改单价；</w:t>
      </w:r>
    </w:p>
    <w:p>
      <w:pPr>
        <w:pStyle w:val="23"/>
        <w:ind w:firstLine="480"/>
        <w:jc w:val="both"/>
        <w:rPr>
          <w:rFonts w:hint="default"/>
          <w:color w:val="auto"/>
          <w:highlight w:val="none"/>
        </w:rPr>
      </w:pPr>
      <w:r>
        <w:rPr>
          <w:color w:val="auto"/>
          <w:highlight w:val="none"/>
        </w:rPr>
        <w:t>④总价金额与按照单价汇总金额不一致的，以单价金额计算结果为准。</w:t>
      </w:r>
    </w:p>
    <w:p>
      <w:pPr>
        <w:pStyle w:val="23"/>
        <w:ind w:firstLine="480"/>
        <w:jc w:val="both"/>
        <w:rPr>
          <w:rFonts w:hint="default"/>
          <w:color w:val="auto"/>
          <w:highlight w:val="none"/>
        </w:rPr>
      </w:pPr>
      <w:r>
        <w:rPr>
          <w:color w:val="auto"/>
          <w:highlight w:val="none"/>
        </w:rPr>
        <w:t>※同时出现两种以上不一致的，按照前款规定的顺序修正。修正后的报价应按照本章第6.3条第（1）、（2）款规定经投标人确认后产生约束力，投标人不确认的，其投标无效。</w:t>
      </w:r>
    </w:p>
    <w:p>
      <w:pPr>
        <w:pStyle w:val="23"/>
        <w:ind w:firstLine="480"/>
        <w:jc w:val="both"/>
        <w:rPr>
          <w:rFonts w:hint="default"/>
          <w:color w:val="auto"/>
          <w:highlight w:val="none"/>
        </w:rPr>
      </w:pPr>
      <w:r>
        <w:rPr>
          <w:color w:val="auto"/>
          <w:highlight w:val="none"/>
        </w:rPr>
        <w:t>（4）关于细微偏差</w:t>
      </w:r>
    </w:p>
    <w:p>
      <w:pPr>
        <w:pStyle w:val="23"/>
        <w:ind w:firstLine="480"/>
        <w:jc w:val="both"/>
        <w:rPr>
          <w:rFonts w:hint="default"/>
          <w:color w:val="auto"/>
          <w:highlight w:val="none"/>
        </w:rPr>
      </w:pPr>
      <w:r>
        <w:rPr>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23"/>
        <w:ind w:firstLine="480"/>
        <w:jc w:val="both"/>
        <w:rPr>
          <w:rFonts w:hint="default"/>
          <w:color w:val="auto"/>
          <w:highlight w:val="none"/>
        </w:rPr>
      </w:pPr>
      <w:r>
        <w:rPr>
          <w:color w:val="auto"/>
          <w:highlight w:val="none"/>
        </w:rPr>
        <w:t>②评标委员会将以书面形式要求存在细微偏差的投标人在评标委员会规定的时间内予以补正。若无法补正，则评标委员会将按照不利于投标人的内容进行认定。</w:t>
      </w:r>
    </w:p>
    <w:p>
      <w:pPr>
        <w:pStyle w:val="23"/>
        <w:ind w:firstLine="480"/>
        <w:jc w:val="both"/>
        <w:rPr>
          <w:rFonts w:hint="default"/>
          <w:color w:val="auto"/>
          <w:highlight w:val="none"/>
        </w:rPr>
      </w:pPr>
      <w:r>
        <w:rPr>
          <w:color w:val="auto"/>
          <w:highlight w:val="none"/>
        </w:rPr>
        <w:t>（5）关于投标描述（即电子投标文件中描述的内容）</w:t>
      </w:r>
    </w:p>
    <w:p>
      <w:pPr>
        <w:pStyle w:val="23"/>
        <w:ind w:firstLine="480"/>
        <w:jc w:val="both"/>
        <w:rPr>
          <w:rFonts w:hint="default"/>
          <w:color w:val="auto"/>
          <w:highlight w:val="none"/>
        </w:rPr>
      </w:pPr>
      <w:r>
        <w:rPr>
          <w:color w:val="auto"/>
          <w:highlight w:val="none"/>
        </w:rPr>
        <w:t>①投标描述前后不一致且不涉及证明材料的：按照本章第6.3条第（1）、（2）款规定执行。</w:t>
      </w:r>
    </w:p>
    <w:p>
      <w:pPr>
        <w:pStyle w:val="23"/>
        <w:ind w:firstLine="480"/>
        <w:jc w:val="both"/>
        <w:rPr>
          <w:rFonts w:hint="default"/>
          <w:color w:val="auto"/>
          <w:highlight w:val="none"/>
        </w:rPr>
      </w:pPr>
      <w:r>
        <w:rPr>
          <w:color w:val="auto"/>
          <w:highlight w:val="none"/>
        </w:rPr>
        <w:t>②投标描述与证明材料不一致或多份证明材料之间不一致的：</w:t>
      </w:r>
    </w:p>
    <w:p>
      <w:pPr>
        <w:pStyle w:val="23"/>
        <w:ind w:firstLine="480"/>
        <w:jc w:val="both"/>
        <w:rPr>
          <w:rFonts w:hint="default"/>
          <w:color w:val="auto"/>
          <w:highlight w:val="none"/>
        </w:rPr>
      </w:pPr>
      <w:r>
        <w:rPr>
          <w:color w:val="auto"/>
          <w:highlight w:val="none"/>
        </w:rPr>
        <w:t>a.评标委员会将要求投标人进行书面澄清，并按照不利于投标人的内容进行评标。</w:t>
      </w:r>
    </w:p>
    <w:p>
      <w:pPr>
        <w:pStyle w:val="23"/>
        <w:ind w:firstLine="480"/>
        <w:jc w:val="both"/>
        <w:rPr>
          <w:rFonts w:hint="default"/>
          <w:color w:val="auto"/>
          <w:highlight w:val="none"/>
        </w:rPr>
      </w:pPr>
      <w:r>
        <w:rPr>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3"/>
        <w:ind w:firstLine="480"/>
        <w:jc w:val="both"/>
        <w:rPr>
          <w:rFonts w:hint="default"/>
          <w:color w:val="auto"/>
          <w:highlight w:val="none"/>
        </w:rPr>
      </w:pPr>
      <w:r>
        <w:rPr>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23"/>
        <w:ind w:firstLine="480"/>
        <w:jc w:val="both"/>
        <w:rPr>
          <w:rFonts w:hint="default"/>
          <w:color w:val="auto"/>
          <w:highlight w:val="none"/>
        </w:rPr>
      </w:pPr>
      <w:r>
        <w:rPr>
          <w:color w:val="auto"/>
          <w:highlight w:val="none"/>
        </w:rPr>
        <w:t>6.4比较与评价</w:t>
      </w:r>
    </w:p>
    <w:p>
      <w:pPr>
        <w:pStyle w:val="23"/>
        <w:ind w:firstLine="480"/>
        <w:jc w:val="both"/>
        <w:rPr>
          <w:rFonts w:hint="default"/>
          <w:color w:val="auto"/>
          <w:highlight w:val="none"/>
        </w:rPr>
      </w:pPr>
      <w:r>
        <w:rPr>
          <w:color w:val="auto"/>
          <w:highlight w:val="none"/>
        </w:rPr>
        <w:t>（1）按照本章第7条载明的评标方法和标准，对符合性审查合格的电子投标文件进行比较与评价。</w:t>
      </w:r>
    </w:p>
    <w:p>
      <w:pPr>
        <w:pStyle w:val="23"/>
        <w:ind w:firstLine="480"/>
        <w:jc w:val="both"/>
        <w:rPr>
          <w:rFonts w:hint="default"/>
          <w:color w:val="auto"/>
          <w:highlight w:val="none"/>
        </w:rPr>
      </w:pPr>
      <w:r>
        <w:rPr>
          <w:color w:val="auto"/>
          <w:highlight w:val="none"/>
        </w:rPr>
        <w:t>（2）关于相同品牌产品（政府采购服务类项目不适用本条款规定）</w:t>
      </w:r>
    </w:p>
    <w:p>
      <w:pPr>
        <w:pStyle w:val="23"/>
        <w:ind w:firstLine="480"/>
        <w:jc w:val="both"/>
        <w:rPr>
          <w:rFonts w:hint="default"/>
          <w:color w:val="auto"/>
          <w:highlight w:val="none"/>
        </w:rPr>
      </w:pPr>
      <w:r>
        <w:rPr>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23"/>
        <w:ind w:firstLine="480"/>
        <w:jc w:val="both"/>
        <w:rPr>
          <w:rFonts w:hint="default"/>
          <w:color w:val="auto"/>
          <w:highlight w:val="none"/>
        </w:rPr>
      </w:pPr>
      <w:r>
        <w:rPr>
          <w:color w:val="auto"/>
          <w:highlight w:val="none"/>
        </w:rPr>
        <w:t>a.招标文件规定的方式：</w:t>
      </w:r>
    </w:p>
    <w:p>
      <w:pPr>
        <w:pStyle w:val="23"/>
        <w:ind w:firstLine="480"/>
        <w:jc w:val="both"/>
        <w:rPr>
          <w:rFonts w:hint="default"/>
          <w:color w:val="auto"/>
          <w:highlight w:val="none"/>
        </w:rPr>
      </w:pPr>
      <w:r>
        <w:rPr>
          <w:color w:val="auto"/>
          <w:highlight w:val="none"/>
        </w:rPr>
        <w:t>无</w:t>
      </w:r>
    </w:p>
    <w:p>
      <w:pPr>
        <w:pStyle w:val="23"/>
        <w:ind w:firstLine="480"/>
        <w:jc w:val="both"/>
        <w:rPr>
          <w:rFonts w:hint="default"/>
          <w:color w:val="auto"/>
          <w:highlight w:val="none"/>
        </w:rPr>
      </w:pPr>
      <w:r>
        <w:rPr>
          <w:color w:val="auto"/>
          <w:highlight w:val="none"/>
        </w:rPr>
        <w:t>b.招标文件未规定的，采取随机抽取方式确定，其他投标无效。</w:t>
      </w:r>
    </w:p>
    <w:p>
      <w:pPr>
        <w:pStyle w:val="23"/>
        <w:ind w:firstLine="480"/>
        <w:jc w:val="both"/>
        <w:rPr>
          <w:rFonts w:hint="default"/>
          <w:color w:val="auto"/>
          <w:highlight w:val="none"/>
        </w:rPr>
      </w:pPr>
      <w:r>
        <w:rPr>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23"/>
        <w:ind w:firstLine="480"/>
        <w:jc w:val="both"/>
        <w:rPr>
          <w:rFonts w:hint="default"/>
          <w:color w:val="auto"/>
          <w:highlight w:val="none"/>
        </w:rPr>
      </w:pPr>
      <w:r>
        <w:rPr>
          <w:color w:val="auto"/>
          <w:highlight w:val="none"/>
        </w:rPr>
        <w:t>a.招标文件规定的方式：</w:t>
      </w:r>
    </w:p>
    <w:p>
      <w:pPr>
        <w:pStyle w:val="23"/>
        <w:ind w:firstLine="480"/>
        <w:jc w:val="both"/>
        <w:rPr>
          <w:rFonts w:hint="default"/>
          <w:color w:val="auto"/>
          <w:highlight w:val="none"/>
        </w:rPr>
      </w:pPr>
      <w:r>
        <w:rPr>
          <w:color w:val="auto"/>
          <w:highlight w:val="none"/>
        </w:rPr>
        <w:t>技术分较高者</w:t>
      </w:r>
    </w:p>
    <w:p>
      <w:pPr>
        <w:pStyle w:val="23"/>
        <w:ind w:firstLine="480"/>
        <w:jc w:val="both"/>
        <w:rPr>
          <w:rFonts w:hint="default"/>
          <w:color w:val="auto"/>
          <w:highlight w:val="none"/>
        </w:rPr>
      </w:pPr>
      <w:r>
        <w:rPr>
          <w:color w:val="auto"/>
          <w:highlight w:val="none"/>
        </w:rPr>
        <w:t>b.招标文件未规定的，采取随机抽取方式确定，其他同品牌投标人不作为中标候选人。</w:t>
      </w:r>
    </w:p>
    <w:p>
      <w:pPr>
        <w:pStyle w:val="23"/>
        <w:ind w:firstLine="480"/>
        <w:jc w:val="both"/>
        <w:rPr>
          <w:rFonts w:hint="default"/>
          <w:color w:val="auto"/>
          <w:highlight w:val="none"/>
        </w:rPr>
      </w:pPr>
      <w:r>
        <w:rPr>
          <w:color w:val="auto"/>
          <w:highlight w:val="none"/>
        </w:rPr>
        <w:t>③非单一产品采购项目，多家投标人提供的核心产品品牌相同的，按照本章第6.4条第（2）款第①、②规定处理。</w:t>
      </w:r>
    </w:p>
    <w:p>
      <w:pPr>
        <w:pStyle w:val="23"/>
        <w:ind w:firstLine="480"/>
        <w:jc w:val="both"/>
        <w:rPr>
          <w:rFonts w:hint="default"/>
          <w:color w:val="auto"/>
          <w:highlight w:val="none"/>
        </w:rPr>
      </w:pPr>
      <w:r>
        <w:rPr>
          <w:color w:val="auto"/>
          <w:highlight w:val="none"/>
        </w:rPr>
        <w:t>（3）漏（缺）项</w:t>
      </w:r>
    </w:p>
    <w:p>
      <w:pPr>
        <w:pStyle w:val="23"/>
        <w:ind w:firstLine="480"/>
        <w:jc w:val="both"/>
        <w:rPr>
          <w:rFonts w:hint="default"/>
          <w:color w:val="auto"/>
          <w:highlight w:val="none"/>
        </w:rPr>
      </w:pPr>
      <w:r>
        <w:rPr>
          <w:color w:val="auto"/>
          <w:highlight w:val="none"/>
        </w:rPr>
        <w:t>①招标文件中要求列入报价的费用（含配置、功能），漏（缺）项的报价视为已经包括在投标总价中。</w:t>
      </w:r>
    </w:p>
    <w:p>
      <w:pPr>
        <w:pStyle w:val="23"/>
        <w:ind w:firstLine="480"/>
        <w:jc w:val="both"/>
        <w:rPr>
          <w:rFonts w:hint="default"/>
          <w:color w:val="auto"/>
          <w:highlight w:val="none"/>
        </w:rPr>
      </w:pPr>
      <w:r>
        <w:rPr>
          <w:color w:val="auto"/>
          <w:highlight w:val="none"/>
        </w:rPr>
        <w:t>②对多报项及赠送项的价格评标时不予核减，全部进入评标价评议。</w:t>
      </w:r>
    </w:p>
    <w:p>
      <w:pPr>
        <w:pStyle w:val="23"/>
        <w:ind w:firstLine="480"/>
        <w:jc w:val="both"/>
        <w:rPr>
          <w:rFonts w:hint="default"/>
          <w:color w:val="auto"/>
          <w:highlight w:val="none"/>
        </w:rPr>
      </w:pPr>
      <w:r>
        <w:rPr>
          <w:color w:val="auto"/>
          <w:highlight w:val="none"/>
        </w:rPr>
        <w:t>6.5推荐中标候选人：详见本章第7.2条规定。</w:t>
      </w:r>
    </w:p>
    <w:p>
      <w:pPr>
        <w:pStyle w:val="23"/>
        <w:ind w:firstLine="480"/>
        <w:jc w:val="both"/>
        <w:rPr>
          <w:rFonts w:hint="default"/>
          <w:color w:val="auto"/>
          <w:highlight w:val="none"/>
        </w:rPr>
      </w:pPr>
      <w:r>
        <w:rPr>
          <w:color w:val="auto"/>
          <w:highlight w:val="none"/>
        </w:rPr>
        <w:t>6.6编写评标报告</w:t>
      </w:r>
    </w:p>
    <w:p>
      <w:pPr>
        <w:pStyle w:val="23"/>
        <w:ind w:firstLine="480"/>
        <w:jc w:val="both"/>
        <w:rPr>
          <w:rFonts w:hint="default"/>
          <w:color w:val="auto"/>
          <w:highlight w:val="none"/>
        </w:rPr>
      </w:pPr>
      <w:r>
        <w:rPr>
          <w:color w:val="auto"/>
          <w:highlight w:val="none"/>
        </w:rPr>
        <w:t>（1）评标报告由评标委员会负责编写。</w:t>
      </w:r>
    </w:p>
    <w:p>
      <w:pPr>
        <w:pStyle w:val="23"/>
        <w:ind w:firstLine="480"/>
        <w:jc w:val="both"/>
        <w:rPr>
          <w:rFonts w:hint="default"/>
          <w:color w:val="auto"/>
          <w:highlight w:val="none"/>
        </w:rPr>
      </w:pPr>
      <w:r>
        <w:rPr>
          <w:color w:val="auto"/>
          <w:highlight w:val="none"/>
        </w:rPr>
        <w:t>（2）评标报告应包括下列内容：</w:t>
      </w:r>
    </w:p>
    <w:p>
      <w:pPr>
        <w:pStyle w:val="23"/>
        <w:ind w:firstLine="480"/>
        <w:jc w:val="both"/>
        <w:rPr>
          <w:rFonts w:hint="default"/>
          <w:color w:val="auto"/>
          <w:highlight w:val="none"/>
        </w:rPr>
      </w:pPr>
      <w:r>
        <w:rPr>
          <w:color w:val="auto"/>
          <w:highlight w:val="none"/>
        </w:rPr>
        <w:t>①招标公告刊登的媒体名称、开标日期和地点；</w:t>
      </w:r>
    </w:p>
    <w:p>
      <w:pPr>
        <w:pStyle w:val="23"/>
        <w:ind w:firstLine="480"/>
        <w:jc w:val="both"/>
        <w:rPr>
          <w:rFonts w:hint="default"/>
          <w:color w:val="auto"/>
          <w:highlight w:val="none"/>
        </w:rPr>
      </w:pPr>
      <w:r>
        <w:rPr>
          <w:color w:val="auto"/>
          <w:highlight w:val="none"/>
        </w:rPr>
        <w:t>②投标人名单和评标委员会成员名单；</w:t>
      </w:r>
    </w:p>
    <w:p>
      <w:pPr>
        <w:pStyle w:val="23"/>
        <w:ind w:firstLine="480"/>
        <w:jc w:val="both"/>
        <w:rPr>
          <w:rFonts w:hint="default"/>
          <w:color w:val="auto"/>
          <w:highlight w:val="none"/>
        </w:rPr>
      </w:pPr>
      <w:r>
        <w:rPr>
          <w:color w:val="auto"/>
          <w:highlight w:val="none"/>
        </w:rPr>
        <w:t>③评标方法和标准；</w:t>
      </w:r>
    </w:p>
    <w:p>
      <w:pPr>
        <w:pStyle w:val="23"/>
        <w:ind w:firstLine="480"/>
        <w:jc w:val="both"/>
        <w:rPr>
          <w:rFonts w:hint="default"/>
          <w:color w:val="auto"/>
          <w:highlight w:val="none"/>
        </w:rPr>
      </w:pPr>
      <w:r>
        <w:rPr>
          <w:color w:val="auto"/>
          <w:highlight w:val="none"/>
        </w:rPr>
        <w:t>④开标记录和评标情况及说明，包括无效投标人名单及原因；</w:t>
      </w:r>
    </w:p>
    <w:p>
      <w:pPr>
        <w:pStyle w:val="23"/>
        <w:ind w:firstLine="480"/>
        <w:jc w:val="both"/>
        <w:rPr>
          <w:rFonts w:hint="default"/>
          <w:color w:val="auto"/>
          <w:highlight w:val="none"/>
        </w:rPr>
      </w:pPr>
      <w:r>
        <w:rPr>
          <w:color w:val="auto"/>
          <w:highlight w:val="none"/>
        </w:rPr>
        <w:t>⑤评标结果，包括中标候选人名单或确定的中标人；</w:t>
      </w:r>
    </w:p>
    <w:p>
      <w:pPr>
        <w:pStyle w:val="23"/>
        <w:ind w:firstLine="480"/>
        <w:jc w:val="both"/>
        <w:rPr>
          <w:rFonts w:hint="default"/>
          <w:color w:val="auto"/>
          <w:highlight w:val="none"/>
        </w:rPr>
      </w:pPr>
      <w:r>
        <w:rPr>
          <w:color w:val="auto"/>
          <w:highlight w:val="none"/>
        </w:rPr>
        <w:t>⑥其他需要说明的情况，包括但不限于：评标过程中投标人的澄清、说明或补正，评委更换等。</w:t>
      </w:r>
    </w:p>
    <w:p>
      <w:pPr>
        <w:pStyle w:val="23"/>
        <w:ind w:firstLine="480"/>
        <w:jc w:val="both"/>
        <w:rPr>
          <w:rFonts w:hint="default"/>
          <w:color w:val="auto"/>
          <w:highlight w:val="none"/>
        </w:rPr>
      </w:pPr>
      <w:r>
        <w:rPr>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23"/>
        <w:ind w:firstLine="480"/>
        <w:jc w:val="both"/>
        <w:rPr>
          <w:rFonts w:hint="default"/>
          <w:color w:val="auto"/>
          <w:highlight w:val="none"/>
        </w:rPr>
      </w:pPr>
      <w:r>
        <w:rPr>
          <w:color w:val="auto"/>
          <w:highlight w:val="none"/>
        </w:rPr>
        <w:t>6.8评委对需要共同认定的事项存在争议的，应按照少数服从多数的原则进行认定。持不同意见的评委应在评标报告上签署不同意见及理由，否则视为同意评标报告。</w:t>
      </w:r>
    </w:p>
    <w:p>
      <w:pPr>
        <w:pStyle w:val="23"/>
        <w:ind w:firstLine="480"/>
        <w:jc w:val="both"/>
        <w:rPr>
          <w:rFonts w:hint="default"/>
          <w:color w:val="auto"/>
          <w:highlight w:val="none"/>
        </w:rPr>
      </w:pPr>
      <w:r>
        <w:rPr>
          <w:color w:val="auto"/>
          <w:highlight w:val="none"/>
        </w:rPr>
        <w:t>6.9在评标过程中发现投标人有下列情形之一的，评标委员会应认定其投标无效，并书面报告本项目监督管理部门：</w:t>
      </w:r>
    </w:p>
    <w:p>
      <w:pPr>
        <w:pStyle w:val="23"/>
        <w:ind w:firstLine="480"/>
        <w:jc w:val="both"/>
        <w:rPr>
          <w:rFonts w:hint="default"/>
          <w:color w:val="auto"/>
          <w:highlight w:val="none"/>
        </w:rPr>
      </w:pPr>
      <w:r>
        <w:rPr>
          <w:color w:val="auto"/>
          <w:highlight w:val="none"/>
        </w:rPr>
        <w:t>（1）恶意串通（包括但不限于招标文件第三章第9.7条规定情形）；</w:t>
      </w:r>
    </w:p>
    <w:p>
      <w:pPr>
        <w:pStyle w:val="23"/>
        <w:ind w:firstLine="480"/>
        <w:jc w:val="both"/>
        <w:rPr>
          <w:rFonts w:hint="default"/>
          <w:color w:val="auto"/>
          <w:highlight w:val="none"/>
        </w:rPr>
      </w:pPr>
      <w:r>
        <w:rPr>
          <w:color w:val="auto"/>
          <w:highlight w:val="none"/>
        </w:rPr>
        <w:t>（2）妨碍其他投标人的竞争行为；</w:t>
      </w:r>
    </w:p>
    <w:p>
      <w:pPr>
        <w:pStyle w:val="23"/>
        <w:ind w:firstLine="480"/>
        <w:jc w:val="both"/>
        <w:rPr>
          <w:rFonts w:hint="default"/>
          <w:color w:val="auto"/>
          <w:highlight w:val="none"/>
        </w:rPr>
      </w:pPr>
      <w:r>
        <w:rPr>
          <w:color w:val="auto"/>
          <w:highlight w:val="none"/>
        </w:rPr>
        <w:t>（3）损害采购人或其他投标人的合法权益。</w:t>
      </w:r>
    </w:p>
    <w:p>
      <w:pPr>
        <w:pStyle w:val="23"/>
        <w:ind w:firstLine="480"/>
        <w:jc w:val="both"/>
        <w:rPr>
          <w:rFonts w:hint="default"/>
          <w:color w:val="auto"/>
          <w:highlight w:val="none"/>
        </w:rPr>
      </w:pPr>
      <w:r>
        <w:rPr>
          <w:color w:val="auto"/>
          <w:highlight w:val="none"/>
        </w:rPr>
        <w:t>6.10评标过程中，有下列情形之一的，应予废标：</w:t>
      </w:r>
    </w:p>
    <w:p>
      <w:pPr>
        <w:pStyle w:val="23"/>
        <w:ind w:firstLine="480"/>
        <w:jc w:val="both"/>
        <w:rPr>
          <w:rFonts w:hint="default"/>
          <w:color w:val="auto"/>
          <w:highlight w:val="none"/>
        </w:rPr>
      </w:pPr>
      <w:r>
        <w:rPr>
          <w:color w:val="auto"/>
          <w:highlight w:val="none"/>
        </w:rPr>
        <w:t>（1）符合性审查合格的投标人不足三家的；</w:t>
      </w:r>
    </w:p>
    <w:p>
      <w:pPr>
        <w:pStyle w:val="23"/>
        <w:ind w:firstLine="480"/>
        <w:jc w:val="both"/>
        <w:rPr>
          <w:rFonts w:hint="default"/>
          <w:color w:val="auto"/>
          <w:highlight w:val="none"/>
        </w:rPr>
      </w:pPr>
      <w:r>
        <w:rPr>
          <w:color w:val="auto"/>
          <w:highlight w:val="none"/>
        </w:rPr>
        <w:t>（2）有关法律、法规和规章规定废标的情形。</w:t>
      </w:r>
    </w:p>
    <w:p>
      <w:pPr>
        <w:pStyle w:val="23"/>
        <w:ind w:firstLine="480"/>
        <w:jc w:val="both"/>
        <w:rPr>
          <w:rFonts w:hint="default"/>
          <w:color w:val="auto"/>
          <w:highlight w:val="none"/>
        </w:rPr>
      </w:pPr>
      <w:r>
        <w:rPr>
          <w:color w:val="auto"/>
          <w:highlight w:val="none"/>
        </w:rPr>
        <w:t xml:space="preserve">※若废标，则本次采购活动结束， </w:t>
      </w:r>
      <w:r>
        <w:rPr>
          <w:color w:val="auto"/>
          <w:highlight w:val="none"/>
          <w:u w:val="single"/>
          <w:lang w:eastAsia="zh-CN"/>
        </w:rPr>
        <w:t xml:space="preserve">         </w:t>
      </w:r>
      <w:r>
        <w:rPr>
          <w:color w:val="auto"/>
          <w:highlight w:val="none"/>
        </w:rPr>
        <w:t xml:space="preserve"> 将依法组织后续采购活动（包括但不限于：重新招标、采用其他方式采购等）。</w:t>
      </w:r>
    </w:p>
    <w:p>
      <w:pPr>
        <w:pStyle w:val="23"/>
        <w:ind w:firstLine="480"/>
        <w:jc w:val="both"/>
        <w:rPr>
          <w:rFonts w:hint="default"/>
          <w:color w:val="auto"/>
          <w:highlight w:val="none"/>
        </w:rPr>
      </w:pPr>
      <w:r>
        <w:rPr>
          <w:color w:val="auto"/>
          <w:highlight w:val="none"/>
        </w:rPr>
        <w:t>7、评标方法和标准</w:t>
      </w:r>
    </w:p>
    <w:p>
      <w:pPr>
        <w:pStyle w:val="23"/>
        <w:ind w:firstLine="480"/>
        <w:jc w:val="both"/>
        <w:rPr>
          <w:rFonts w:hint="default"/>
          <w:color w:val="auto"/>
          <w:highlight w:val="none"/>
        </w:rPr>
      </w:pPr>
      <w:r>
        <w:rPr>
          <w:color w:val="auto"/>
          <w:highlight w:val="none"/>
        </w:rPr>
        <w:t>7.1评标方法：</w:t>
      </w:r>
    </w:p>
    <w:p>
      <w:pPr>
        <w:pStyle w:val="23"/>
        <w:ind w:firstLine="480"/>
        <w:jc w:val="both"/>
        <w:rPr>
          <w:rFonts w:hint="default"/>
          <w:color w:val="auto"/>
          <w:highlight w:val="none"/>
        </w:rPr>
      </w:pPr>
      <w:r>
        <w:rPr>
          <w:color w:val="auto"/>
          <w:highlight w:val="none"/>
        </w:rPr>
        <w:t>采购包1：综合评分法</w:t>
      </w:r>
    </w:p>
    <w:p>
      <w:pPr>
        <w:pStyle w:val="23"/>
        <w:ind w:firstLine="480"/>
        <w:jc w:val="both"/>
        <w:rPr>
          <w:rFonts w:hint="default"/>
          <w:color w:val="auto"/>
          <w:highlight w:val="none"/>
        </w:rPr>
      </w:pPr>
      <w:r>
        <w:rPr>
          <w:color w:val="auto"/>
          <w:highlight w:val="none"/>
        </w:rPr>
        <w:t>7.2评标标准</w:t>
      </w:r>
    </w:p>
    <w:p>
      <w:pPr>
        <w:pStyle w:val="23"/>
        <w:ind w:firstLine="480"/>
        <w:jc w:val="both"/>
        <w:rPr>
          <w:rFonts w:hint="default"/>
          <w:color w:val="auto"/>
          <w:highlight w:val="none"/>
        </w:rPr>
      </w:pPr>
      <w:r>
        <w:rPr>
          <w:color w:val="auto"/>
          <w:highlight w:val="none"/>
        </w:rPr>
        <w:t>采购包1：综合评分法</w:t>
      </w:r>
    </w:p>
    <w:p>
      <w:pPr>
        <w:pStyle w:val="23"/>
        <w:jc w:val="both"/>
        <w:rPr>
          <w:rFonts w:hint="default"/>
          <w:color w:val="auto"/>
          <w:highlight w:val="none"/>
        </w:rPr>
      </w:pPr>
      <w:r>
        <w:rPr>
          <w:color w:val="auto"/>
          <w:highlight w:val="none"/>
        </w:rPr>
        <w:t>（1）投标文件满足招标文件全部实质性要求，且按照评审因素的量化指标评审得分（即评标总得分）最高的投标人为中标候选人。</w:t>
      </w:r>
    </w:p>
    <w:p>
      <w:pPr>
        <w:pStyle w:val="23"/>
        <w:jc w:val="both"/>
        <w:rPr>
          <w:rFonts w:hint="default"/>
          <w:color w:val="auto"/>
          <w:highlight w:val="none"/>
        </w:rPr>
      </w:pPr>
      <w:r>
        <w:rPr>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23"/>
        <w:jc w:val="both"/>
        <w:rPr>
          <w:rFonts w:hint="default"/>
          <w:color w:val="auto"/>
          <w:highlight w:val="none"/>
        </w:rPr>
      </w:pPr>
      <w:r>
        <w:rPr>
          <w:color w:val="auto"/>
          <w:highlight w:val="none"/>
        </w:rPr>
        <w:t>各项评审因素的设置如下：</w:t>
      </w:r>
    </w:p>
    <w:p>
      <w:pPr>
        <w:pStyle w:val="4"/>
        <w:bidi w:val="0"/>
        <w:rPr>
          <w:rFonts w:hint="default"/>
          <w:color w:val="auto"/>
          <w:highlight w:val="none"/>
        </w:rPr>
      </w:pPr>
      <w:bookmarkStart w:id="6" w:name="_Toc18640"/>
      <w:r>
        <w:rPr>
          <w:color w:val="auto"/>
          <w:highlight w:val="none"/>
        </w:rPr>
        <w:t>价格项（F1×A1）满分为</w:t>
      </w:r>
      <w:r>
        <w:rPr>
          <w:color w:val="auto"/>
          <w:highlight w:val="none"/>
          <w:lang w:eastAsia="zh-CN"/>
        </w:rPr>
        <w:t xml:space="preserve"> </w:t>
      </w:r>
      <w:r>
        <w:rPr>
          <w:rFonts w:hint="eastAsia"/>
          <w:color w:val="auto"/>
          <w:highlight w:val="none"/>
          <w:lang w:val="en-US" w:eastAsia="zh-CN"/>
        </w:rPr>
        <w:t>30</w:t>
      </w:r>
      <w:r>
        <w:rPr>
          <w:color w:val="auto"/>
          <w:highlight w:val="none"/>
          <w:lang w:eastAsia="zh-CN"/>
        </w:rPr>
        <w:t xml:space="preserve"> </w:t>
      </w:r>
      <w:r>
        <w:rPr>
          <w:color w:val="auto"/>
          <w:highlight w:val="none"/>
        </w:rPr>
        <w:t>分</w:t>
      </w:r>
      <w:bookmarkEnd w:id="6"/>
    </w:p>
    <w:p>
      <w:pPr>
        <w:pStyle w:val="23"/>
        <w:jc w:val="both"/>
        <w:rPr>
          <w:rFonts w:hint="default"/>
          <w:color w:val="auto"/>
          <w:highlight w:val="none"/>
        </w:rPr>
      </w:pPr>
      <w:r>
        <w:rPr>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23"/>
        <w:jc w:val="both"/>
        <w:rPr>
          <w:rFonts w:hint="default"/>
          <w:color w:val="auto"/>
          <w:highlight w:val="none"/>
        </w:rPr>
      </w:pPr>
      <w:r>
        <w:rPr>
          <w:color w:val="auto"/>
          <w:highlight w:val="none"/>
        </w:rPr>
        <w:t>价格扣除的规则如下：</w:t>
      </w:r>
    </w:p>
    <w:tbl>
      <w:tblPr>
        <w:tblStyle w:val="19"/>
        <w:tblW w:w="849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7"/>
        <w:gridCol w:w="1433"/>
        <w:gridCol w:w="1240"/>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dxa"/>
          </w:tcPr>
          <w:p>
            <w:pPr>
              <w:pStyle w:val="23"/>
              <w:jc w:val="both"/>
              <w:rPr>
                <w:rFonts w:hint="default"/>
                <w:color w:val="auto"/>
                <w:highlight w:val="none"/>
              </w:rPr>
            </w:pPr>
            <w:r>
              <w:rPr>
                <w:color w:val="auto"/>
                <w:highlight w:val="none"/>
              </w:rPr>
              <w:t xml:space="preserve"> 项目</w:t>
            </w:r>
          </w:p>
        </w:tc>
        <w:tc>
          <w:tcPr>
            <w:tcW w:w="1433" w:type="dxa"/>
          </w:tcPr>
          <w:p>
            <w:pPr>
              <w:pStyle w:val="23"/>
              <w:jc w:val="both"/>
              <w:rPr>
                <w:rFonts w:hint="default"/>
                <w:color w:val="auto"/>
                <w:highlight w:val="none"/>
              </w:rPr>
            </w:pPr>
            <w:r>
              <w:rPr>
                <w:color w:val="auto"/>
                <w:highlight w:val="none"/>
              </w:rPr>
              <w:t xml:space="preserve"> 适用对象</w:t>
            </w:r>
          </w:p>
        </w:tc>
        <w:tc>
          <w:tcPr>
            <w:tcW w:w="1240" w:type="dxa"/>
          </w:tcPr>
          <w:p>
            <w:pPr>
              <w:pStyle w:val="23"/>
              <w:jc w:val="both"/>
              <w:rPr>
                <w:rFonts w:hint="default"/>
                <w:color w:val="auto"/>
                <w:highlight w:val="none"/>
              </w:rPr>
            </w:pPr>
            <w:r>
              <w:rPr>
                <w:color w:val="auto"/>
                <w:highlight w:val="none"/>
              </w:rPr>
              <w:t xml:space="preserve"> 比例</w:t>
            </w:r>
          </w:p>
        </w:tc>
        <w:tc>
          <w:tcPr>
            <w:tcW w:w="4153" w:type="dxa"/>
          </w:tcPr>
          <w:p>
            <w:pPr>
              <w:pStyle w:val="23"/>
              <w:jc w:val="both"/>
              <w:rPr>
                <w:rFonts w:hint="default"/>
                <w:color w:val="auto"/>
                <w:highlight w:val="none"/>
              </w:rPr>
            </w:pPr>
            <w:r>
              <w:rPr>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dxa"/>
          </w:tcPr>
          <w:p>
            <w:pPr>
              <w:pStyle w:val="23"/>
              <w:jc w:val="both"/>
              <w:rPr>
                <w:rFonts w:hint="default"/>
                <w:color w:val="auto"/>
                <w:highlight w:val="none"/>
              </w:rPr>
            </w:pPr>
            <w:r>
              <w:rPr>
                <w:color w:val="auto"/>
                <w:highlight w:val="none"/>
              </w:rPr>
              <w:t>小型、微型企业，监狱企业，残疾人福利性单位</w:t>
            </w:r>
          </w:p>
        </w:tc>
        <w:tc>
          <w:tcPr>
            <w:tcW w:w="1433" w:type="dxa"/>
          </w:tcPr>
          <w:p>
            <w:pPr>
              <w:pStyle w:val="23"/>
              <w:jc w:val="both"/>
              <w:rPr>
                <w:rFonts w:hint="default"/>
                <w:color w:val="auto"/>
                <w:highlight w:val="none"/>
              </w:rPr>
            </w:pPr>
            <w:r>
              <w:rPr>
                <w:color w:val="auto"/>
                <w:highlight w:val="none"/>
              </w:rPr>
              <w:t>投标人或者联合体均为小型、微型企业</w:t>
            </w:r>
          </w:p>
        </w:tc>
        <w:tc>
          <w:tcPr>
            <w:tcW w:w="1240" w:type="dxa"/>
          </w:tcPr>
          <w:p>
            <w:pPr>
              <w:pStyle w:val="23"/>
              <w:jc w:val="right"/>
              <w:rPr>
                <w:rFonts w:hint="default"/>
                <w:color w:val="auto"/>
                <w:highlight w:val="none"/>
              </w:rPr>
            </w:pPr>
            <w:r>
              <w:rPr>
                <w:color w:val="auto"/>
                <w:highlight w:val="none"/>
              </w:rPr>
              <w:t>15.0000%</w:t>
            </w:r>
          </w:p>
        </w:tc>
        <w:tc>
          <w:tcPr>
            <w:tcW w:w="4153" w:type="dxa"/>
          </w:tcPr>
          <w:p>
            <w:pPr>
              <w:pStyle w:val="23"/>
              <w:jc w:val="both"/>
              <w:rPr>
                <w:rFonts w:hint="default"/>
                <w:color w:val="auto"/>
                <w:highlight w:val="none"/>
              </w:rPr>
            </w:pPr>
            <w:r>
              <w:rPr>
                <w:color w:val="auto"/>
                <w:highlight w:val="none"/>
              </w:rPr>
              <w:t>1、对小、微企业报价给予 15%的扣除。2、监狱企业视同小型、微型企业，评审中价格扣除按照小、微企业的扣除比例执行。3、残疾人福利性单位提供本单位制造的货物，或提供其他残疾人福利性单位制造的货物（不包括使用非残疾人福利性单位注册商标的货物），视同小型、微型企业，按小微企业的扣除比例执行。</w:t>
            </w:r>
          </w:p>
        </w:tc>
      </w:tr>
    </w:tbl>
    <w:p>
      <w:pPr>
        <w:pStyle w:val="23"/>
        <w:jc w:val="both"/>
        <w:rPr>
          <w:rFonts w:hint="default"/>
          <w:color w:val="auto"/>
          <w:highlight w:val="none"/>
        </w:rPr>
      </w:pPr>
      <w:r>
        <w:rPr>
          <w:color w:val="auto"/>
          <w:highlight w:val="none"/>
        </w:rPr>
        <w:t>优先类节能产品、环境标志产品的价格扣除规则如下</w:t>
      </w:r>
    </w:p>
    <w:tbl>
      <w:tblPr>
        <w:tblStyle w:val="1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84"/>
        <w:gridCol w:w="1430"/>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4" w:type="dxa"/>
          </w:tcPr>
          <w:p>
            <w:pPr>
              <w:pStyle w:val="23"/>
              <w:jc w:val="both"/>
              <w:rPr>
                <w:rFonts w:hint="default"/>
                <w:color w:val="auto"/>
                <w:highlight w:val="none"/>
              </w:rPr>
            </w:pPr>
            <w:r>
              <w:rPr>
                <w:color w:val="auto"/>
                <w:highlight w:val="none"/>
              </w:rPr>
              <w:t xml:space="preserve"> 项目</w:t>
            </w:r>
          </w:p>
        </w:tc>
        <w:tc>
          <w:tcPr>
            <w:tcW w:w="1430" w:type="dxa"/>
          </w:tcPr>
          <w:p>
            <w:pPr>
              <w:pStyle w:val="23"/>
              <w:jc w:val="both"/>
              <w:rPr>
                <w:rFonts w:hint="default"/>
                <w:color w:val="auto"/>
                <w:highlight w:val="none"/>
              </w:rPr>
            </w:pPr>
            <w:r>
              <w:rPr>
                <w:color w:val="auto"/>
                <w:highlight w:val="none"/>
              </w:rPr>
              <w:t xml:space="preserve"> 比例</w:t>
            </w:r>
          </w:p>
        </w:tc>
        <w:tc>
          <w:tcPr>
            <w:tcW w:w="5191" w:type="dxa"/>
          </w:tcPr>
          <w:p>
            <w:pPr>
              <w:pStyle w:val="23"/>
              <w:jc w:val="both"/>
              <w:rPr>
                <w:rFonts w:hint="default"/>
                <w:color w:val="auto"/>
                <w:highlight w:val="none"/>
              </w:rPr>
            </w:pPr>
            <w:r>
              <w:rPr>
                <w:color w:val="auto"/>
                <w:highlight w:val="none"/>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4" w:type="dxa"/>
          </w:tcPr>
          <w:p>
            <w:pPr>
              <w:pStyle w:val="23"/>
              <w:jc w:val="both"/>
              <w:rPr>
                <w:rFonts w:hint="default"/>
                <w:color w:val="auto"/>
                <w:highlight w:val="none"/>
              </w:rPr>
            </w:pPr>
            <w:r>
              <w:rPr>
                <w:color w:val="auto"/>
                <w:highlight w:val="none"/>
              </w:rPr>
              <w:t>节能、环境标志产品</w:t>
            </w:r>
          </w:p>
        </w:tc>
        <w:tc>
          <w:tcPr>
            <w:tcW w:w="1430" w:type="dxa"/>
          </w:tcPr>
          <w:p>
            <w:pPr>
              <w:pStyle w:val="23"/>
              <w:jc w:val="right"/>
              <w:rPr>
                <w:rFonts w:hint="default"/>
                <w:color w:val="auto"/>
                <w:highlight w:val="none"/>
              </w:rPr>
            </w:pPr>
            <w:r>
              <w:rPr>
                <w:color w:val="auto"/>
                <w:highlight w:val="none"/>
              </w:rPr>
              <w:t>10.0000%</w:t>
            </w:r>
          </w:p>
        </w:tc>
        <w:tc>
          <w:tcPr>
            <w:tcW w:w="5191" w:type="dxa"/>
          </w:tcPr>
          <w:p>
            <w:pPr>
              <w:pStyle w:val="23"/>
              <w:jc w:val="both"/>
              <w:rPr>
                <w:rFonts w:hint="default"/>
                <w:color w:val="auto"/>
                <w:highlight w:val="none"/>
              </w:rPr>
            </w:pPr>
            <w:r>
              <w:rPr>
                <w:color w:val="auto"/>
                <w:highlight w:val="none"/>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23"/>
        <w:jc w:val="both"/>
        <w:rPr>
          <w:rFonts w:hint="default"/>
          <w:color w:val="auto"/>
          <w:highlight w:val="none"/>
        </w:rPr>
      </w:pPr>
      <w:r>
        <w:rPr>
          <w:color w:val="auto"/>
          <w:highlight w:val="none"/>
        </w:rPr>
        <w:t>其他：无</w:t>
      </w:r>
    </w:p>
    <w:p>
      <w:pPr>
        <w:pStyle w:val="4"/>
        <w:bidi w:val="0"/>
        <w:rPr>
          <w:rFonts w:hint="default"/>
          <w:color w:val="auto"/>
          <w:highlight w:val="none"/>
        </w:rPr>
      </w:pPr>
      <w:bookmarkStart w:id="7" w:name="_Toc20430"/>
      <w:r>
        <w:rPr>
          <w:color w:val="auto"/>
          <w:highlight w:val="none"/>
        </w:rPr>
        <w:t>技术项（F2×A2）满分为</w:t>
      </w:r>
      <w:r>
        <w:rPr>
          <w:color w:val="auto"/>
          <w:highlight w:val="none"/>
          <w:u w:val="single"/>
          <w:lang w:eastAsia="zh-CN"/>
        </w:rPr>
        <w:t xml:space="preserve">  60   </w:t>
      </w:r>
      <w:r>
        <w:rPr>
          <w:color w:val="auto"/>
          <w:highlight w:val="none"/>
        </w:rPr>
        <w:t>分</w:t>
      </w:r>
      <w:bookmarkEnd w:id="7"/>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7"/>
        <w:gridCol w:w="767"/>
        <w:gridCol w:w="6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 xml:space="preserve"> 项目</w:t>
            </w:r>
          </w:p>
        </w:tc>
        <w:tc>
          <w:tcPr>
            <w:tcW w:w="76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 xml:space="preserve"> 分值</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bookmarkStart w:id="8" w:name="_Hlk180762523"/>
            <w:r>
              <w:rPr>
                <w:rFonts w:ascii="宋体" w:hAnsi="宋体" w:eastAsia="宋体" w:cs="宋体"/>
                <w:color w:val="auto"/>
                <w:highlight w:val="none"/>
              </w:rPr>
              <w:t>1</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投标人供货的模块箱体采用集装箱角件</w:t>
            </w:r>
            <w:r>
              <w:rPr>
                <w:rFonts w:ascii="宋体" w:hAnsi="宋体" w:eastAsia="宋体" w:cs="宋体"/>
                <w:color w:val="auto"/>
                <w:highlight w:val="none"/>
                <w:lang w:eastAsia="zh-CN"/>
              </w:rPr>
              <w:t>。集装箱角件需满足如下要求：</w:t>
            </w:r>
            <w:r>
              <w:rPr>
                <w:rFonts w:ascii="宋体" w:hAnsi="宋体" w:eastAsia="宋体" w:cs="宋体"/>
                <w:color w:val="auto"/>
                <w:highlight w:val="none"/>
              </w:rPr>
              <w:t>抗拉强度大于500Mpa、屈服强度大于300Mpa、冲击功KV2(-40℃)大于80J。提供国家认可的检验检测机构出具的具有CMA或CNAS标志的角件检验报告原件扫描件得3分，否则不得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2</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集装箱模块单元主结构的钢制框架、全垂直波纹侧板和波纹前墙板、压型盲波纹顶板以及在集装箱角件等与波纹板焊接为对接焊且全为满焊。提供对接焊、满焊技术证明资料的得3分，否则不得分。技术证明资料包括工艺照片、或检测报告、或投标人公开发布的网站产品介绍截图、产品手册等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3</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投标人供货的模块单元集装箱顶部、四周墙体采用金属岩棉夹芯板进行隔热保温和装饰。其中</w:t>
            </w:r>
            <w:r>
              <w:rPr>
                <w:rFonts w:ascii="宋体" w:hAnsi="宋体" w:eastAsia="宋体" w:cs="宋体"/>
                <w:color w:val="auto"/>
                <w:highlight w:val="none"/>
                <w:lang w:eastAsia="zh-CN"/>
              </w:rPr>
              <w:t>50mm厚的</w:t>
            </w:r>
            <w:r>
              <w:rPr>
                <w:rFonts w:ascii="宋体" w:hAnsi="宋体" w:eastAsia="宋体" w:cs="宋体"/>
                <w:color w:val="auto"/>
                <w:highlight w:val="none"/>
              </w:rPr>
              <w:t>金属面岩棉夹芯板需</w:t>
            </w:r>
            <w:r>
              <w:rPr>
                <w:rFonts w:ascii="宋体" w:hAnsi="宋体" w:eastAsia="宋体" w:cs="宋体"/>
                <w:color w:val="auto"/>
                <w:highlight w:val="none"/>
                <w:lang w:eastAsia="zh-CN"/>
              </w:rPr>
              <w:t>满足如下</w:t>
            </w:r>
            <w:r>
              <w:rPr>
                <w:rFonts w:ascii="宋体" w:hAnsi="宋体" w:eastAsia="宋体" w:cs="宋体"/>
                <w:color w:val="auto"/>
                <w:highlight w:val="none"/>
              </w:rPr>
              <w:t>要求：消防装备维护墙体、隔墙及吊顶的传热系数≤0.85,芯材导热系数≤0.048。提供国家认可的检验检测机构出具的具有CMA或CNAS标志的传热系数、芯材导热系数、芯材密度的检验报告原件扫描件的得3分，未按要求提供的不得分。检测项目和检测结果需满足以上要求。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4</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单元集装箱维护墙板应由集装箱钢质墙板+岩棉复合板等采用防火工艺组合成防火部件。维护墙板耐火试验需满足≥150min的完整性及≥150min的隔热性。提供国家认可的检验检测机构出具的具有CMA或CNAS认证标志的检验报告原件扫描件的得3分，未按要求提供的不得分。检验项目和检验结果需满足以上要求。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5</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bookmarkStart w:id="9" w:name="_Hlk180764602"/>
            <w:r>
              <w:rPr>
                <w:rFonts w:ascii="宋体" w:hAnsi="宋体" w:eastAsia="宋体" w:cs="宋体"/>
                <w:color w:val="auto"/>
                <w:highlight w:val="none"/>
              </w:rPr>
              <w:t>投标人供货的车库模块主结构采用钢结构，钢结构采用CO</w:t>
            </w:r>
            <w:r>
              <w:rPr>
                <w:rFonts w:ascii="宋体" w:hAnsi="宋体" w:eastAsia="宋体" w:cs="宋体"/>
                <w:color w:val="auto"/>
                <w:highlight w:val="none"/>
                <w:vertAlign w:val="subscript"/>
              </w:rPr>
              <w:t>2</w:t>
            </w:r>
            <w:r>
              <w:rPr>
                <w:rFonts w:ascii="宋体" w:hAnsi="宋体" w:eastAsia="宋体" w:cs="宋体"/>
                <w:color w:val="auto"/>
                <w:highlight w:val="none"/>
              </w:rPr>
              <w:t>气保焊焊接连接。焊缝经超声波检测仪器探伤，探伤结果在焊缝的深度、长度波幅区域内均无缺陷显示情况。主结构安装后柱轴线垂直度检测结果≤5mm；建筑物整体变形检测倾斜率≤ 0.4%。</w:t>
            </w:r>
            <w:bookmarkEnd w:id="9"/>
            <w:r>
              <w:rPr>
                <w:rFonts w:ascii="宋体" w:hAnsi="宋体" w:eastAsia="宋体" w:cs="宋体"/>
                <w:color w:val="auto"/>
                <w:highlight w:val="none"/>
              </w:rPr>
              <w:t>提供国家认可的检验检测机构出具的具有CMA或CNAS认证标志的检测报告原件扫描件得3分，未按要求提供的不得分。检测项目和检测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6</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投标人供货的模块单元集装箱围护墙板的隔声性能满足如下要求：在 2000Hz（1/3倍频程中心频率）的隔声量≥40dB。提供国家认可的检验检测机构出具的具有CMA或CNAS认证标志</w:t>
            </w:r>
            <w:r>
              <w:rPr>
                <w:rFonts w:hint="eastAsia" w:ascii="宋体" w:hAnsi="宋体" w:eastAsia="宋体" w:cs="宋体"/>
                <w:color w:val="auto"/>
                <w:highlight w:val="none"/>
                <w:lang w:eastAsia="zh-CN"/>
              </w:rPr>
              <w:t>的</w:t>
            </w:r>
            <w:r>
              <w:rPr>
                <w:rFonts w:ascii="宋体" w:hAnsi="宋体" w:eastAsia="宋体" w:cs="宋体"/>
                <w:color w:val="auto"/>
                <w:highlight w:val="none"/>
              </w:rPr>
              <w:t>检验报告原件扫描件的得3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7</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投标人供货的家具使用的板材应满足环保 E1 标准，其甲醛释放量小于0.07mg/m</w:t>
            </w:r>
            <w:r>
              <w:rPr>
                <w:rFonts w:ascii="宋体" w:hAnsi="宋体" w:eastAsia="宋体" w:cs="宋体"/>
                <w:color w:val="auto"/>
                <w:sz w:val="21"/>
                <w:szCs w:val="21"/>
                <w:highlight w:val="none"/>
                <w:vertAlign w:val="superscript"/>
              </w:rPr>
              <w:t>3</w:t>
            </w:r>
            <w:r>
              <w:rPr>
                <w:rFonts w:ascii="宋体" w:hAnsi="宋体" w:eastAsia="宋体" w:cs="宋体"/>
                <w:color w:val="auto"/>
                <w:highlight w:val="none"/>
              </w:rPr>
              <w:t>（1M3气候箱法）</w:t>
            </w:r>
            <w:r>
              <w:rPr>
                <w:rFonts w:ascii="宋体" w:hAnsi="宋体" w:eastAsia="宋体" w:cs="宋体"/>
                <w:color w:val="auto"/>
                <w:highlight w:val="none"/>
                <w:lang w:eastAsia="zh-CN"/>
              </w:rPr>
              <w:t>；</w:t>
            </w:r>
            <w:r>
              <w:rPr>
                <w:rFonts w:ascii="宋体" w:hAnsi="宋体" w:eastAsia="宋体" w:cs="宋体"/>
                <w:color w:val="auto"/>
                <w:highlight w:val="none"/>
              </w:rPr>
              <w:t>板内密度偏差、含水率、静曲强度、弹性模量，内胶合强度，2h吸水厚度膨胀率、握螺钉力均应满足GB/T4897-2015家具型刨花板的标准。提供国家认可的检验检测机构出具的具有CMA或CNAS认证标志的检验报告原件扫描件的得3分，未按要求提供的不得分。检验项目和检验结果需满足以上标准。投标人所提供的检验报告，需在对应位置标注出所要求的检验项目、检验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8</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投标人供货的模块化消防站室内空气质量应符合如下标准：甲醛含量≤0.04mg/ m3，苯含量≤0.05mg/ m3，TVOC含量≤0.35mg/ m3，氡含量≤30Bq/ m3。提供国家认可的检验检测机构出具的具有CMA或CNAS认证标志的检测报告原件扫描件的得3分，未按要求提供的不得分。检测项目和检测结果需满足以上标准，其中车库检测点不少于4个、消防员备勤室监测点不少于2个，总监测点不少于18个。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9</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化消防站的防雷应做可靠接地，其中接地装置、引下线、接闪带、金属棚（架）等构件的接地电阻≤1Ω；其中消防站金属棚、配电箱、金属线槽的防闪电感应或等电位连接措施的过渡电阻≤0.2Ω。提供国家认可的检验检测机构出具的具有CMA或CNAS认证标志的检测报告原件扫描件的得3分，未按要求提供的不得分。检测项目和检测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lang w:eastAsia="zh-CN"/>
              </w:rPr>
            </w:pPr>
            <w:r>
              <w:rPr>
                <w:rFonts w:ascii="宋体" w:hAnsi="宋体" w:eastAsia="宋体" w:cs="宋体"/>
                <w:color w:val="auto"/>
                <w:highlight w:val="none"/>
                <w:lang w:eastAsia="zh-CN"/>
              </w:rPr>
              <w:t>10</w:t>
            </w:r>
          </w:p>
        </w:tc>
        <w:tc>
          <w:tcPr>
            <w:tcW w:w="767" w:type="dxa"/>
            <w:shd w:val="clear" w:color="auto" w:fill="auto"/>
          </w:tcPr>
          <w:p>
            <w:pPr>
              <w:pStyle w:val="23"/>
              <w:jc w:val="right"/>
              <w:rPr>
                <w:rFonts w:hint="eastAsia" w:ascii="宋体" w:hAnsi="宋体" w:eastAsia="宋体" w:cs="宋体"/>
                <w:color w:val="auto"/>
                <w:highlight w:val="none"/>
                <w:lang w:eastAsia="zh-CN"/>
              </w:rPr>
            </w:pPr>
            <w:r>
              <w:rPr>
                <w:rFonts w:ascii="宋体" w:hAnsi="宋体" w:eastAsia="宋体" w:cs="宋体"/>
                <w:color w:val="auto"/>
                <w:highlight w:val="none"/>
              </w:rPr>
              <w:t>3.0000</w:t>
            </w:r>
          </w:p>
        </w:tc>
        <w:tc>
          <w:tcPr>
            <w:tcW w:w="6622"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使用的集装箱箱体防腐底漆为环氧富锌底漆。底漆的弯曲试验制板喷涂一道底漆，干膜厚度在20-26um，放置48h后测试，检测结果≤3mm。底漆涂装耐盐雾性满足如下要求：耐盐雾性400h以上无起泡、生锈、开裂、剥落等现象。提供国家认可的检验检测机构出具的具有CMA或CNAS认证标志的检验报告原件扫描件的得3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lang w:eastAsia="zh-CN"/>
              </w:rPr>
            </w:pPr>
            <w:r>
              <w:rPr>
                <w:rFonts w:ascii="宋体" w:hAnsi="宋体" w:eastAsia="宋体" w:cs="宋体"/>
                <w:color w:val="auto"/>
                <w:highlight w:val="none"/>
              </w:rPr>
              <w:t>11</w:t>
            </w:r>
          </w:p>
        </w:tc>
        <w:tc>
          <w:tcPr>
            <w:tcW w:w="767" w:type="dxa"/>
            <w:shd w:val="clear" w:color="auto" w:fill="auto"/>
          </w:tcPr>
          <w:p>
            <w:pPr>
              <w:pStyle w:val="23"/>
              <w:jc w:val="right"/>
              <w:rPr>
                <w:rFonts w:hint="eastAsia" w:ascii="宋体" w:hAnsi="宋体" w:eastAsia="宋体" w:cs="宋体"/>
                <w:color w:val="auto"/>
                <w:highlight w:val="none"/>
              </w:rPr>
            </w:pPr>
            <w:r>
              <w:rPr>
                <w:rFonts w:ascii="宋体" w:hAnsi="宋体" w:eastAsia="宋体" w:cs="宋体"/>
                <w:color w:val="auto"/>
                <w:highlight w:val="none"/>
                <w:lang w:eastAsia="zh-CN"/>
              </w:rPr>
              <w:t>3</w:t>
            </w:r>
            <w:r>
              <w:rPr>
                <w:rFonts w:ascii="宋体" w:hAnsi="宋体" w:eastAsia="宋体" w:cs="宋体"/>
                <w:color w:val="auto"/>
                <w:highlight w:val="none"/>
              </w:rPr>
              <w:t>.0000</w:t>
            </w:r>
          </w:p>
        </w:tc>
        <w:tc>
          <w:tcPr>
            <w:tcW w:w="6622"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投标人供货使用的集装箱箱体中间漆为环氧中间漆，涂装需符合如下要求：附着力≥10Mpa。提供国家认可的检验检测机构出具的具有CMA或CNAS认证标志的检验报告原件扫描件的得</w:t>
            </w:r>
            <w:r>
              <w:rPr>
                <w:rFonts w:ascii="宋体" w:hAnsi="宋体" w:eastAsia="宋体" w:cs="宋体"/>
                <w:color w:val="auto"/>
                <w:highlight w:val="none"/>
                <w:lang w:eastAsia="zh-CN"/>
              </w:rPr>
              <w:t>3</w:t>
            </w:r>
            <w:r>
              <w:rPr>
                <w:rFonts w:ascii="宋体" w:hAnsi="宋体" w:eastAsia="宋体" w:cs="宋体"/>
                <w:color w:val="auto"/>
                <w:highlight w:val="none"/>
              </w:rPr>
              <w:t>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12</w:t>
            </w:r>
          </w:p>
        </w:tc>
        <w:tc>
          <w:tcPr>
            <w:tcW w:w="767" w:type="dxa"/>
            <w:shd w:val="clear" w:color="auto" w:fill="auto"/>
          </w:tcPr>
          <w:p>
            <w:pPr>
              <w:pStyle w:val="23"/>
              <w:jc w:val="right"/>
              <w:rPr>
                <w:rFonts w:hint="eastAsia" w:ascii="宋体" w:hAnsi="宋体" w:eastAsia="宋体" w:cs="宋体"/>
                <w:color w:val="auto"/>
                <w:highlight w:val="none"/>
              </w:rPr>
            </w:pPr>
            <w:r>
              <w:rPr>
                <w:rFonts w:ascii="宋体" w:hAnsi="宋体" w:eastAsia="宋体" w:cs="宋体"/>
                <w:color w:val="auto"/>
                <w:highlight w:val="none"/>
                <w:lang w:eastAsia="zh-CN"/>
              </w:rPr>
              <w:t>3</w:t>
            </w:r>
            <w:r>
              <w:rPr>
                <w:rFonts w:ascii="宋体" w:hAnsi="宋体" w:eastAsia="宋体" w:cs="宋体"/>
                <w:color w:val="auto"/>
                <w:highlight w:val="none"/>
              </w:rPr>
              <w:t>.0000</w:t>
            </w:r>
          </w:p>
        </w:tc>
        <w:tc>
          <w:tcPr>
            <w:tcW w:w="6622"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投标人供货使用的集装箱箱体面漆为丙烯酸外面漆，涂装需符合如下要求：弯曲试验≤3mm。提供国家认可的检验检测机构出具的具有CMA或CNAS认证标志的检验报告原件扫描件的得</w:t>
            </w:r>
            <w:r>
              <w:rPr>
                <w:rFonts w:ascii="宋体" w:hAnsi="宋体" w:eastAsia="宋体" w:cs="宋体"/>
                <w:color w:val="auto"/>
                <w:highlight w:val="none"/>
                <w:lang w:eastAsia="zh-CN"/>
              </w:rPr>
              <w:t>3</w:t>
            </w:r>
            <w:r>
              <w:rPr>
                <w:rFonts w:ascii="宋体" w:hAnsi="宋体" w:eastAsia="宋体" w:cs="宋体"/>
                <w:color w:val="auto"/>
                <w:highlight w:val="none"/>
              </w:rPr>
              <w:t>分，未按要求提供的不得分。检验项目和检验结果需满足以上标准。投标人所提供的检测报告，需在对应位置标注出所要求的检测项目、检测数值，否则由此产生的不利后果由投标人自行承担。</w:t>
            </w:r>
          </w:p>
        </w:tc>
      </w:tr>
      <w:bookmarkEnd w:id="8"/>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13</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lang w:eastAsia="zh-CN"/>
              </w:rPr>
              <w:t>投标人供货使用的无线通讯电源自动断电管理架（智能充电座）具有</w:t>
            </w:r>
            <w:r>
              <w:rPr>
                <w:rFonts w:ascii="宋体" w:hAnsi="宋体" w:eastAsia="宋体" w:cs="宋体"/>
                <w:color w:val="auto"/>
                <w:highlight w:val="none"/>
              </w:rPr>
              <w:t>短路保护</w:t>
            </w:r>
            <w:r>
              <w:rPr>
                <w:rFonts w:ascii="宋体" w:hAnsi="宋体" w:eastAsia="宋体" w:cs="宋体"/>
                <w:color w:val="auto"/>
                <w:highlight w:val="none"/>
                <w:lang w:eastAsia="zh-CN"/>
              </w:rPr>
              <w:t>功能，即</w:t>
            </w:r>
            <w:r>
              <w:rPr>
                <w:rFonts w:ascii="宋体" w:hAnsi="宋体" w:eastAsia="宋体" w:cs="宋体"/>
                <w:color w:val="auto"/>
                <w:highlight w:val="none"/>
              </w:rPr>
              <w:t>产品输入电压为</w:t>
            </w:r>
            <w:r>
              <w:rPr>
                <w:rFonts w:hint="eastAsia" w:ascii="宋体" w:hAnsi="宋体" w:eastAsia="宋体" w:cs="宋体"/>
                <w:color w:val="auto"/>
                <w:highlight w:val="none"/>
              </w:rPr>
              <w:t>AC220V/50Hz</w:t>
            </w:r>
            <w:r>
              <w:rPr>
                <w:rFonts w:ascii="宋体" w:hAnsi="宋体" w:eastAsia="宋体" w:cs="宋体"/>
                <w:color w:val="auto"/>
                <w:highlight w:val="none"/>
              </w:rPr>
              <w:t>时，调节输出负载当电流发生短路时，产品保险丝熔断，进入保护状态，切断输出。提供国家认可的检验检测机构出具的具有</w:t>
            </w:r>
            <w:r>
              <w:rPr>
                <w:rFonts w:hint="eastAsia" w:ascii="宋体" w:hAnsi="宋体" w:eastAsia="宋体" w:cs="宋体"/>
                <w:color w:val="auto"/>
                <w:highlight w:val="none"/>
              </w:rPr>
              <w:t>CMA</w:t>
            </w:r>
            <w:r>
              <w:rPr>
                <w:rFonts w:ascii="宋体" w:hAnsi="宋体" w:eastAsia="宋体" w:cs="宋体"/>
                <w:color w:val="auto"/>
                <w:highlight w:val="none"/>
              </w:rPr>
              <w:t>或</w:t>
            </w:r>
            <w:r>
              <w:rPr>
                <w:rFonts w:hint="eastAsia" w:ascii="宋体" w:hAnsi="宋体" w:eastAsia="宋体" w:cs="宋体"/>
                <w:color w:val="auto"/>
                <w:highlight w:val="none"/>
              </w:rPr>
              <w:t>CNAS</w:t>
            </w:r>
            <w:r>
              <w:rPr>
                <w:rFonts w:ascii="宋体" w:hAnsi="宋体" w:eastAsia="宋体" w:cs="宋体"/>
                <w:color w:val="auto"/>
                <w:highlight w:val="none"/>
              </w:rPr>
              <w:t>认证标志的检验报告原件扫描件的得</w:t>
            </w:r>
            <w:r>
              <w:rPr>
                <w:rFonts w:hint="eastAsia" w:ascii="宋体" w:hAnsi="宋体" w:eastAsia="宋体" w:cs="宋体"/>
                <w:color w:val="auto"/>
                <w:highlight w:val="none"/>
              </w:rPr>
              <w:t>3</w:t>
            </w:r>
            <w:r>
              <w:rPr>
                <w:rFonts w:ascii="宋体" w:hAnsi="宋体" w:eastAsia="宋体" w:cs="宋体"/>
                <w:color w:val="auto"/>
                <w:highlight w:val="none"/>
              </w:rPr>
              <w:t>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14</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lang w:eastAsia="zh-CN"/>
              </w:rPr>
              <w:t>投标人供货使用的无线通讯电源自动断电管理架（智能充电座）具有</w:t>
            </w:r>
            <w:r>
              <w:rPr>
                <w:rFonts w:ascii="宋体" w:hAnsi="宋体" w:eastAsia="宋体" w:cs="宋体"/>
                <w:color w:val="auto"/>
                <w:highlight w:val="none"/>
              </w:rPr>
              <w:t>欠流保护（充满自动断电）</w:t>
            </w:r>
            <w:r>
              <w:rPr>
                <w:rFonts w:ascii="宋体" w:hAnsi="宋体" w:eastAsia="宋体" w:cs="宋体"/>
                <w:color w:val="auto"/>
                <w:highlight w:val="none"/>
                <w:lang w:eastAsia="zh-CN"/>
              </w:rPr>
              <w:t>功能，即</w:t>
            </w:r>
            <w:r>
              <w:rPr>
                <w:rFonts w:ascii="宋体" w:hAnsi="宋体" w:eastAsia="宋体" w:cs="宋体"/>
                <w:color w:val="auto"/>
                <w:highlight w:val="none"/>
              </w:rPr>
              <w:t>产品输入电压为</w:t>
            </w:r>
            <w:r>
              <w:rPr>
                <w:rFonts w:hint="eastAsia" w:ascii="宋体" w:hAnsi="宋体" w:eastAsia="宋体" w:cs="宋体"/>
                <w:color w:val="auto"/>
                <w:highlight w:val="none"/>
              </w:rPr>
              <w:t>AC220V/50Hz</w:t>
            </w:r>
            <w:r>
              <w:rPr>
                <w:rFonts w:ascii="宋体" w:hAnsi="宋体" w:eastAsia="宋体" w:cs="宋体"/>
                <w:color w:val="auto"/>
                <w:highlight w:val="none"/>
              </w:rPr>
              <w:t>时，调节输出负载当电流小于（</w:t>
            </w:r>
            <w:r>
              <w:rPr>
                <w:rFonts w:hint="eastAsia" w:ascii="宋体" w:hAnsi="宋体" w:eastAsia="宋体" w:cs="宋体"/>
                <w:color w:val="auto"/>
                <w:highlight w:val="none"/>
                <w:lang w:eastAsia="zh-CN"/>
              </w:rPr>
              <w:t>0.3</w:t>
            </w:r>
            <w:r>
              <w:rPr>
                <w:rFonts w:ascii="宋体" w:hAnsi="宋体" w:eastAsia="宋体" w:cs="宋体"/>
                <w:color w:val="auto"/>
                <w:highlight w:val="none"/>
              </w:rPr>
              <w:t>±</w:t>
            </w:r>
            <w:r>
              <w:rPr>
                <w:rFonts w:hint="eastAsia" w:ascii="宋体" w:hAnsi="宋体" w:eastAsia="宋体" w:cs="宋体"/>
                <w:color w:val="auto"/>
                <w:highlight w:val="none"/>
                <w:lang w:eastAsia="zh-CN"/>
              </w:rPr>
              <w:t>0.02</w:t>
            </w:r>
            <w:r>
              <w:rPr>
                <w:rFonts w:ascii="宋体" w:hAnsi="宋体" w:eastAsia="宋体" w:cs="宋体"/>
                <w:color w:val="auto"/>
                <w:highlight w:val="none"/>
              </w:rPr>
              <w:t>）</w:t>
            </w:r>
            <w:r>
              <w:rPr>
                <w:rFonts w:hint="eastAsia" w:ascii="宋体" w:hAnsi="宋体" w:eastAsia="宋体" w:cs="宋体"/>
                <w:color w:val="auto"/>
                <w:highlight w:val="none"/>
              </w:rPr>
              <w:t>A</w:t>
            </w:r>
            <w:r>
              <w:rPr>
                <w:rFonts w:ascii="宋体" w:hAnsi="宋体" w:eastAsia="宋体" w:cs="宋体"/>
                <w:color w:val="auto"/>
                <w:highlight w:val="none"/>
              </w:rPr>
              <w:t>时，产品进入保护状态，切断输出。提供国家认可的检验检测机构出具的具有</w:t>
            </w:r>
            <w:r>
              <w:rPr>
                <w:rFonts w:hint="eastAsia" w:ascii="宋体" w:hAnsi="宋体" w:eastAsia="宋体" w:cs="宋体"/>
                <w:color w:val="auto"/>
                <w:highlight w:val="none"/>
              </w:rPr>
              <w:t>CMA</w:t>
            </w:r>
            <w:r>
              <w:rPr>
                <w:rFonts w:ascii="宋体" w:hAnsi="宋体" w:eastAsia="宋体" w:cs="宋体"/>
                <w:color w:val="auto"/>
                <w:highlight w:val="none"/>
              </w:rPr>
              <w:t>或</w:t>
            </w:r>
            <w:r>
              <w:rPr>
                <w:rFonts w:hint="eastAsia" w:ascii="宋体" w:hAnsi="宋体" w:eastAsia="宋体" w:cs="宋体"/>
                <w:color w:val="auto"/>
                <w:highlight w:val="none"/>
              </w:rPr>
              <w:t>CNAS</w:t>
            </w:r>
            <w:r>
              <w:rPr>
                <w:rFonts w:ascii="宋体" w:hAnsi="宋体" w:eastAsia="宋体" w:cs="宋体"/>
                <w:color w:val="auto"/>
                <w:highlight w:val="none"/>
              </w:rPr>
              <w:t>认证标志的检验报告原件扫描件的得</w:t>
            </w:r>
            <w:r>
              <w:rPr>
                <w:rFonts w:hint="eastAsia" w:ascii="宋体" w:hAnsi="宋体" w:eastAsia="宋体" w:cs="宋体"/>
                <w:color w:val="auto"/>
                <w:highlight w:val="none"/>
              </w:rPr>
              <w:t>3</w:t>
            </w:r>
            <w:r>
              <w:rPr>
                <w:rFonts w:ascii="宋体" w:hAnsi="宋体" w:eastAsia="宋体" w:cs="宋体"/>
                <w:color w:val="auto"/>
                <w:highlight w:val="none"/>
              </w:rPr>
              <w:t>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15</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lang w:eastAsia="zh-CN"/>
              </w:rPr>
              <w:t>投标人供货使用的无线通讯电源自动断电管理架（智能充电座）具有过流保护功能，即产品输入电压为</w:t>
            </w:r>
            <w:r>
              <w:rPr>
                <w:rFonts w:hint="eastAsia" w:ascii="宋体" w:hAnsi="宋体" w:eastAsia="宋体" w:cs="宋体"/>
                <w:color w:val="auto"/>
                <w:highlight w:val="none"/>
                <w:lang w:eastAsia="zh-CN"/>
              </w:rPr>
              <w:t>AC220V/50Hz</w:t>
            </w:r>
            <w:r>
              <w:rPr>
                <w:rFonts w:ascii="宋体" w:hAnsi="宋体" w:eastAsia="宋体" w:cs="宋体"/>
                <w:color w:val="auto"/>
                <w:highlight w:val="none"/>
                <w:lang w:eastAsia="zh-CN"/>
              </w:rPr>
              <w:t>时，调节输出负载当电流大于（</w:t>
            </w:r>
            <w:r>
              <w:rPr>
                <w:rFonts w:hint="eastAsia" w:ascii="宋体" w:hAnsi="宋体" w:eastAsia="宋体" w:cs="宋体"/>
                <w:color w:val="auto"/>
                <w:highlight w:val="none"/>
                <w:lang w:eastAsia="zh-CN"/>
              </w:rPr>
              <w:t>2.5</w:t>
            </w: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0.2</w:t>
            </w: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A</w:t>
            </w:r>
            <w:r>
              <w:rPr>
                <w:rFonts w:ascii="宋体" w:hAnsi="宋体" w:eastAsia="宋体" w:cs="宋体"/>
                <w:color w:val="auto"/>
                <w:highlight w:val="none"/>
                <w:lang w:eastAsia="zh-CN"/>
              </w:rPr>
              <w:t>时，产品进入保护状态，切断输出。</w:t>
            </w:r>
            <w:r>
              <w:rPr>
                <w:rFonts w:ascii="宋体" w:hAnsi="宋体" w:eastAsia="宋体" w:cs="宋体"/>
                <w:color w:val="auto"/>
                <w:highlight w:val="none"/>
              </w:rPr>
              <w:t>提供国家认可的检验检测机构出具的具有</w:t>
            </w:r>
            <w:r>
              <w:rPr>
                <w:rFonts w:hint="eastAsia" w:ascii="宋体" w:hAnsi="宋体" w:eastAsia="宋体" w:cs="宋体"/>
                <w:color w:val="auto"/>
                <w:highlight w:val="none"/>
              </w:rPr>
              <w:t>CMA</w:t>
            </w:r>
            <w:r>
              <w:rPr>
                <w:rFonts w:ascii="宋体" w:hAnsi="宋体" w:eastAsia="宋体" w:cs="宋体"/>
                <w:color w:val="auto"/>
                <w:highlight w:val="none"/>
              </w:rPr>
              <w:t>或</w:t>
            </w:r>
            <w:r>
              <w:rPr>
                <w:rFonts w:hint="eastAsia" w:ascii="宋体" w:hAnsi="宋体" w:eastAsia="宋体" w:cs="宋体"/>
                <w:color w:val="auto"/>
                <w:highlight w:val="none"/>
              </w:rPr>
              <w:t>CNAS</w:t>
            </w:r>
            <w:r>
              <w:rPr>
                <w:rFonts w:ascii="宋体" w:hAnsi="宋体" w:eastAsia="宋体" w:cs="宋体"/>
                <w:color w:val="auto"/>
                <w:highlight w:val="none"/>
              </w:rPr>
              <w:t>认证标志的检验报告原件扫描件的得</w:t>
            </w:r>
            <w:r>
              <w:rPr>
                <w:rFonts w:hint="eastAsia" w:ascii="宋体" w:hAnsi="宋体" w:eastAsia="宋体" w:cs="宋体"/>
                <w:color w:val="auto"/>
                <w:highlight w:val="none"/>
              </w:rPr>
              <w:t>3</w:t>
            </w:r>
            <w:r>
              <w:rPr>
                <w:rFonts w:ascii="宋体" w:hAnsi="宋体" w:eastAsia="宋体" w:cs="宋体"/>
                <w:color w:val="auto"/>
                <w:highlight w:val="none"/>
              </w:rPr>
              <w:t>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16</w:t>
            </w:r>
          </w:p>
        </w:tc>
        <w:tc>
          <w:tcPr>
            <w:tcW w:w="767" w:type="dxa"/>
            <w:shd w:val="clear" w:color="auto" w:fill="auto"/>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shd w:val="clear" w:color="auto" w:fill="auto"/>
          </w:tcPr>
          <w:p>
            <w:pPr>
              <w:pStyle w:val="23"/>
              <w:jc w:val="both"/>
              <w:rPr>
                <w:rFonts w:hint="eastAsia" w:ascii="宋体" w:hAnsi="宋体" w:eastAsia="宋体" w:cs="宋体"/>
                <w:color w:val="auto"/>
                <w:highlight w:val="none"/>
                <w:lang w:eastAsia="zh-CN"/>
              </w:rPr>
            </w:pPr>
            <w:r>
              <w:rPr>
                <w:rFonts w:ascii="宋体" w:hAnsi="宋体" w:eastAsia="宋体" w:cs="宋体"/>
                <w:color w:val="auto"/>
                <w:highlight w:val="none"/>
                <w:lang w:eastAsia="zh-CN"/>
              </w:rPr>
              <w:t>投标人供货使用的无线通讯电源自动断电管理架（智能充电座）具有</w:t>
            </w:r>
            <w:r>
              <w:rPr>
                <w:rFonts w:ascii="宋体" w:hAnsi="宋体" w:eastAsia="宋体" w:cs="宋体"/>
                <w:color w:val="auto"/>
                <w:szCs w:val="21"/>
                <w:highlight w:val="none"/>
                <w:lang w:bidi="ar"/>
              </w:rPr>
              <w:t>定时功能</w:t>
            </w:r>
            <w:r>
              <w:rPr>
                <w:rFonts w:ascii="宋体" w:hAnsi="宋体" w:eastAsia="宋体" w:cs="宋体"/>
                <w:color w:val="auto"/>
                <w:szCs w:val="21"/>
                <w:highlight w:val="none"/>
                <w:lang w:eastAsia="zh-CN" w:bidi="ar"/>
              </w:rPr>
              <w:t>，即用户可根据实际需要设定电流输出时间（最长10小时）。</w:t>
            </w:r>
            <w:r>
              <w:rPr>
                <w:rFonts w:ascii="宋体" w:hAnsi="宋体" w:eastAsia="宋体" w:cs="宋体"/>
                <w:color w:val="auto"/>
                <w:szCs w:val="21"/>
                <w:highlight w:val="none"/>
                <w:lang w:bidi="ar"/>
              </w:rPr>
              <w:t>定时时间到时，产品进入保护状态，切断输出</w:t>
            </w:r>
            <w:r>
              <w:rPr>
                <w:rFonts w:ascii="宋体" w:hAnsi="宋体" w:eastAsia="宋体" w:cs="宋体"/>
                <w:color w:val="auto"/>
                <w:highlight w:val="none"/>
                <w:lang w:eastAsia="zh-CN"/>
              </w:rPr>
              <w:t>。</w:t>
            </w:r>
            <w:r>
              <w:rPr>
                <w:rFonts w:ascii="宋体" w:hAnsi="宋体" w:eastAsia="宋体" w:cs="宋体"/>
                <w:color w:val="auto"/>
                <w:highlight w:val="none"/>
              </w:rPr>
              <w:t>提供国家认可的检验检测机构出具的具有</w:t>
            </w:r>
            <w:r>
              <w:rPr>
                <w:rFonts w:hint="eastAsia" w:ascii="宋体" w:hAnsi="宋体" w:eastAsia="宋体" w:cs="宋体"/>
                <w:color w:val="auto"/>
                <w:highlight w:val="none"/>
              </w:rPr>
              <w:t>CMA</w:t>
            </w:r>
            <w:r>
              <w:rPr>
                <w:rFonts w:ascii="宋体" w:hAnsi="宋体" w:eastAsia="宋体" w:cs="宋体"/>
                <w:color w:val="auto"/>
                <w:highlight w:val="none"/>
              </w:rPr>
              <w:t>或</w:t>
            </w:r>
            <w:r>
              <w:rPr>
                <w:rFonts w:hint="eastAsia" w:ascii="宋体" w:hAnsi="宋体" w:eastAsia="宋体" w:cs="宋体"/>
                <w:color w:val="auto"/>
                <w:highlight w:val="none"/>
              </w:rPr>
              <w:t>CNAS</w:t>
            </w:r>
            <w:r>
              <w:rPr>
                <w:rFonts w:ascii="宋体" w:hAnsi="宋体" w:eastAsia="宋体" w:cs="宋体"/>
                <w:color w:val="auto"/>
                <w:highlight w:val="none"/>
              </w:rPr>
              <w:t>认证标志的检验报告原件扫描件的得</w:t>
            </w:r>
            <w:r>
              <w:rPr>
                <w:rFonts w:hint="eastAsia" w:ascii="宋体" w:hAnsi="宋体" w:eastAsia="宋体" w:cs="宋体"/>
                <w:color w:val="auto"/>
                <w:highlight w:val="none"/>
              </w:rPr>
              <w:t>3</w:t>
            </w:r>
            <w:r>
              <w:rPr>
                <w:rFonts w:ascii="宋体" w:hAnsi="宋体" w:eastAsia="宋体" w:cs="宋体"/>
                <w:color w:val="auto"/>
                <w:highlight w:val="none"/>
              </w:rPr>
              <w:t>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17</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化消防站抗风性能达到12级风。提供国家认可的检验检测机构出具的具有CMA或CNAS认证标志的分析报告原件扫描件的得3分，未按要求提供的不得分。分析项目和分析结论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18</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化消防站抗震性能达到8度抗震能力。提供国家认可的检验检测机构出具的具有CMA或CNAS认证标志的分析报告原件扫描件的得3分，未按要求提供的不得分。分析项目和分析结论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eastAsia" w:ascii="宋体" w:hAnsi="宋体" w:eastAsia="宋体" w:cs="宋体"/>
                <w:color w:val="auto"/>
                <w:highlight w:val="none"/>
                <w:lang w:eastAsia="zh-CN"/>
              </w:rPr>
            </w:pPr>
            <w:r>
              <w:rPr>
                <w:rFonts w:ascii="宋体" w:hAnsi="宋体" w:eastAsia="宋体" w:cs="宋体"/>
                <w:color w:val="auto"/>
                <w:highlight w:val="none"/>
              </w:rPr>
              <w:t>19</w:t>
            </w:r>
          </w:p>
        </w:tc>
        <w:tc>
          <w:tcPr>
            <w:tcW w:w="767" w:type="dxa"/>
            <w:shd w:val="clear" w:color="auto" w:fill="auto"/>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根据投标人针对本项目制定的货物设计方案进行评价，投标人需提供：①结合项目周边交通、有针对性的消防站布局方案和消防车出警交通方案②符合本项目技术要求的效果图（需包含正立面、侧立面、鸟瞰图、透视效果图）和平面布置图（需清晰的标明模块名称以及尺寸）③各个功能库室实景照片或效果图。每提供1项符合本项目要求和特点的材料得1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lang w:eastAsia="zh-CN"/>
              </w:rPr>
            </w:pPr>
            <w:r>
              <w:rPr>
                <w:rFonts w:ascii="宋体" w:hAnsi="宋体" w:eastAsia="宋体" w:cs="宋体"/>
                <w:color w:val="auto"/>
                <w:highlight w:val="none"/>
                <w:lang w:eastAsia="zh-CN"/>
              </w:rPr>
              <w:t>20</w:t>
            </w:r>
          </w:p>
        </w:tc>
        <w:tc>
          <w:tcPr>
            <w:tcW w:w="767" w:type="dxa"/>
            <w:shd w:val="clear" w:color="auto" w:fill="auto"/>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根据投标人针对本项目制定的项目供货安装实施方案进行评价，内容包括①项目实施进度计划②人员安排计划③模块生产流程方案④产品的包装及运输方案、⑤安装工艺和质量标准。（1）方案中有包含①③⑤三项内容并符合本项目要求和特点的得2分；（2）在（1）的基础上，方案中包含以上全部五项内容并符合本项目要求和特点的得3分；未提供相关方案或者提供的方案不符合本项目要求的不得分。</w:t>
            </w:r>
          </w:p>
        </w:tc>
      </w:tr>
    </w:tbl>
    <w:p>
      <w:pPr>
        <w:pStyle w:val="4"/>
        <w:bidi w:val="0"/>
        <w:rPr>
          <w:rFonts w:hint="default"/>
          <w:color w:val="auto"/>
          <w:highlight w:val="none"/>
        </w:rPr>
      </w:pPr>
      <w:bookmarkStart w:id="10" w:name="_Toc15031"/>
      <w:r>
        <w:rPr>
          <w:color w:val="auto"/>
          <w:highlight w:val="none"/>
        </w:rPr>
        <w:t>商务项（F3×A3）满分为</w:t>
      </w:r>
      <w:r>
        <w:rPr>
          <w:color w:val="auto"/>
          <w:highlight w:val="none"/>
          <w:u w:val="single"/>
          <w:lang w:eastAsia="zh-CN"/>
        </w:rPr>
        <w:t xml:space="preserve"> 10  </w:t>
      </w:r>
      <w:r>
        <w:rPr>
          <w:color w:val="auto"/>
          <w:highlight w:val="none"/>
        </w:rPr>
        <w:t>分</w:t>
      </w:r>
      <w:bookmarkEnd w:id="10"/>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7"/>
        <w:gridCol w:w="767"/>
        <w:gridCol w:w="6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default"/>
                <w:color w:val="auto"/>
                <w:highlight w:val="none"/>
              </w:rPr>
            </w:pPr>
            <w:r>
              <w:rPr>
                <w:color w:val="auto"/>
                <w:highlight w:val="none"/>
              </w:rPr>
              <w:t xml:space="preserve"> 项目</w:t>
            </w:r>
          </w:p>
        </w:tc>
        <w:tc>
          <w:tcPr>
            <w:tcW w:w="767" w:type="dxa"/>
          </w:tcPr>
          <w:p>
            <w:pPr>
              <w:pStyle w:val="23"/>
              <w:jc w:val="both"/>
              <w:rPr>
                <w:rFonts w:hint="default"/>
                <w:color w:val="auto"/>
                <w:highlight w:val="none"/>
              </w:rPr>
            </w:pPr>
            <w:r>
              <w:rPr>
                <w:color w:val="auto"/>
                <w:highlight w:val="none"/>
              </w:rPr>
              <w:t xml:space="preserve"> 分值</w:t>
            </w:r>
          </w:p>
        </w:tc>
        <w:tc>
          <w:tcPr>
            <w:tcW w:w="6622" w:type="dxa"/>
          </w:tcPr>
          <w:p>
            <w:pPr>
              <w:pStyle w:val="23"/>
              <w:jc w:val="both"/>
              <w:rPr>
                <w:rFonts w:hint="default"/>
                <w:color w:val="auto"/>
                <w:highlight w:val="none"/>
              </w:rPr>
            </w:pPr>
            <w:r>
              <w:rPr>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default"/>
                <w:color w:val="auto"/>
                <w:highlight w:val="none"/>
              </w:rPr>
            </w:pPr>
            <w:r>
              <w:rPr>
                <w:color w:val="auto"/>
                <w:highlight w:val="none"/>
              </w:rPr>
              <w:t>1</w:t>
            </w:r>
          </w:p>
        </w:tc>
        <w:tc>
          <w:tcPr>
            <w:tcW w:w="767" w:type="dxa"/>
            <w:shd w:val="clear" w:color="auto" w:fill="auto"/>
          </w:tcPr>
          <w:p>
            <w:pPr>
              <w:pStyle w:val="23"/>
              <w:jc w:val="right"/>
              <w:rPr>
                <w:rFonts w:hint="default"/>
                <w:color w:val="auto"/>
                <w:highlight w:val="none"/>
              </w:rPr>
            </w:pPr>
            <w:r>
              <w:rPr>
                <w:color w:val="auto"/>
                <w:highlight w:val="none"/>
                <w:lang w:eastAsia="zh-CN"/>
              </w:rPr>
              <w:t>1</w:t>
            </w:r>
            <w:r>
              <w:rPr>
                <w:color w:val="auto"/>
                <w:highlight w:val="none"/>
              </w:rPr>
              <w:t>.0000</w:t>
            </w:r>
          </w:p>
        </w:tc>
        <w:tc>
          <w:tcPr>
            <w:tcW w:w="6622" w:type="dxa"/>
            <w:shd w:val="clear" w:color="auto" w:fill="auto"/>
          </w:tcPr>
          <w:p>
            <w:pPr>
              <w:pStyle w:val="23"/>
              <w:jc w:val="both"/>
              <w:rPr>
                <w:rFonts w:hint="default"/>
                <w:color w:val="auto"/>
                <w:highlight w:val="none"/>
              </w:rPr>
            </w:pPr>
            <w:r>
              <w:rPr>
                <w:color w:val="auto"/>
                <w:highlight w:val="none"/>
              </w:rPr>
              <w:t>投标人具有有效的质量管理体系认证证书、环境管理体系认证证书、职业健康安全管理体系认证证书，提供</w:t>
            </w:r>
            <w:r>
              <w:rPr>
                <w:color w:val="auto"/>
                <w:highlight w:val="none"/>
                <w:lang w:eastAsia="zh-CN"/>
              </w:rPr>
              <w:t>3</w:t>
            </w:r>
            <w:r>
              <w:rPr>
                <w:color w:val="auto"/>
                <w:highlight w:val="none"/>
              </w:rPr>
              <w:t>个证书得</w:t>
            </w:r>
            <w:r>
              <w:rPr>
                <w:color w:val="auto"/>
                <w:highlight w:val="none"/>
                <w:lang w:eastAsia="zh-CN"/>
              </w:rPr>
              <w:t>1</w:t>
            </w:r>
            <w:r>
              <w:rPr>
                <w:color w:val="auto"/>
                <w:highlight w:val="none"/>
              </w:rPr>
              <w:t>分，满分</w:t>
            </w:r>
            <w:r>
              <w:rPr>
                <w:color w:val="auto"/>
                <w:highlight w:val="none"/>
                <w:lang w:eastAsia="zh-CN"/>
              </w:rPr>
              <w:t>1</w:t>
            </w:r>
            <w:r>
              <w:rPr>
                <w:color w:val="auto"/>
                <w:highlight w:val="none"/>
              </w:rPr>
              <w:t>分。</w:t>
            </w:r>
            <w:r>
              <w:rPr>
                <w:color w:val="auto"/>
                <w:highlight w:val="none"/>
                <w:lang w:eastAsia="zh-CN"/>
              </w:rPr>
              <w:t>不提供或提供不全不得分。</w:t>
            </w:r>
            <w:r>
              <w:rPr>
                <w:color w:val="auto"/>
                <w:highlight w:val="none"/>
              </w:rPr>
              <w:t>投标人需提供上述证书原件扫描件</w:t>
            </w:r>
            <w:r>
              <w:rPr>
                <w:rFonts w:hint="eastAsia"/>
                <w:color w:val="auto"/>
                <w:highlight w:val="none"/>
                <w:lang w:eastAsia="zh-CN"/>
              </w:rPr>
              <w:t>以及</w:t>
            </w:r>
            <w:r>
              <w:rPr>
                <w:color w:val="auto"/>
                <w:highlight w:val="none"/>
              </w:rPr>
              <w:t>认证证书在“全国认证认可信息公共服务平台”的查询页面截图并加盖投标人公章。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default"/>
                <w:color w:val="auto"/>
                <w:highlight w:val="none"/>
              </w:rPr>
            </w:pPr>
            <w:r>
              <w:rPr>
                <w:color w:val="auto"/>
                <w:highlight w:val="none"/>
              </w:rPr>
              <w:t>2</w:t>
            </w:r>
          </w:p>
        </w:tc>
        <w:tc>
          <w:tcPr>
            <w:tcW w:w="767" w:type="dxa"/>
            <w:shd w:val="clear" w:color="auto" w:fill="auto"/>
          </w:tcPr>
          <w:p>
            <w:pPr>
              <w:pStyle w:val="23"/>
              <w:jc w:val="right"/>
              <w:rPr>
                <w:rFonts w:hint="default"/>
                <w:color w:val="auto"/>
                <w:highlight w:val="none"/>
              </w:rPr>
            </w:pPr>
            <w:r>
              <w:rPr>
                <w:color w:val="auto"/>
                <w:highlight w:val="none"/>
              </w:rPr>
              <w:t>3.0000</w:t>
            </w:r>
          </w:p>
        </w:tc>
        <w:tc>
          <w:tcPr>
            <w:tcW w:w="6622" w:type="dxa"/>
            <w:shd w:val="clear" w:color="auto" w:fill="auto"/>
          </w:tcPr>
          <w:p>
            <w:pPr>
              <w:pStyle w:val="23"/>
              <w:jc w:val="both"/>
              <w:rPr>
                <w:rFonts w:hint="default"/>
                <w:color w:val="auto"/>
                <w:highlight w:val="none"/>
              </w:rPr>
            </w:pPr>
            <w:r>
              <w:rPr>
                <w:color w:val="auto"/>
                <w:highlight w:val="none"/>
              </w:rPr>
              <w:t>投标人提供自2021年1月1日至今（以合同签订时间为准）的模块化消防站或集装箱房屋等同类项目业绩的有效证明文件，每提供1个完整业绩资料的得1分，满分3分。有效证明文件应完整包括：①该业绩的中标（成交）公告（须提供相关网站中标（成交）公告的下载网页及其网址）；②中标（成交）通知书原件扫描件；③采购合同文本原件扫描件；④能够证明该业绩项目已经采购人验收合格的相关证明文件原件扫描件。以上①-④缺一不得分。如未按照招标文件要求提供该项业绩完整资料的，评标委员会对该项业绩将不予采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default"/>
                <w:color w:val="auto"/>
                <w:highlight w:val="none"/>
              </w:rPr>
            </w:pPr>
            <w:r>
              <w:rPr>
                <w:color w:val="auto"/>
                <w:highlight w:val="none"/>
              </w:rPr>
              <w:t>3</w:t>
            </w:r>
          </w:p>
        </w:tc>
        <w:tc>
          <w:tcPr>
            <w:tcW w:w="767" w:type="dxa"/>
            <w:shd w:val="clear" w:color="auto" w:fill="auto"/>
          </w:tcPr>
          <w:p>
            <w:pPr>
              <w:pStyle w:val="23"/>
              <w:jc w:val="right"/>
              <w:rPr>
                <w:rFonts w:hint="default"/>
                <w:color w:val="auto"/>
                <w:highlight w:val="none"/>
              </w:rPr>
            </w:pPr>
            <w:r>
              <w:rPr>
                <w:color w:val="auto"/>
                <w:highlight w:val="none"/>
              </w:rPr>
              <w:t>3.0000</w:t>
            </w:r>
          </w:p>
        </w:tc>
        <w:tc>
          <w:tcPr>
            <w:tcW w:w="6622" w:type="dxa"/>
            <w:shd w:val="clear" w:color="auto" w:fill="auto"/>
          </w:tcPr>
          <w:p>
            <w:pPr>
              <w:pStyle w:val="23"/>
              <w:jc w:val="both"/>
              <w:rPr>
                <w:rFonts w:hint="default"/>
                <w:color w:val="auto"/>
                <w:highlight w:val="none"/>
              </w:rPr>
            </w:pPr>
            <w:r>
              <w:rPr>
                <w:color w:val="auto"/>
                <w:highlight w:val="none"/>
              </w:rPr>
              <w:t>根据投标人针对本项目制定的售后服务方案进行评价，内容包括：①售后服务承诺、②质保期及质保服务内容、③培训方案与计划、④服务机构（应包含办公地址、服务人员、服务电话）、⑤服务响应时间。（1）方案中有包含②③④三项内容并符合本项目要求和特点的得2分；（2）在（1）的基础上，方案中包含以上全部五项内容并符合本项目要求和特点的得3分；未提供相关方案或者提供的方案不符合本项目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default"/>
                <w:color w:val="auto"/>
                <w:highlight w:val="none"/>
              </w:rPr>
            </w:pPr>
            <w:r>
              <w:rPr>
                <w:color w:val="auto"/>
                <w:highlight w:val="none"/>
                <w:lang w:eastAsia="zh-CN"/>
              </w:rPr>
              <w:t>4</w:t>
            </w:r>
          </w:p>
        </w:tc>
        <w:tc>
          <w:tcPr>
            <w:tcW w:w="767" w:type="dxa"/>
            <w:shd w:val="clear" w:color="auto" w:fill="auto"/>
          </w:tcPr>
          <w:p>
            <w:pPr>
              <w:pStyle w:val="23"/>
              <w:jc w:val="right"/>
              <w:rPr>
                <w:rFonts w:hint="default"/>
                <w:color w:val="auto"/>
                <w:highlight w:val="none"/>
              </w:rPr>
            </w:pPr>
            <w:r>
              <w:rPr>
                <w:color w:val="auto"/>
                <w:highlight w:val="none"/>
              </w:rPr>
              <w:t>3.0000</w:t>
            </w:r>
          </w:p>
        </w:tc>
        <w:tc>
          <w:tcPr>
            <w:tcW w:w="6622" w:type="dxa"/>
            <w:shd w:val="clear" w:color="auto" w:fill="auto"/>
          </w:tcPr>
          <w:p>
            <w:pPr>
              <w:pStyle w:val="23"/>
              <w:jc w:val="both"/>
              <w:rPr>
                <w:rFonts w:hint="default"/>
                <w:color w:val="auto"/>
                <w:highlight w:val="none"/>
              </w:rPr>
            </w:pPr>
            <w:r>
              <w:rPr>
                <w:color w:val="auto"/>
                <w:highlight w:val="none"/>
              </w:rPr>
              <w:t>投标人提供厦门本地化服务的得3分，否则不得分。可提供合作单位协议或者自身机构的营业执照证明，也可以提供在本地设立的分公司、子公司、项目部、办事处等机构证明，或者承诺中标后提供本地化服务（格式自拟）。注：提供承诺函的投标人若获中标，但未按承诺函履行承诺，则视为以虚假响应谋取中标，采购人除有权单方面取消投标人中标资格外，亦有权追究投标人的经济法律责任。</w:t>
            </w:r>
          </w:p>
        </w:tc>
      </w:tr>
    </w:tbl>
    <w:p>
      <w:pPr>
        <w:pStyle w:val="23"/>
        <w:jc w:val="both"/>
        <w:rPr>
          <w:rFonts w:hint="default"/>
          <w:color w:val="auto"/>
          <w:highlight w:val="none"/>
        </w:rPr>
      </w:pPr>
      <w:r>
        <w:rPr>
          <w:color w:val="auto"/>
          <w:highlight w:val="none"/>
        </w:rPr>
        <w:t>※除本章第6.3条第（3）款规定情形和落实政府采购政策需进行的价格扣除情形外，不能对投标人的投标报价进行任何调整。</w:t>
      </w:r>
    </w:p>
    <w:p>
      <w:pPr>
        <w:pStyle w:val="23"/>
        <w:jc w:val="both"/>
        <w:rPr>
          <w:rFonts w:hint="default"/>
          <w:color w:val="auto"/>
          <w:highlight w:val="none"/>
        </w:rPr>
      </w:pPr>
      <w:r>
        <w:rPr>
          <w:color w:val="auto"/>
          <w:highlight w:val="none"/>
        </w:rPr>
        <w:t>（3）中标候选人排列规则顺序如下：</w:t>
      </w:r>
    </w:p>
    <w:p>
      <w:pPr>
        <w:pStyle w:val="23"/>
        <w:jc w:val="both"/>
        <w:rPr>
          <w:rFonts w:hint="default"/>
          <w:color w:val="auto"/>
          <w:highlight w:val="none"/>
        </w:rPr>
      </w:pPr>
      <w:r>
        <w:rPr>
          <w:color w:val="auto"/>
          <w:highlight w:val="none"/>
        </w:rPr>
        <w:t>a.按照评标总得分（FA）由高到低顺序排列。</w:t>
      </w:r>
    </w:p>
    <w:p>
      <w:pPr>
        <w:pStyle w:val="23"/>
        <w:jc w:val="both"/>
        <w:rPr>
          <w:rFonts w:hint="default"/>
          <w:color w:val="auto"/>
          <w:highlight w:val="none"/>
        </w:rPr>
      </w:pPr>
      <w:r>
        <w:rPr>
          <w:color w:val="auto"/>
          <w:highlight w:val="none"/>
        </w:rPr>
        <w:t>b.评标总得分（FA）相同的，按照评标价（即价格扣除后的投标报价）由低到高顺序排列。</w:t>
      </w:r>
    </w:p>
    <w:p>
      <w:pPr>
        <w:pStyle w:val="23"/>
        <w:jc w:val="both"/>
        <w:rPr>
          <w:rFonts w:hint="default"/>
          <w:color w:val="auto"/>
          <w:highlight w:val="none"/>
        </w:rPr>
      </w:pPr>
      <w:r>
        <w:rPr>
          <w:color w:val="auto"/>
          <w:highlight w:val="none"/>
        </w:rPr>
        <w:t>c.评标总得分（FA）且评标价（即价格扣除后的投标报价）相同的并列。</w:t>
      </w:r>
    </w:p>
    <w:p>
      <w:pPr>
        <w:pStyle w:val="23"/>
        <w:ind w:firstLine="480"/>
        <w:jc w:val="both"/>
        <w:rPr>
          <w:rFonts w:hint="default"/>
          <w:color w:val="auto"/>
          <w:highlight w:val="none"/>
        </w:rPr>
      </w:pPr>
      <w:r>
        <w:rPr>
          <w:color w:val="auto"/>
          <w:highlight w:val="none"/>
        </w:rPr>
        <w:t>8、其他规定</w:t>
      </w:r>
    </w:p>
    <w:p>
      <w:pPr>
        <w:pStyle w:val="23"/>
        <w:ind w:firstLine="480"/>
        <w:jc w:val="both"/>
        <w:rPr>
          <w:rFonts w:hint="default"/>
          <w:color w:val="auto"/>
          <w:highlight w:val="none"/>
        </w:rPr>
      </w:pPr>
      <w:r>
        <w:rPr>
          <w:color w:val="auto"/>
          <w:highlight w:val="none"/>
        </w:rPr>
        <w:t>8.1评标应全程保密且不得透露给任一投标人或与评标工作无关的人员。</w:t>
      </w:r>
    </w:p>
    <w:p>
      <w:pPr>
        <w:pStyle w:val="23"/>
        <w:ind w:firstLine="480"/>
        <w:jc w:val="both"/>
        <w:rPr>
          <w:rFonts w:hint="default"/>
          <w:color w:val="auto"/>
          <w:highlight w:val="none"/>
        </w:rPr>
      </w:pPr>
      <w:r>
        <w:rPr>
          <w:color w:val="auto"/>
          <w:highlight w:val="none"/>
        </w:rPr>
        <w:t>8.2评标将进行全程实时录音录像，录音录像资料随采购文件一并存档。</w:t>
      </w:r>
    </w:p>
    <w:p>
      <w:pPr>
        <w:pStyle w:val="23"/>
        <w:ind w:firstLine="480"/>
        <w:jc w:val="both"/>
        <w:rPr>
          <w:rFonts w:hint="default"/>
          <w:color w:val="auto"/>
          <w:highlight w:val="none"/>
        </w:rPr>
      </w:pPr>
      <w:r>
        <w:rPr>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23"/>
        <w:ind w:firstLine="480"/>
        <w:jc w:val="both"/>
        <w:rPr>
          <w:rFonts w:hint="default"/>
          <w:color w:val="auto"/>
          <w:highlight w:val="none"/>
        </w:rPr>
      </w:pPr>
      <w:r>
        <w:rPr>
          <w:color w:val="auto"/>
          <w:highlight w:val="none"/>
        </w:rPr>
        <w:t>8.4其他：</w:t>
      </w:r>
    </w:p>
    <w:p>
      <w:pPr>
        <w:pStyle w:val="23"/>
        <w:ind w:firstLine="480"/>
        <w:jc w:val="both"/>
        <w:rPr>
          <w:rFonts w:hint="default"/>
          <w:color w:val="auto"/>
          <w:highlight w:val="none"/>
        </w:rPr>
      </w:pPr>
      <w:r>
        <w:rPr>
          <w:color w:val="auto"/>
          <w:highlight w:val="none"/>
        </w:rPr>
        <w:t>8.4.1 关于相同品牌产品投标的补充规定。（1）提供相同品牌产品且通过资格审查、符合性审查的不同投标人参加同一合同项下投标的，按一家投标人计算，按此办法计算的有效投标人不足三家的，按废标处理（即否决所有投标）。按此办法计算的有效投标人大于或等于三家的，所有通过资格审查、符合性审查的投标人均进入比较与评价（即评分）程序。（2）如一个合同包内包含多种产品的，按招标文件第五章的所列的产品认定核心产品，投标人提供的核心产品中只要有1个核心产品的品牌相同的，相关投标人将被认定为属于提供相同品牌产品。</w:t>
      </w:r>
    </w:p>
    <w:p>
      <w:pPr>
        <w:pStyle w:val="23"/>
        <w:rPr>
          <w:rFonts w:hint="default"/>
          <w:color w:val="auto"/>
          <w:highlight w:val="none"/>
        </w:rPr>
      </w:pPr>
      <w:r>
        <w:rPr>
          <w:color w:val="auto"/>
          <w:highlight w:val="none"/>
        </w:rPr>
        <w:br w:type="page"/>
      </w:r>
    </w:p>
    <w:p>
      <w:pPr>
        <w:pStyle w:val="3"/>
        <w:bidi w:val="0"/>
        <w:rPr>
          <w:rFonts w:hint="default"/>
          <w:color w:val="auto"/>
          <w:highlight w:val="none"/>
        </w:rPr>
      </w:pPr>
      <w:bookmarkStart w:id="11" w:name="_Toc32064"/>
      <w:r>
        <w:rPr>
          <w:color w:val="auto"/>
          <w:highlight w:val="none"/>
        </w:rPr>
        <w:t>第五章 招标内容及要求</w:t>
      </w:r>
      <w:bookmarkEnd w:id="11"/>
    </w:p>
    <w:p>
      <w:pPr>
        <w:pStyle w:val="23"/>
        <w:pageBreakBefore w:val="0"/>
        <w:kinsoku/>
        <w:wordWrap/>
        <w:overflowPunct/>
        <w:topLinePunct w:val="0"/>
        <w:autoSpaceDE/>
        <w:autoSpaceDN/>
        <w:bidi w:val="0"/>
        <w:adjustRightInd/>
        <w:snapToGrid/>
        <w:jc w:val="both"/>
        <w:outlineLvl w:val="9"/>
        <w:rPr>
          <w:rFonts w:hint="default"/>
          <w:b/>
          <w:color w:val="auto"/>
          <w:sz w:val="28"/>
          <w:highlight w:val="none"/>
        </w:rPr>
      </w:pPr>
      <w:r>
        <w:rPr>
          <w:b/>
          <w:color w:val="auto"/>
          <w:sz w:val="28"/>
          <w:highlight w:val="none"/>
        </w:rPr>
        <w:t>一、项目概况（采购标的）</w:t>
      </w:r>
    </w:p>
    <w:p>
      <w:pPr>
        <w:pStyle w:val="23"/>
        <w:pageBreakBefore w:val="0"/>
        <w:kinsoku/>
        <w:wordWrap/>
        <w:overflowPunct/>
        <w:topLinePunct w:val="0"/>
        <w:autoSpaceDE/>
        <w:autoSpaceDN/>
        <w:bidi w:val="0"/>
        <w:adjustRightInd/>
        <w:snapToGrid/>
        <w:spacing w:line="360" w:lineRule="auto"/>
        <w:ind w:firstLine="480" w:firstLineChars="200"/>
        <w:outlineLvl w:val="9"/>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为提高灭火救援快速反应能力，解决原有消防站点布局过疏、辖区过大的问题，填补消防站布点空白，构建“5分钟”消防快速救援响应圈，进一步强化“点密站多、精准辐射、出动迅速、打造打小”的城市灭火救援体系，实现“第一时间出动、第一时间救人、第一时间灭火”的目标，打造“灭火救援执勤点、防火巡查落脚点、消防宣传着力点”防消宣一体的消防安全阵地，在管辖范围内新增两座小型消防站。</w:t>
      </w:r>
    </w:p>
    <w:p>
      <w:pPr>
        <w:pStyle w:val="23"/>
        <w:pageBreakBefore w:val="0"/>
        <w:kinsoku/>
        <w:wordWrap/>
        <w:overflowPunct/>
        <w:topLinePunct w:val="0"/>
        <w:autoSpaceDE/>
        <w:autoSpaceDN/>
        <w:bidi w:val="0"/>
        <w:adjustRightInd/>
        <w:snapToGrid/>
        <w:spacing w:line="360" w:lineRule="auto"/>
        <w:ind w:firstLine="480" w:firstLineChars="200"/>
        <w:outlineLvl w:val="9"/>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鉴于小型消防站主要是为了满足老城区和中心城区等用地紧张、标准型消防站难以落地的现实问题，建设面积不宜过大，因此，在确定小型站的各类用房时，主要考虑执勤备战所需的消防车库、通信室、体能室、器材库、研讨室和备勤室等执勤备战所需的基本用房，因此，建议采取以下模式建设：可移动模块化消防站，由多个集装箱模块吊装拼接整合而成，具有占地面积小、建设周期快、方便、快捷、灵活等特点，可随时根据场地变化进行移动拼装，不受土地审批报规划等繁琐手续限制，选址快，落地快，配套完善，建成即可迅速投入执勤，装配式施工过程，低扬尘、低</w:t>
      </w:r>
      <w:r>
        <w:rPr>
          <w:rFonts w:hint="eastAsia" w:ascii="宋体" w:hAnsi="宋体" w:eastAsia="宋体" w:cs="宋体"/>
          <w:bCs/>
          <w:color w:val="auto"/>
          <w:sz w:val="24"/>
          <w:szCs w:val="24"/>
          <w:highlight w:val="none"/>
          <w:lang w:eastAsia="zh-CN"/>
        </w:rPr>
        <w:t>噪声污染</w:t>
      </w:r>
      <w:r>
        <w:rPr>
          <w:rFonts w:ascii="宋体" w:hAnsi="宋体" w:eastAsia="宋体" w:cs="宋体"/>
          <w:bCs/>
          <w:color w:val="auto"/>
          <w:sz w:val="24"/>
          <w:szCs w:val="24"/>
          <w:highlight w:val="none"/>
        </w:rPr>
        <w:t>，对周围人居住环境无影响。</w:t>
      </w:r>
    </w:p>
    <w:p>
      <w:pPr>
        <w:pStyle w:val="23"/>
        <w:pageBreakBefore w:val="0"/>
        <w:numPr>
          <w:ilvl w:val="0"/>
          <w:numId w:val="1"/>
        </w:numPr>
        <w:kinsoku/>
        <w:wordWrap/>
        <w:overflowPunct/>
        <w:topLinePunct w:val="0"/>
        <w:autoSpaceDE/>
        <w:autoSpaceDN/>
        <w:bidi w:val="0"/>
        <w:adjustRightInd/>
        <w:snapToGrid/>
        <w:jc w:val="both"/>
        <w:outlineLvl w:val="9"/>
        <w:rPr>
          <w:rFonts w:hint="default"/>
          <w:b/>
          <w:color w:val="auto"/>
          <w:sz w:val="28"/>
          <w:highlight w:val="none"/>
        </w:rPr>
      </w:pPr>
      <w:r>
        <w:rPr>
          <w:b/>
          <w:color w:val="auto"/>
          <w:sz w:val="28"/>
          <w:highlight w:val="none"/>
        </w:rPr>
        <w:t>技术和服务要求（以“★”标示的内容为不允许负偏离的实质性要求）</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eastAsia="宋体"/>
          <w:color w:val="auto"/>
          <w:highlight w:val="none"/>
          <w:lang w:eastAsia="zh-CN"/>
        </w:rPr>
      </w:pPr>
      <w:r>
        <w:rPr>
          <w:rFonts w:ascii="宋体" w:hAnsi="宋体" w:eastAsia="宋体" w:cs="宋体"/>
          <w:b/>
          <w:color w:val="auto"/>
          <w:sz w:val="24"/>
          <w:highlight w:val="none"/>
          <w:lang w:eastAsia="zh-CN"/>
        </w:rPr>
        <w:t>（一）建设依据</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1.1《城市消防站设计规范》（GB51054-2014）</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1.2《城市消防站建设标准》（建标152-2017）</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1.3《集装箱模块化组合房屋技术规程》（CECS 334-2013）</w:t>
      </w:r>
    </w:p>
    <w:p>
      <w:pPr>
        <w:pStyle w:val="23"/>
        <w:pageBreakBefore w:val="0"/>
        <w:kinsoku/>
        <w:wordWrap/>
        <w:overflowPunct/>
        <w:topLinePunct w:val="0"/>
        <w:autoSpaceDE/>
        <w:autoSpaceDN/>
        <w:bidi w:val="0"/>
        <w:adjustRightInd/>
        <w:snapToGrid/>
        <w:spacing w:line="360" w:lineRule="auto"/>
        <w:ind w:firstLine="480"/>
        <w:jc w:val="both"/>
        <w:outlineLvl w:val="9"/>
        <w:rPr>
          <w:rFonts w:ascii="宋体" w:hAnsi="宋体" w:eastAsia="宋体" w:cs="宋体"/>
          <w:color w:val="auto"/>
          <w:sz w:val="24"/>
          <w:highlight w:val="none"/>
        </w:rPr>
      </w:pPr>
      <w:r>
        <w:rPr>
          <w:rFonts w:ascii="宋体" w:hAnsi="宋体" w:eastAsia="宋体" w:cs="宋体"/>
          <w:color w:val="auto"/>
          <w:sz w:val="24"/>
          <w:highlight w:val="none"/>
          <w:lang w:eastAsia="zh-CN"/>
        </w:rPr>
        <w:t>1.4</w:t>
      </w:r>
      <w:r>
        <w:rPr>
          <w:rFonts w:ascii="宋体" w:hAnsi="宋体" w:eastAsia="宋体" w:cs="宋体"/>
          <w:color w:val="auto"/>
          <w:sz w:val="24"/>
          <w:highlight w:val="none"/>
        </w:rPr>
        <w:t>《关于加强城镇公共消防设施和基层消防组织建设的指导意见》（公通字〔2015〕24号）</w:t>
      </w:r>
    </w:p>
    <w:p>
      <w:pPr>
        <w:pStyle w:val="23"/>
        <w:pageBreakBefore w:val="0"/>
        <w:kinsoku/>
        <w:wordWrap/>
        <w:overflowPunct/>
        <w:topLinePunct w:val="0"/>
        <w:autoSpaceDE/>
        <w:autoSpaceDN/>
        <w:bidi w:val="0"/>
        <w:adjustRightInd/>
        <w:snapToGrid/>
        <w:spacing w:line="360" w:lineRule="auto"/>
        <w:ind w:firstLine="480"/>
        <w:jc w:val="both"/>
        <w:outlineLvl w:val="9"/>
        <w:rPr>
          <w:rFonts w:ascii="宋体" w:hAnsi="宋体" w:eastAsia="宋体" w:cs="宋体"/>
          <w:color w:val="auto"/>
          <w:sz w:val="24"/>
          <w:highlight w:val="none"/>
        </w:rPr>
      </w:pPr>
      <w:r>
        <w:rPr>
          <w:rFonts w:ascii="宋体" w:hAnsi="宋体" w:eastAsia="宋体" w:cs="宋体"/>
          <w:color w:val="auto"/>
          <w:sz w:val="24"/>
          <w:highlight w:val="none"/>
          <w:lang w:eastAsia="zh-CN"/>
        </w:rPr>
        <w:t>1.5</w:t>
      </w:r>
      <w:r>
        <w:rPr>
          <w:rFonts w:ascii="宋体" w:hAnsi="宋体" w:eastAsia="宋体" w:cs="宋体"/>
          <w:color w:val="auto"/>
          <w:sz w:val="24"/>
          <w:highlight w:val="none"/>
        </w:rPr>
        <w:t>《福建省多种形式消防队伍建设管理办法》（闽公综[2012]552号）</w:t>
      </w:r>
    </w:p>
    <w:p>
      <w:pPr>
        <w:pStyle w:val="23"/>
        <w:pageBreakBefore w:val="0"/>
        <w:kinsoku/>
        <w:wordWrap/>
        <w:overflowPunct/>
        <w:topLinePunct w:val="0"/>
        <w:autoSpaceDE/>
        <w:autoSpaceDN/>
        <w:bidi w:val="0"/>
        <w:adjustRightInd/>
        <w:snapToGrid/>
        <w:spacing w:line="360" w:lineRule="auto"/>
        <w:ind w:firstLine="480"/>
        <w:jc w:val="both"/>
        <w:outlineLvl w:val="9"/>
        <w:rPr>
          <w:rFonts w:ascii="宋体" w:hAnsi="宋体" w:eastAsia="宋体" w:cs="宋体"/>
          <w:color w:val="auto"/>
          <w:sz w:val="24"/>
          <w:highlight w:val="none"/>
        </w:rPr>
      </w:pPr>
      <w:r>
        <w:rPr>
          <w:rFonts w:ascii="宋体" w:hAnsi="宋体" w:eastAsia="宋体" w:cs="宋体"/>
          <w:color w:val="auto"/>
          <w:sz w:val="24"/>
          <w:highlight w:val="none"/>
          <w:lang w:eastAsia="zh-CN"/>
        </w:rPr>
        <w:t>1.6</w:t>
      </w:r>
      <w:r>
        <w:rPr>
          <w:rFonts w:ascii="宋体" w:hAnsi="宋体" w:eastAsia="宋体" w:cs="宋体"/>
          <w:color w:val="auto"/>
          <w:sz w:val="24"/>
          <w:highlight w:val="none"/>
        </w:rPr>
        <w:t>《关于印发推广政府专职小型消防站建设工作的指导意见的通知》（闽公消〔2018〕9号）</w:t>
      </w:r>
    </w:p>
    <w:p>
      <w:pPr>
        <w:pStyle w:val="23"/>
        <w:pageBreakBefore w:val="0"/>
        <w:kinsoku/>
        <w:wordWrap/>
        <w:overflowPunct/>
        <w:topLinePunct w:val="0"/>
        <w:autoSpaceDE/>
        <w:autoSpaceDN/>
        <w:bidi w:val="0"/>
        <w:adjustRightInd/>
        <w:snapToGrid/>
        <w:spacing w:line="360" w:lineRule="auto"/>
        <w:ind w:firstLine="480"/>
        <w:jc w:val="both"/>
        <w:outlineLvl w:val="9"/>
        <w:rPr>
          <w:rFonts w:ascii="宋体" w:hAnsi="宋体" w:eastAsia="宋体" w:cs="宋体"/>
          <w:color w:val="auto"/>
          <w:sz w:val="24"/>
          <w:highlight w:val="none"/>
        </w:rPr>
      </w:pPr>
      <w:r>
        <w:rPr>
          <w:rFonts w:ascii="宋体" w:hAnsi="宋体" w:eastAsia="宋体" w:cs="宋体"/>
          <w:color w:val="auto"/>
          <w:sz w:val="24"/>
          <w:highlight w:val="none"/>
          <w:lang w:eastAsia="zh-CN"/>
        </w:rPr>
        <w:t>1.7</w:t>
      </w:r>
      <w:r>
        <w:rPr>
          <w:rFonts w:ascii="宋体" w:hAnsi="宋体" w:eastAsia="宋体" w:cs="宋体"/>
          <w:color w:val="auto"/>
          <w:sz w:val="24"/>
          <w:highlight w:val="none"/>
        </w:rPr>
        <w:t>《福建省消防救援总队关于加强全省政府专职消防队伍规划建设工作的意见》（闽消〔2021〕163号）关于小型消防站建设要求部署要求，推广建设小型消防站</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eastAsia="宋体"/>
          <w:color w:val="auto"/>
          <w:highlight w:val="none"/>
          <w:lang w:eastAsia="zh-CN"/>
        </w:rPr>
      </w:pPr>
      <w:r>
        <w:rPr>
          <w:rFonts w:ascii="宋体" w:hAnsi="宋体" w:eastAsia="宋体" w:cs="宋体"/>
          <w:color w:val="auto"/>
          <w:sz w:val="24"/>
          <w:highlight w:val="none"/>
          <w:lang w:eastAsia="zh-CN"/>
        </w:rPr>
        <w:t>（二）</w:t>
      </w:r>
      <w:r>
        <w:rPr>
          <w:rFonts w:ascii="宋体" w:hAnsi="宋体" w:eastAsia="宋体" w:cs="宋体"/>
          <w:color w:val="auto"/>
          <w:sz w:val="24"/>
          <w:highlight w:val="none"/>
        </w:rPr>
        <w:t>外观</w:t>
      </w:r>
      <w:r>
        <w:rPr>
          <w:rFonts w:ascii="宋体" w:hAnsi="宋体" w:eastAsia="宋体" w:cs="宋体"/>
          <w:color w:val="auto"/>
          <w:sz w:val="24"/>
          <w:highlight w:val="none"/>
          <w:lang w:eastAsia="zh-CN"/>
        </w:rPr>
        <w:t>要求</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lang w:eastAsia="zh-CN"/>
        </w:rPr>
        <w:t>要求</w:t>
      </w:r>
      <w:r>
        <w:rPr>
          <w:rFonts w:ascii="宋体" w:hAnsi="宋体" w:eastAsia="宋体" w:cs="宋体"/>
          <w:color w:val="auto"/>
          <w:sz w:val="24"/>
          <w:highlight w:val="none"/>
        </w:rPr>
        <w:t>小型可移动模块化消防救援站在外观上</w:t>
      </w:r>
      <w:r>
        <w:rPr>
          <w:rFonts w:ascii="宋体" w:hAnsi="宋体" w:eastAsia="宋体" w:cs="宋体"/>
          <w:color w:val="auto"/>
          <w:sz w:val="24"/>
          <w:highlight w:val="none"/>
          <w:lang w:eastAsia="zh-CN"/>
        </w:rPr>
        <w:t>凸显</w:t>
      </w:r>
      <w:r>
        <w:rPr>
          <w:rFonts w:ascii="宋体" w:hAnsi="宋体" w:eastAsia="宋体" w:cs="宋体"/>
          <w:color w:val="auto"/>
          <w:sz w:val="24"/>
          <w:highlight w:val="none"/>
        </w:rPr>
        <w:t>消防站，模块排列整齐统一，具有典型的工业风格，安全美观，庄严大气。外墙采用集装箱波纹板设计，消防站立面搭配大型灯箱字，尽显庄严大气。</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在外观颜色上以金属结构常用的中灰为主色，外饰、灯箱以大红色与火焰蓝搭配，突出消防救援主体，色彩鲜明，简洁干练。</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设计上对玻璃门窗的运用，充分考虑到采光、隐私和整体美感。整体外形美观大气、打造城市新景观。</w:t>
      </w:r>
    </w:p>
    <w:p>
      <w:pPr>
        <w:pStyle w:val="23"/>
        <w:pageBreakBefore w:val="0"/>
        <w:kinsoku/>
        <w:wordWrap/>
        <w:overflowPunct/>
        <w:topLinePunct w:val="0"/>
        <w:autoSpaceDE/>
        <w:autoSpaceDN/>
        <w:bidi w:val="0"/>
        <w:adjustRightInd/>
        <w:snapToGrid/>
        <w:spacing w:line="360" w:lineRule="auto"/>
        <w:ind w:firstLine="480"/>
        <w:jc w:val="both"/>
        <w:outlineLvl w:val="9"/>
        <w:rPr>
          <w:rFonts w:hint="eastAsia" w:eastAsia="宋体"/>
          <w:color w:val="auto"/>
          <w:highlight w:val="none"/>
          <w:lang w:eastAsia="zh-CN"/>
        </w:rPr>
      </w:pPr>
      <w:r>
        <w:rPr>
          <w:rFonts w:hint="eastAsia" w:ascii="宋体" w:hAnsi="宋体" w:eastAsia="宋体" w:cs="宋体"/>
          <w:color w:val="auto"/>
          <w:sz w:val="24"/>
          <w:highlight w:val="none"/>
          <w:lang w:val="en-US" w:eastAsia="zh-CN"/>
        </w:rPr>
        <w:t>（三）</w:t>
      </w:r>
      <w:r>
        <w:rPr>
          <w:rFonts w:ascii="宋体" w:hAnsi="宋体" w:eastAsia="宋体" w:cs="宋体"/>
          <w:color w:val="auto"/>
          <w:sz w:val="24"/>
          <w:highlight w:val="none"/>
        </w:rPr>
        <w:t>结构设计</w:t>
      </w:r>
      <w:r>
        <w:rPr>
          <w:rFonts w:hint="eastAsia" w:ascii="宋体" w:hAnsi="宋体" w:eastAsia="宋体" w:cs="宋体"/>
          <w:color w:val="auto"/>
          <w:sz w:val="24"/>
          <w:highlight w:val="none"/>
          <w:lang w:eastAsia="zh-CN"/>
        </w:rPr>
        <w:t>要求</w:t>
      </w:r>
    </w:p>
    <w:p>
      <w:pPr>
        <w:pStyle w:val="23"/>
        <w:pageBreakBefore w:val="0"/>
        <w:kinsoku/>
        <w:wordWrap/>
        <w:overflowPunct/>
        <w:topLinePunct w:val="0"/>
        <w:autoSpaceDE/>
        <w:autoSpaceDN/>
        <w:bidi w:val="0"/>
        <w:adjustRightInd/>
        <w:snapToGrid/>
        <w:spacing w:line="360" w:lineRule="auto"/>
        <w:ind w:firstLine="480"/>
        <w:jc w:val="both"/>
        <w:outlineLvl w:val="9"/>
        <w:rPr>
          <w:rFonts w:ascii="宋体" w:hAnsi="宋体" w:eastAsia="宋体" w:cs="宋体"/>
          <w:color w:val="auto"/>
          <w:sz w:val="24"/>
          <w:highlight w:val="none"/>
        </w:rPr>
      </w:pPr>
      <w:r>
        <w:rPr>
          <w:rFonts w:ascii="宋体" w:hAnsi="宋体" w:eastAsia="宋体" w:cs="宋体"/>
          <w:color w:val="auto"/>
          <w:sz w:val="24"/>
          <w:highlight w:val="none"/>
        </w:rPr>
        <w:t>各模块具有完整独立结构,可根据需要进行功能重组与扩展，链接接口标准化，模块箱体的八个角上采用集装箱标准角配件。外尺寸满足省级公路运输要求，可实现独立的安装、运输、重复拆卸以及组装。可根据不同场地条件多次重复组装，所有水路、电路应尽量在工厂内提前铺设，现场仅需简单对接，整个模块即可投入正常使用。</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车库和集装箱模块的外墙面厚度≥1.6mm 的耐候钢（SPA-H）卷制的波纹板焊接成型；顶部及四周墙体采用≥50mm 厚金属岩棉夹芯板进行隔热保温和装饰；要求顶部岩棉容重≥50 kg/m³，四周墙体岩棉容重≥80kg/m³；所有模块材料所能承受的温度范围为-40℃至80℃。</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hint="eastAsia" w:ascii="宋体" w:hAnsi="宋体" w:eastAsia="宋体" w:cs="宋体"/>
          <w:color w:val="auto"/>
          <w:sz w:val="24"/>
          <w:highlight w:val="none"/>
          <w:lang w:eastAsia="zh-CN"/>
        </w:rPr>
        <w:t>要求</w:t>
      </w:r>
      <w:r>
        <w:rPr>
          <w:rFonts w:ascii="宋体" w:hAnsi="宋体" w:eastAsia="宋体" w:cs="宋体"/>
          <w:color w:val="auto"/>
          <w:sz w:val="24"/>
          <w:highlight w:val="none"/>
        </w:rPr>
        <w:t>水电铺设通过专门的管井对接，使用安全，维修方便，电气安装以每个箱体为单位，每个箱体都设有独立的分电箱，只需接上插头，不需现场接线。整体结构上分上下两层，一层箱体与车库形成层高差设置中间层，可利用为设备夹层。整体结构力学性能优异,抗震能力：8级；防风性能：12级。</w:t>
      </w:r>
    </w:p>
    <w:p>
      <w:pPr>
        <w:pStyle w:val="23"/>
        <w:pageBreakBefore w:val="0"/>
        <w:kinsoku/>
        <w:wordWrap/>
        <w:overflowPunct/>
        <w:topLinePunct w:val="0"/>
        <w:autoSpaceDE/>
        <w:autoSpaceDN/>
        <w:bidi w:val="0"/>
        <w:adjustRightInd/>
        <w:snapToGrid/>
        <w:spacing w:line="360" w:lineRule="auto"/>
        <w:ind w:firstLine="480"/>
        <w:jc w:val="both"/>
        <w:outlineLvl w:val="9"/>
        <w:rPr>
          <w:rFonts w:hint="eastAsia" w:eastAsia="宋体"/>
          <w:color w:val="auto"/>
          <w:highlight w:val="none"/>
          <w:lang w:eastAsia="zh-CN"/>
        </w:rPr>
      </w:pPr>
      <w:r>
        <w:rPr>
          <w:rFonts w:hint="eastAsia" w:ascii="宋体" w:hAnsi="宋体" w:eastAsia="宋体" w:cs="宋体"/>
          <w:color w:val="auto"/>
          <w:sz w:val="24"/>
          <w:highlight w:val="none"/>
          <w:lang w:eastAsia="zh-CN"/>
        </w:rPr>
        <w:t>（四）</w:t>
      </w:r>
      <w:r>
        <w:rPr>
          <w:rFonts w:ascii="宋体" w:hAnsi="宋体" w:eastAsia="宋体" w:cs="宋体"/>
          <w:color w:val="auto"/>
          <w:sz w:val="24"/>
          <w:highlight w:val="none"/>
        </w:rPr>
        <w:t>内部空间设计</w:t>
      </w:r>
      <w:r>
        <w:rPr>
          <w:rFonts w:hint="eastAsia" w:ascii="宋体" w:hAnsi="宋体" w:eastAsia="宋体" w:cs="宋体"/>
          <w:color w:val="auto"/>
          <w:sz w:val="24"/>
          <w:highlight w:val="none"/>
          <w:lang w:eastAsia="zh-CN"/>
        </w:rPr>
        <w:t>要求</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小型可移动模块化消防救援站内部布局设计上</w:t>
      </w:r>
      <w:r>
        <w:rPr>
          <w:rFonts w:hint="eastAsia" w:ascii="宋体" w:hAnsi="宋体" w:eastAsia="宋体" w:cs="宋体"/>
          <w:color w:val="auto"/>
          <w:sz w:val="24"/>
          <w:highlight w:val="none"/>
          <w:lang w:eastAsia="zh-CN"/>
        </w:rPr>
        <w:t>应</w:t>
      </w:r>
      <w:r>
        <w:rPr>
          <w:rFonts w:ascii="宋体" w:hAnsi="宋体" w:eastAsia="宋体" w:cs="宋体"/>
          <w:color w:val="auto"/>
          <w:sz w:val="24"/>
          <w:highlight w:val="none"/>
        </w:rPr>
        <w:t>充分考虑各功能模块的特点，使用更便利性，生活区和公共区分开，</w:t>
      </w:r>
      <w:r>
        <w:rPr>
          <w:rFonts w:hint="eastAsia" w:ascii="宋体" w:hAnsi="宋体" w:eastAsia="宋体" w:cs="宋体"/>
          <w:color w:val="auto"/>
          <w:sz w:val="24"/>
          <w:highlight w:val="none"/>
          <w:lang w:eastAsia="zh-CN"/>
        </w:rPr>
        <w:t>保证</w:t>
      </w:r>
      <w:r>
        <w:rPr>
          <w:rFonts w:ascii="宋体" w:hAnsi="宋体" w:eastAsia="宋体" w:cs="宋体"/>
          <w:color w:val="auto"/>
          <w:sz w:val="24"/>
          <w:highlight w:val="none"/>
        </w:rPr>
        <w:t>通道畅通。</w:t>
      </w:r>
    </w:p>
    <w:p>
      <w:pPr>
        <w:pStyle w:val="23"/>
        <w:pageBreakBefore w:val="0"/>
        <w:kinsoku/>
        <w:wordWrap/>
        <w:overflowPunct/>
        <w:topLinePunct w:val="0"/>
        <w:autoSpaceDE/>
        <w:autoSpaceDN/>
        <w:bidi w:val="0"/>
        <w:adjustRightInd/>
        <w:snapToGrid/>
        <w:spacing w:line="360" w:lineRule="auto"/>
        <w:ind w:firstLine="480"/>
        <w:jc w:val="both"/>
        <w:outlineLvl w:val="9"/>
        <w:rPr>
          <w:rFonts w:ascii="宋体" w:hAnsi="宋体" w:eastAsia="宋体"/>
          <w:b/>
          <w:bCs/>
          <w:color w:val="auto"/>
          <w:sz w:val="28"/>
          <w:szCs w:val="28"/>
          <w:highlight w:val="none"/>
        </w:rPr>
      </w:pPr>
      <w:r>
        <w:rPr>
          <w:rFonts w:ascii="宋体" w:hAnsi="宋体" w:eastAsia="宋体" w:cs="宋体"/>
          <w:color w:val="auto"/>
          <w:sz w:val="24"/>
          <w:highlight w:val="none"/>
        </w:rPr>
        <w:t>室内墙面与顶面</w:t>
      </w:r>
      <w:r>
        <w:rPr>
          <w:rFonts w:hint="eastAsia" w:ascii="宋体" w:hAnsi="宋体" w:eastAsia="宋体" w:cs="宋体"/>
          <w:color w:val="auto"/>
          <w:sz w:val="24"/>
          <w:highlight w:val="none"/>
          <w:lang w:eastAsia="zh-CN"/>
        </w:rPr>
        <w:t>应</w:t>
      </w:r>
      <w:r>
        <w:rPr>
          <w:rFonts w:ascii="宋体" w:hAnsi="宋体" w:eastAsia="宋体" w:cs="宋体"/>
          <w:color w:val="auto"/>
          <w:sz w:val="24"/>
          <w:highlight w:val="none"/>
        </w:rPr>
        <w:t>采用白色漆面，清新明亮，墙面材料</w:t>
      </w:r>
      <w:r>
        <w:rPr>
          <w:rFonts w:hint="eastAsia" w:ascii="宋体" w:hAnsi="宋体" w:eastAsia="宋体" w:cs="宋体"/>
          <w:color w:val="auto"/>
          <w:sz w:val="24"/>
          <w:highlight w:val="none"/>
          <w:lang w:eastAsia="zh-CN"/>
        </w:rPr>
        <w:t>须</w:t>
      </w:r>
      <w:r>
        <w:rPr>
          <w:rFonts w:ascii="宋体" w:hAnsi="宋体" w:eastAsia="宋体" w:cs="宋体"/>
          <w:color w:val="auto"/>
          <w:sz w:val="24"/>
          <w:highlight w:val="none"/>
        </w:rPr>
        <w:t>通过安全环境检测，确保安全环保。公共区域</w:t>
      </w:r>
      <w:r>
        <w:rPr>
          <w:rFonts w:hint="eastAsia" w:ascii="宋体" w:hAnsi="宋体" w:eastAsia="宋体" w:cs="宋体"/>
          <w:color w:val="auto"/>
          <w:sz w:val="24"/>
          <w:highlight w:val="none"/>
          <w:lang w:eastAsia="zh-CN"/>
        </w:rPr>
        <w:t>应具有良好</w:t>
      </w:r>
      <w:r>
        <w:rPr>
          <w:rFonts w:ascii="宋体" w:hAnsi="宋体" w:eastAsia="宋体" w:cs="宋体"/>
          <w:color w:val="auto"/>
          <w:sz w:val="24"/>
          <w:highlight w:val="none"/>
        </w:rPr>
        <w:t>的采光和通风效果。生活区域的配置</w:t>
      </w:r>
      <w:r>
        <w:rPr>
          <w:rFonts w:hint="eastAsia" w:ascii="宋体" w:hAnsi="宋体" w:eastAsia="宋体" w:cs="宋体"/>
          <w:color w:val="auto"/>
          <w:sz w:val="24"/>
          <w:highlight w:val="none"/>
          <w:lang w:eastAsia="zh-CN"/>
        </w:rPr>
        <w:t>须</w:t>
      </w:r>
      <w:r>
        <w:rPr>
          <w:rFonts w:ascii="宋体" w:hAnsi="宋体" w:eastAsia="宋体" w:cs="宋体"/>
          <w:color w:val="auto"/>
          <w:sz w:val="24"/>
          <w:highlight w:val="none"/>
        </w:rPr>
        <w:t>充分考虑</w:t>
      </w:r>
      <w:r>
        <w:rPr>
          <w:rFonts w:hint="eastAsia" w:ascii="宋体" w:hAnsi="宋体" w:eastAsia="宋体" w:cs="宋体"/>
          <w:color w:val="auto"/>
          <w:sz w:val="24"/>
          <w:highlight w:val="none"/>
          <w:lang w:eastAsia="zh-CN"/>
        </w:rPr>
        <w:t>各模块设置</w:t>
      </w:r>
      <w:r>
        <w:rPr>
          <w:rFonts w:ascii="宋体" w:hAnsi="宋体" w:eastAsia="宋体" w:cs="宋体"/>
          <w:color w:val="auto"/>
          <w:sz w:val="24"/>
          <w:highlight w:val="none"/>
        </w:rPr>
        <w:t>，</w:t>
      </w:r>
      <w:r>
        <w:rPr>
          <w:rFonts w:hint="eastAsia" w:ascii="宋体" w:hAnsi="宋体" w:eastAsia="宋体" w:cs="宋体"/>
          <w:color w:val="auto"/>
          <w:sz w:val="24"/>
          <w:highlight w:val="none"/>
          <w:lang w:eastAsia="zh-CN"/>
        </w:rPr>
        <w:t>包括但不少于以下方面：</w:t>
      </w:r>
      <w:r>
        <w:rPr>
          <w:rFonts w:ascii="宋体" w:hAnsi="宋体" w:eastAsia="宋体" w:cs="宋体"/>
          <w:color w:val="auto"/>
          <w:sz w:val="24"/>
          <w:highlight w:val="none"/>
        </w:rPr>
        <w:t>工作学习，饮食起居，盥洗，晾晒空间。</w:t>
      </w:r>
    </w:p>
    <w:p>
      <w:pPr>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b/>
          <w:bCs/>
          <w:color w:val="auto"/>
          <w:sz w:val="24"/>
          <w:szCs w:val="24"/>
          <w:highlight w:val="none"/>
        </w:rPr>
      </w:pPr>
      <w:r>
        <w:rPr>
          <w:rFonts w:hint="eastAsia" w:ascii="宋体" w:hAnsi="宋体" w:eastAsia="宋体"/>
          <w:b/>
          <w:bCs/>
          <w:color w:val="auto"/>
          <w:sz w:val="28"/>
          <w:szCs w:val="28"/>
          <w:highlight w:val="none"/>
        </w:rPr>
        <w:t>（</w:t>
      </w:r>
      <w:r>
        <w:rPr>
          <w:rFonts w:hint="eastAsia" w:ascii="宋体" w:hAnsi="宋体" w:eastAsia="宋体"/>
          <w:b/>
          <w:bCs/>
          <w:color w:val="auto"/>
          <w:sz w:val="28"/>
          <w:szCs w:val="28"/>
          <w:highlight w:val="none"/>
          <w:lang w:eastAsia="zh-CN"/>
        </w:rPr>
        <w:t>五</w:t>
      </w:r>
      <w:r>
        <w:rPr>
          <w:rFonts w:hint="eastAsia" w:ascii="宋体" w:hAnsi="宋体" w:eastAsia="宋体"/>
          <w:b/>
          <w:bCs/>
          <w:color w:val="auto"/>
          <w:sz w:val="28"/>
          <w:szCs w:val="28"/>
          <w:highlight w:val="none"/>
        </w:rPr>
        <w:t>）详细技术方案</w:t>
      </w:r>
    </w:p>
    <w:p>
      <w:pPr>
        <w:pageBreakBefore w:val="0"/>
        <w:kinsoku/>
        <w:wordWrap/>
        <w:overflowPunct/>
        <w:topLinePunct w:val="0"/>
        <w:autoSpaceDE/>
        <w:autoSpaceDN/>
        <w:bidi w:val="0"/>
        <w:adjustRightInd/>
        <w:snapToGrid/>
        <w:spacing w:line="360" w:lineRule="auto"/>
        <w:ind w:firstLine="241" w:firstLineChars="1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1、模块化小型消防站总体技术要求</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要求移动式模块化小型消防站由多个模块构成。所有模块（车库模块、顶棚及灯箱模块、基础配套模块、外围配套模块除外）均为集装箱模块单元，在工厂完成制造装修，整体运至现场安装。模块具有完整独立结构，可实现独立完整的安装、运输、重复拆卸以及组装。要求集装箱模块单元可根据需要进行功能重组与扩展，安装接口标准化，模块箱体的八个角采用装箱角件，要求角件抗拉强度大于500Mpa、屈服强度大于300Mpa、冲击功KV2(-40℃)大于80J。</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▲1.2要求集装箱模块主结构的钢制框架、全垂直波纹侧板和波纹前墙板、压型盲波纹顶板以及在八个角上的集装箱角件等与波纹板焊接为对接焊且全为满焊。</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▲1.3要求集装箱顶部采用≥50mm、四周墙体采用≥75mm厚金属岩棉夹芯板进行隔热保温和装饰；顶部岩棉容重≥50 kg/m³，四周墙体岩棉容重≥80kg/m³。箱体所采用的50mm厚金属面岩棉板隔墙， 隔热性能应符合如下要求：消防装备维护墙体、隔墙及吊顶的传热系数≤0.85,芯材导热系数≤0.048。</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▲1.4模块化消防站维护墙板应由集装箱钢质墙板+岩棉复合板等采用防火工艺组合成防火部件， 具有一定的防火性能，在发生火灾的情况下，能够保证具有≥150min的完整性及≥150min 的隔热性。</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▲1.5 模块化消防站维护墙板应具有一定的隔音性能，要求房间围护墙板满足在 2000Hz（1/3倍频程中心频率）的隔声量≥40dB（人体对 2000Hz 左右的频率最敏感，人长期处于此频率声音中容易产生焦虑等情绪）。</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▲1.6 除车库、楼梯间、设备夹层、盥洗室、卫生间、淋浴间、厨房及阳台，所有集装箱模块的地板应采用高强度集装箱用木地板或水泥纤维板，面铺石塑地板；盥洗室、卫生间、淋浴间、厨房、阳台等铺瓷砖。家具使用的板材应满足环保E1 标准，其甲醛释放量小于0.07mg/m3（1M3气候箱法）;板内密度偏差、含水率、静曲强度、弹性模量，内胶合强度，2h吸水厚度膨胀率、握螺钉力均应满足GB/T4897-2015家具型刨花板的标准。模块化消防站室内空气质量应符合如下标准：甲醛含量≤0.04mg/ m3，苯含量≤0.05mg/ m3，TVOC含量≤0.35mg/ m3，氡含量≤30Bq/ m3。。</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1.7 集装箱模块铝合金窗采用5+9A+5 钢化玻璃，玻璃露点应&lt;-40℃。</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1.8水路、电路均按标准在工厂内提前铺设，现场仅需与外围水电接口简单对接，整个模块即可投入正常使用。</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▲1.9模块化消防站的防雷应做可靠接地，其中接地装置、引下线、接闪带、金属棚（架）等构件的接地电阻≤1Ω；其中消防站金属棚、配电箱、金属线槽的防闪电感应或等电位连接措施的过渡电阻≤0.2Ω。</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▲1.10 集装箱箱体使用专用油漆：集装箱箱体防腐底漆为环氧富锌底漆。底漆的弯曲试验制板喷涂一道底漆，干膜厚度在20-26um，放置48h后测试，检测结果≤3mm。底漆涂装耐盐雾性符合如下要求：耐盐雾性400h以上无起泡、生锈、开裂、剥落等现象。集装箱箱体中间漆为环氧中间漆，涂装需符合如下要求：附着力≥10Mpa。集装箱箱体面漆为丙烯酸外面漆，涂装需符合如下要求：弯曲试验≤3mm。</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▲1.11模块化消防站设计抗震能力:≥8度（0.2g）、防风性能:≥12级。。</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1.12整个产品的最大功率设计不超过100kW，要求供水管道可承受压力0.25～0.5Mpa。</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1.13配置监控系统1 套，可实时监控消防站周边环境。布置出警警铃及广播系统，与值班室出警信息联动。</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1.14执勤通讯室、备勤室、餐厅等均连通网络，满足上网，学习娱乐需求。所有弱电线路均统一汇总至通讯室，便于集中从外部接入服务。</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1.15消防救援站依据正规化建设标准配置：（1）训词与徽标；（2）站牌，材质：木质；（3）功能库室标牌1套。</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1.16 每个模块化消防站随站配置一批消防装备和器材、一套接警系统。</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★1.17 项目选址地上物征迁拆除、项目市政水电申请手续和施工费用，由采购人负责。中标供应商需协助采购人申办市政水电开通手续、配合市政水电相关施工对接工作。投标人提供相关承诺函（格式自拟）并加盖公章。</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 xml:space="preserve">★1.18 </w:t>
      </w:r>
      <w:r>
        <w:rPr>
          <w:rFonts w:ascii="宋体" w:hAnsi="宋体" w:cs="宋体"/>
          <w:color w:val="auto"/>
          <w:sz w:val="24"/>
          <w:highlight w:val="none"/>
        </w:rPr>
        <w:t>投标人中标后需按采购人要求预留空调、热水器、开水器、洗衣机、电视机等电器的插座和相关接口。投标人提供相关承诺函（格式自拟）并加盖公章。</w:t>
      </w:r>
    </w:p>
    <w:p>
      <w:pPr>
        <w:pageBreakBefore w:val="0"/>
        <w:kinsoku/>
        <w:wordWrap/>
        <w:overflowPunct/>
        <w:topLinePunct w:val="0"/>
        <w:autoSpaceDE/>
        <w:autoSpaceDN/>
        <w:bidi w:val="0"/>
        <w:adjustRightInd/>
        <w:snapToGrid/>
        <w:spacing w:line="360" w:lineRule="auto"/>
        <w:ind w:firstLine="241"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2、具体技术参数和要求</w:t>
      </w:r>
    </w:p>
    <w:p>
      <w:pPr>
        <w:pageBreakBefore w:val="0"/>
        <w:kinsoku/>
        <w:wordWrap/>
        <w:overflowPunct/>
        <w:topLinePunct w:val="0"/>
        <w:autoSpaceDE/>
        <w:autoSpaceDN/>
        <w:bidi w:val="0"/>
        <w:adjustRightInd/>
        <w:snapToGrid/>
        <w:spacing w:line="360" w:lineRule="auto"/>
        <w:ind w:firstLine="241"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2.1、金湖路消防站详细技术参数</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2.1.1、模块技术参数</w:t>
      </w: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16"/>
        <w:gridCol w:w="576"/>
        <w:gridCol w:w="5933"/>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6"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16"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模块名称</w:t>
            </w:r>
          </w:p>
        </w:tc>
        <w:tc>
          <w:tcPr>
            <w:tcW w:w="6509" w:type="dxa"/>
            <w:gridSpan w:val="2"/>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技术要求和配置说明</w:t>
            </w:r>
          </w:p>
        </w:tc>
        <w:tc>
          <w:tcPr>
            <w:tcW w:w="578"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6" w:type="dxa"/>
            <w:vMerge w:val="restart"/>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车库模块</w:t>
            </w: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▲车库主结构采用钢结构，钢结构采用CO</w:t>
            </w:r>
            <w:r>
              <w:rPr>
                <w:rFonts w:hint="eastAsia" w:ascii="宋体" w:hAnsi="宋体" w:eastAsia="宋体" w:cs="宋体"/>
                <w:color w:val="auto"/>
                <w:sz w:val="28"/>
                <w:szCs w:val="28"/>
                <w:highlight w:val="none"/>
                <w:vertAlign w:val="subscript"/>
              </w:rPr>
              <w:t>2</w:t>
            </w:r>
            <w:r>
              <w:rPr>
                <w:rFonts w:hint="eastAsia" w:ascii="宋体" w:hAnsi="宋体" w:eastAsia="宋体" w:cs="宋体"/>
                <w:color w:val="auto"/>
                <w:sz w:val="24"/>
                <w:szCs w:val="24"/>
                <w:highlight w:val="none"/>
              </w:rPr>
              <w:t>气保焊焊接连接。车库外形轮廓尺寸≥12米×9米×4.8米(长×宽×高)，面积≥108㎡；</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车位数:2车位，车位净尺寸≥8.5米×2.5米×4.8米(长×宽×高)； </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车位配置车库滑升门1个,最大输入功率450W，使用电压220V，单相制动电机,可正反转,能手动“倒链”，升降速度0.17m/s，最大起升高度≥3.6m，门宽≥3.5m，车库门材质：门板重量11kg/平方米,门板成型厚度为40mm，并进行压纹压槽处理，门板背面采用加强筋，增加门体强度。中间灌注聚胺脂发泡材料，阻燃隔音保温。彩板标称厚度0.35mm。压纹后厚0.4mm，滑升门轨道:轨道采用1.8mm镀锌钢板；每辆消防车对应独立车库门，一旦接警，警报拉响，车库门应同时联动打开；</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入户门：钢质单开门1套，连通车库与车行通道；</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外侧设置铝合金玻璃窗，满足自然采光通风；</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配置2套工业筒式排风扇，排风量≥1400立方米/小时/套，可以快速抽排车库内产生的消防车尾气；</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配置≥16盏三防吸顶荧光灯，2X36W 220V 50HZ，其中≥4盏带蓄电功能三防吸顶应急灯，2X36W 220V 50HZ；</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车行通道：主结构采用钢结构，外形轮廓尺寸≥18米×3.6米×4.8米(长×宽×高)，作为二层结构的支撑；按需配置照明灯；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restart"/>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(核心产品)通讯室模块</w:t>
            </w: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 ≥6000mm×3000mm×2800mm。划分为通讯室及厕所。</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要求通讯室通过走廊与车库连通。</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无水路地面：水泥纤维板（厚20mm）；</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有水路地面：镀锌板底兜（厚≥3mm）；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无水路地面：扣接式地板，厚4mm；</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有水路地面：防滑瓷砖；</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入户门：钢质单开门1套；铝合金玻璃门1套；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窗：铝合金推拉窗2扇，带有窗帘、纱窗，其中1扇带防护栏/网；上悬窗1套，带有纱窗；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电路系统：预埋供电、网络管线，包括控制箱、开关、插座及网络终端、电话终端，预留备用电源系统；</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水路系统：预埋给排水管、地漏、预装蹲便器、陶瓷拖把池、洗手池、冷热水龙头（热水采用小厨宝供水）及五金件，洗手池配镜子；蹲便器配隔断。</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配置：2盏照明灯，其中一盏带应急功能，一盏为防潮灯；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restart"/>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器材室模块</w:t>
            </w: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要求由全新集装箱模块构成：外形尺寸(长×宽×高)≥6000mm×3000mm×2800mm。划分为器材室及走廊。</w:t>
            </w:r>
          </w:p>
        </w:tc>
        <w:tc>
          <w:tcPr>
            <w:tcW w:w="578"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要求器材室通过走廊与车库连通。</w:t>
            </w:r>
          </w:p>
        </w:tc>
        <w:tc>
          <w:tcPr>
            <w:tcW w:w="578"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器材室地面：扣接式地板，厚4mm。走廊：瓷砖。</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入户门：钢质单开门1套，钢制对开门1套（带门吸）。</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窗：落地窗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套，带有窗帘、纱窗；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电路系统：预埋供电管线，包括控制箱、开关、插座。</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配置：2盏照明灯，其中1盏带应急功能。</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restart"/>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楼梯间模块</w:t>
            </w:r>
          </w:p>
        </w:tc>
        <w:tc>
          <w:tcPr>
            <w:tcW w:w="576" w:type="dxa"/>
            <w:vAlign w:val="center"/>
          </w:tcPr>
          <w:p>
            <w:pPr>
              <w:pStyle w:val="25"/>
              <w:pageBreakBefore w:val="0"/>
              <w:numPr>
                <w:ilvl w:val="0"/>
                <w:numId w:val="6"/>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要求主结构采用钢结构，外形尺寸(长×宽×高)≥6000mm×3000mm×7500mm；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6"/>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楼梯采用钢结构楼梯，钢结构休息平台;扶手采用钢制扶手，双侧安装，高度≥1.1米。</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6"/>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楼梯踏步铺设木塑地板。</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6"/>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地面采用钢筋混凝土地坪，面铺瓷砖:</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天花：金属岩棉夹芯板（厚50mm，岩棉容重80kg/m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6"/>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6"/>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配置:2盏照明灯，双头应急灯1套，逃生指示灯1套。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设备夹层模块</w:t>
            </w: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要求由2个全新集装箱模块构成，每个模块外形尺寸(长×宽×高)≥6000mm×3000mm×2000mm。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要求夹层与楼梯间连通。</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靠车库侧:金属岩棉夹芯板(厚50mm，岩棉容重 80kg/m°)靠室外侧:红色铝百叶。</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靠楼梯间侧:金属岩棉夹芯板(厚 50mm，岩棉容重 80kg/m)。</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天花板:无天花，顶部外露，方便接管及维修。</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箱底：花纹钢地板</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入户门：自制钢板门1套。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窗：铝合金落地固定窗3扇。</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电路系统：预埋供电，包括控制箱、开关、插座。</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水路系统：预埋给排水管、热水器管路、空调管路。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消防员备勤室模块</w:t>
            </w: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要求由全新集装箱模块构成：整体外形尺寸(长×宽×高)≥12000mm×6000mm×2800mm，划分为2个的消防员备勤室，共可放置12个床位。</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要求消防员备勤室可通往多功能室/餐厅。</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地面：扣接式地板，厚4mm。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入户门：钢质单开门2套。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窗：铝合金落地窗8扇，带有窗帘、纱窗。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配置：8盏照明灯，其中4盏带应急功能。</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健身房模块</w:t>
            </w: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要求由全新集装箱模块构成：外形尺寸(长×宽×高)≥6000mm×3000mm×2800mm。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要求健身房连通多功能室/餐厅及健身房。</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地面：扣接式地板，厚4mm。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窗：铝合金落地窗2扇，带有窗帘、纱窗。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厨房模块</w:t>
            </w: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要求由全新集装箱模块构成：外形尺寸(长×宽×高)≥6000mm×3000mm×2800mm。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要求厨房通往多功能室/餐厅。</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箱底：镀锌板底兜（厚≥3mm）；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地面：防滑瓷砖。</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窗：铝合金落地窗1扇，带有纱窗。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电路系统：预埋供电，包括控制箱、开关、插座。</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水路系统：预埋给排水管、地漏。</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tcBorders>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多功能室/餐厅模块</w:t>
            </w: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要求由全新集装箱模块构成：外形尺寸(长×宽×高)≥6000mm×9000mm×2800mm，划分为多功能室/餐厅、阅读区；</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要求餐厅连通楼梯间。</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地面：扣接式地板，厚4mm。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窗：铝合金落地窗6扇，带有窗帘、纱窗。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配置：6盏照明灯，其中2盏带应急功能。</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盥洗室模块</w:t>
            </w: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由全新集装箱箱体构成：外形尺寸(长×宽×高) ≥6000mm×6000mm×2800mm；满足淋浴与盥洗功能。</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要求盥洗室模块与多功能室/餐厅直接连通，盥洗室通往卫生间及晾晒阳台；</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室内墙面/天花：金属岩棉夹芯板（厚75mm，岩棉容重80kg/m3）；</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箱底：镀锌板底兜（厚≥3mm）；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地面：防滑瓷砖。</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门：钢质单开门3套。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电路系统：预埋供电管线，包括控制箱、开关、插座1套；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给排水系统：预埋上下水连接管路及角阀、地漏等；</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配置：照明灯1套；卫生间防潮灯1套；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配置：换气扇2台，换气风量≥150m³/小时；</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配置：盥洗池（≥3位，材质为SUS304，外表面拉丝处理）1套；盥洗池配套镜子1套；拖布池（陶瓷架空式）1套；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卫生间配置：蹲便器（无弯后出水带水箱）3套，卫生间隔断3套；小便器2套，自动感应冲水。</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阳台配置：钢结构栏杆+隐形防风网一套；不锈钢晾衣杆2套。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淋浴间配置：手持式淋浴器，3套；三角置物架3套，淋浴隔断3套。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顶棚及灯箱模块</w:t>
            </w:r>
          </w:p>
        </w:tc>
        <w:tc>
          <w:tcPr>
            <w:tcW w:w="576" w:type="dxa"/>
            <w:vAlign w:val="center"/>
          </w:tcPr>
          <w:p>
            <w:pPr>
              <w:pStyle w:val="25"/>
              <w:pageBreakBefore w:val="0"/>
              <w:numPr>
                <w:ilvl w:val="0"/>
                <w:numId w:val="13"/>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顶棚外形轮廓尺寸: ≥19米×13米×1.2米(长×宽×高)。</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结构类型:钢结构+彩钢瓦吊顶，吊顶板四边下部向内返3.0米。</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顶棚鸟瞰为草绿色；</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3"/>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顶棚正面安装“对党忠诚 纪律严明 赴汤蹈火 竭诚为民”不锈钢围边亚克力发光字，红色，文字字高≥0.8米。</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3"/>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正面一层与二层之间采用铝塑板+3M贴膜造型,高度≥80cm,正面安装“中国消防救援”、“CHINA FIRE AND RESCUE”中英文黄色亚克力发光字,内置LED贴片灯,中间放置消防救援徽标造型。</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3"/>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二层外立面（备勤室外墙）设置消防119标识 1个，尺寸≥1.8米*1.8米（长*宽）。采用上红下蓝铝塑板底板，设置“119”、“消防救援”、“FIRE AND RESCUE”黄色字。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3"/>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配置：电缆线路，电管及线路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3"/>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防水接线箱，雨水管≥3套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基础配套模块</w:t>
            </w: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1、采用钢筋混凝土基础，基底外形尺寸≥18米×9米(长×宽)；</w:t>
            </w:r>
          </w:p>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2、车库地面承载:≥20kN/㎡，地面涂装采用地坪漆,绿色,车位划黄线，每个车位配置2个车位止档；</w:t>
            </w:r>
          </w:p>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3、模块预留上下水、强弱电管道接口，位于消防站地面以上模块垂直投影外边界1.5米范围以内；</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配置：弱电管井1路；强电管井1路；污水、雨水、给水管井共3路；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配置：室外化粪池4立方、隔油池1立方；</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6" w:type="dxa"/>
            <w:vMerge w:val="restart"/>
            <w:tcBorders>
              <w:top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外围配套模块</w:t>
            </w: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33" w:type="dxa"/>
            <w:vAlign w:val="center"/>
          </w:tcPr>
          <w:p>
            <w:pPr>
              <w:pageBreakBefore w:val="0"/>
              <w:numPr>
                <w:ilvl w:val="0"/>
                <w:numId w:val="14"/>
              </w:numPr>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出车坡道，硬化面积：30㎡；</w:t>
            </w:r>
          </w:p>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（1）、50厚C15混凝土垫层；</w:t>
            </w:r>
          </w:p>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（2）、150厚C30混凝土；</w:t>
            </w:r>
          </w:p>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（3）、单层双向钢筋，直径10mm间距150mm；</w:t>
            </w:r>
          </w:p>
        </w:tc>
        <w:tc>
          <w:tcPr>
            <w:tcW w:w="578"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b/>
                <w:bCs/>
                <w:color w:val="auto"/>
                <w:sz w:val="24"/>
                <w:szCs w:val="24"/>
                <w:highlight w:val="none"/>
              </w:rPr>
            </w:pP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配置：岗亭1套，≥1.5米*1.5米成品岗亭，强弱电接驳；</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道闸1套，10米双向抬杆道闸，配置3*4平方电缆加40pvc套管地下暗埋与室外主电箱接通，长度20米范围内；</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室外运动地垫约50㎡，配置单双杠1套；</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铁艺围挡24米，简易锌铁围栏；</w:t>
            </w:r>
          </w:p>
        </w:tc>
        <w:tc>
          <w:tcPr>
            <w:tcW w:w="578"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b/>
                <w:bCs/>
                <w:color w:val="auto"/>
                <w:sz w:val="24"/>
                <w:szCs w:val="24"/>
                <w:highlight w:val="none"/>
              </w:rPr>
            </w:pP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木质悬挂站牌1套（文字内容根据采购人要求）；功能库室标牌共1套（文字内容根据采购人要求）；</w:t>
            </w:r>
          </w:p>
        </w:tc>
        <w:tc>
          <w:tcPr>
            <w:tcW w:w="578"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b/>
                <w:bCs/>
                <w:color w:val="auto"/>
                <w:sz w:val="24"/>
                <w:szCs w:val="24"/>
                <w:highlight w:val="none"/>
              </w:rPr>
            </w:pP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室外给排水、室外电线布线1套；</w:t>
            </w:r>
          </w:p>
        </w:tc>
        <w:tc>
          <w:tcPr>
            <w:tcW w:w="578"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6" w:type="dxa"/>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培训安装运输清洁</w:t>
            </w: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1、模块采用专业打包防水膜进行包装，防止运输及安装过程中进尘、进水等污染；</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2、模块及车库、钢构屋顶模块、楼梯间装备构件等加固、吊装打包成可运输单元；</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3、采用专业加固、链接、运输转载转运物流器具单元进行模块吊装转运；</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4、模块出厂前及到达项目地运输拆卸及堆存；</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5、模块大型装备功能内拼装；</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6、调试安装车库、基础模块；</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7、调试安装各功能模块及附属楼梯间、钢结构屋顶等模块；</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8、调试各模块链接节点、各模块室内拼装节点、各模块装备外节点；</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9、调试安装广告VI系统；</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10、调试安装装备水、电、通信等各项子系统；</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11、测试各子系统通电、通水、通信功能；</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12、装备初次试用检测及各模块功能培训工作；</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13、调试安装完成后对装备整体保洁；</w:t>
            </w:r>
          </w:p>
        </w:tc>
        <w:tc>
          <w:tcPr>
            <w:tcW w:w="578"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bl>
    <w:p>
      <w:pPr>
        <w:pStyle w:val="8"/>
        <w:pageBreakBefore w:val="0"/>
        <w:kinsoku/>
        <w:wordWrap/>
        <w:overflowPunct/>
        <w:topLinePunct w:val="0"/>
        <w:autoSpaceDE/>
        <w:autoSpaceDN/>
        <w:bidi w:val="0"/>
        <w:adjustRightInd/>
        <w:snapToGrid/>
        <w:spacing w:line="360" w:lineRule="auto"/>
        <w:ind w:firstLine="0" w:firstLineChars="0"/>
        <w:jc w:val="left"/>
        <w:outlineLvl w:val="9"/>
        <w:rPr>
          <w:rFonts w:hint="eastAsia" w:ascii="宋体" w:hAnsi="宋体" w:cs="宋体"/>
          <w:color w:val="auto"/>
          <w:sz w:val="24"/>
          <w:highlight w:val="none"/>
        </w:rPr>
      </w:pPr>
      <w:r>
        <w:rPr>
          <w:rFonts w:hint="eastAsia" w:ascii="宋体" w:hAnsi="宋体" w:cs="宋体"/>
          <w:b/>
          <w:bCs/>
          <w:color w:val="auto"/>
          <w:kern w:val="0"/>
          <w:sz w:val="24"/>
          <w:highlight w:val="none"/>
        </w:rPr>
        <w:t>2.1.2、货物配置清单</w:t>
      </w:r>
    </w:p>
    <w:tbl>
      <w:tblPr>
        <w:tblStyle w:val="20"/>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10"/>
        <w:gridCol w:w="744"/>
        <w:gridCol w:w="4617"/>
        <w:gridCol w:w="907"/>
        <w:gridCol w:w="635"/>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10"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模块</w:t>
            </w:r>
          </w:p>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744"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4617"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技术要求和配置说明</w:t>
            </w:r>
          </w:p>
        </w:tc>
        <w:tc>
          <w:tcPr>
            <w:tcW w:w="907"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635"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796"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910"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通讯室模块</w:t>
            </w: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接警台</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1850mm*950mm*930mm（W*D*H）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材质：优质冷轧钢静电喷塑，主体框架≥0.8mm厚，承重梁≥1.0mm厚。</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办公椅</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白色框架，弓形椅脚，高分子尼龙背框，涤纶网布；</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单人床</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950mm*2000mm*900mm（W*D*H）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材质：床架</w:t>
            </w:r>
            <w:r>
              <w:rPr>
                <w:color w:val="auto"/>
                <w:sz w:val="24"/>
                <w:szCs w:val="24"/>
                <w:highlight w:val="none"/>
              </w:rPr>
              <w:t>及床板</w:t>
            </w:r>
            <w:r>
              <w:rPr>
                <w:rFonts w:hint="default"/>
                <w:color w:val="auto"/>
                <w:sz w:val="24"/>
                <w:szCs w:val="24"/>
                <w:highlight w:val="none"/>
              </w:rPr>
              <w:t>采用</w:t>
            </w:r>
            <w:r>
              <w:rPr>
                <w:color w:val="auto"/>
                <w:sz w:val="24"/>
                <w:szCs w:val="24"/>
                <w:highlight w:val="none"/>
              </w:rPr>
              <w:t>实木多层板</w:t>
            </w:r>
            <w:r>
              <w:rPr>
                <w:rFonts w:hint="default"/>
                <w:color w:val="auto"/>
                <w:sz w:val="24"/>
                <w:szCs w:val="24"/>
                <w:highlight w:val="none"/>
              </w:rPr>
              <w:t>，稳固性强、承重高、耐用。含环保棕垫。油漆采用无毒、无气味、健康环保漆。</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文件柜</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850mm*400mm*2000mm（W*D*H）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材质：柜体</w:t>
            </w:r>
            <w:r>
              <w:rPr>
                <w:rFonts w:hint="eastAsia"/>
                <w:color w:val="auto"/>
                <w:sz w:val="24"/>
                <w:szCs w:val="24"/>
                <w:highlight w:val="none"/>
                <w:lang w:eastAsia="zh-CN"/>
              </w:rPr>
              <w:t>采用</w:t>
            </w:r>
            <w:r>
              <w:rPr>
                <w:rFonts w:hint="default"/>
                <w:color w:val="auto"/>
                <w:sz w:val="24"/>
                <w:szCs w:val="24"/>
                <w:highlight w:val="none"/>
              </w:rPr>
              <w:t>E1级环高密度纤维板。灰色柜体+下部木色柜门+上部银白色铝合金边框玻璃柜门。</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衣柜</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≥6</w:t>
            </w:r>
            <w:r>
              <w:rPr>
                <w:rFonts w:hint="default"/>
                <w:color w:val="auto"/>
                <w:sz w:val="24"/>
                <w:szCs w:val="24"/>
                <w:highlight w:val="none"/>
              </w:rPr>
              <w:t>00mm*600mm*2200mm(W*D*H)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材质：采用E1级环高密度纤维板，抗硬度性能良好，具防火、防污、防损等特点。</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床头柜</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尺寸：≥400mm*400mm*600mm(W*D*H)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材质：采用E1级环保高密度纤维板，抗硬度性能良好，具防火、防污、防损等特点。</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颜色：木纹色+铁灰色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监控系统</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8台400万像素枪机，16路硬盘录像机带6TB硬盘，交换机、无线AP、辅材、路由器、显示器按需配置</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套</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91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器材室模块</w:t>
            </w: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器材架</w:t>
            </w:r>
          </w:p>
        </w:tc>
        <w:tc>
          <w:tcPr>
            <w:tcW w:w="4617" w:type="dxa"/>
          </w:tcPr>
          <w:p>
            <w:pPr>
              <w:pStyle w:val="26"/>
              <w:pageBreakBefore w:val="0"/>
              <w:kinsoku/>
              <w:wordWrap/>
              <w:overflowPunct/>
              <w:topLinePunct w:val="0"/>
              <w:autoSpaceDE/>
              <w:autoSpaceDN/>
              <w:bidi w:val="0"/>
              <w:adjustRightInd/>
              <w:snapToGrid/>
              <w:spacing w:line="240" w:lineRule="auto"/>
              <w:ind w:firstLine="0" w:firstLineChars="0"/>
              <w:outlineLvl w:val="9"/>
              <w:rPr>
                <w:color w:val="auto"/>
                <w:sz w:val="24"/>
                <w:szCs w:val="24"/>
                <w:highlight w:val="none"/>
              </w:rPr>
            </w:pPr>
            <w:r>
              <w:rPr>
                <w:color w:val="auto"/>
                <w:sz w:val="24"/>
                <w:szCs w:val="24"/>
                <w:highlight w:val="none"/>
              </w:rPr>
              <w:t>尺寸：≥1500mm*600mm*2000mm(W*D*H)</w:t>
            </w:r>
          </w:p>
          <w:p>
            <w:pPr>
              <w:pStyle w:val="26"/>
              <w:pageBreakBefore w:val="0"/>
              <w:kinsoku/>
              <w:wordWrap/>
              <w:overflowPunct/>
              <w:topLinePunct w:val="0"/>
              <w:autoSpaceDE/>
              <w:autoSpaceDN/>
              <w:bidi w:val="0"/>
              <w:adjustRightInd/>
              <w:snapToGrid/>
              <w:spacing w:line="240" w:lineRule="auto"/>
              <w:ind w:firstLine="0" w:firstLineChars="0"/>
              <w:outlineLvl w:val="9"/>
              <w:rPr>
                <w:color w:val="auto"/>
                <w:sz w:val="24"/>
                <w:szCs w:val="24"/>
                <w:highlight w:val="none"/>
              </w:rPr>
            </w:pPr>
            <w:r>
              <w:rPr>
                <w:color w:val="auto"/>
                <w:sz w:val="24"/>
                <w:szCs w:val="24"/>
                <w:highlight w:val="none"/>
              </w:rPr>
              <w:t>材质：优质钢材，表面喷涂优质防腐漆。层板0.6mm厚，立柱40*80*1.6mmC型钢。横梁厚度50*80*1.6mmP型钢。</w:t>
            </w:r>
          </w:p>
          <w:p>
            <w:pPr>
              <w:pStyle w:val="26"/>
              <w:pageBreakBefore w:val="0"/>
              <w:kinsoku/>
              <w:wordWrap/>
              <w:overflowPunct/>
              <w:topLinePunct w:val="0"/>
              <w:autoSpaceDE/>
              <w:autoSpaceDN/>
              <w:bidi w:val="0"/>
              <w:adjustRightInd/>
              <w:snapToGrid/>
              <w:spacing w:line="240" w:lineRule="auto"/>
              <w:ind w:firstLine="0" w:firstLineChars="0"/>
              <w:outlineLvl w:val="9"/>
              <w:rPr>
                <w:color w:val="auto"/>
                <w:sz w:val="24"/>
                <w:szCs w:val="24"/>
                <w:highlight w:val="none"/>
              </w:rPr>
            </w:pPr>
            <w:r>
              <w:rPr>
                <w:color w:val="auto"/>
                <w:sz w:val="24"/>
                <w:szCs w:val="24"/>
                <w:highlight w:val="none"/>
              </w:rPr>
              <w:t>承重700KG/层</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颜色：</w:t>
            </w:r>
            <w:r>
              <w:rPr>
                <w:rFonts w:hint="default"/>
                <w:color w:val="auto"/>
                <w:sz w:val="24"/>
                <w:szCs w:val="24"/>
                <w:highlight w:val="none"/>
              </w:rPr>
              <w:t>黑</w:t>
            </w:r>
            <w:r>
              <w:rPr>
                <w:color w:val="auto"/>
                <w:sz w:val="24"/>
                <w:szCs w:val="24"/>
                <w:highlight w:val="none"/>
              </w:rPr>
              <w:t>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个</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910"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消防员备勤室模块</w:t>
            </w: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单人床</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950mm*2000mm*900mm（W*D*H）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材质：床架</w:t>
            </w:r>
            <w:r>
              <w:rPr>
                <w:color w:val="auto"/>
                <w:sz w:val="24"/>
                <w:szCs w:val="24"/>
                <w:highlight w:val="none"/>
              </w:rPr>
              <w:t>及床板</w:t>
            </w:r>
            <w:r>
              <w:rPr>
                <w:rFonts w:hint="default"/>
                <w:color w:val="auto"/>
                <w:sz w:val="24"/>
                <w:szCs w:val="24"/>
                <w:highlight w:val="none"/>
              </w:rPr>
              <w:t>采用</w:t>
            </w:r>
            <w:r>
              <w:rPr>
                <w:color w:val="auto"/>
                <w:sz w:val="24"/>
                <w:szCs w:val="24"/>
                <w:highlight w:val="none"/>
              </w:rPr>
              <w:t>实木多层板</w:t>
            </w:r>
            <w:r>
              <w:rPr>
                <w:rFonts w:hint="default"/>
                <w:color w:val="auto"/>
                <w:sz w:val="24"/>
                <w:szCs w:val="24"/>
                <w:highlight w:val="none"/>
              </w:rPr>
              <w:t>，稳固性强、承重高、耐用。含环保棕垫。油漆采用无毒、无气味、健康环保漆。</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六人衣柜</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≥30</w:t>
            </w:r>
            <w:r>
              <w:rPr>
                <w:rFonts w:hint="default"/>
                <w:color w:val="auto"/>
                <w:sz w:val="24"/>
                <w:szCs w:val="24"/>
                <w:highlight w:val="none"/>
              </w:rPr>
              <w:t>00mm*600mm*2200mm(W*D*H)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材质：采用E1级环高密度纤维板，抗硬度性能良好，具防火、防污、防损等特点。</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床头柜</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尺寸：≥400mm*400mm*600mm(W*D*H)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材质：采用E1级环保高密度纤维板，抗硬度性能良好，具防火、防污、防损等特点。</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颜色：木纹色+铁灰色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910"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健身房模块</w:t>
            </w: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跑步机</w:t>
            </w:r>
          </w:p>
        </w:tc>
        <w:tc>
          <w:tcPr>
            <w:tcW w:w="4617"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1）、马达峰值：5HP（AC交流）</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2）、速度范围≥1.0-18km/h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3）、扬升范围≥0-15%（上坡前扬升不小于15度）</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 xml:space="preserve">4）、滚筒直径：前/后∮60mm </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5）、跑台尺寸≥520*1450mm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6）、USB：软件升级、充电功能5V/500mA</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7）、跑台尺寸（长x宽）≥1570x580(mm)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8）、显示屏：4窗白光LED</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9）、最大承重≥150kg</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10）、产品尺寸≥2030*910*1530mm</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水平练习椅</w:t>
            </w:r>
          </w:p>
        </w:tc>
        <w:tc>
          <w:tcPr>
            <w:tcW w:w="4617"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1）.外形尺寸≥1600*600*400mm（长*宽*高）</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 xml:space="preserve">2）.功能：锻炼哑铃辅助凳子 </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3）.主框架规格：主弯管平椭120*40*t2.0mm，后脚管平椭120*40*t2.0mm。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4）.最大载重≥150KG</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5）.座垫：材质：胶合板+EVA+仿皮；</w:t>
            </w:r>
          </w:p>
          <w:p>
            <w:pPr>
              <w:pStyle w:val="26"/>
              <w:pageBreakBefore w:val="0"/>
              <w:kinsoku/>
              <w:wordWrap/>
              <w:overflowPunct/>
              <w:topLinePunct w:val="0"/>
              <w:autoSpaceDE/>
              <w:autoSpaceDN/>
              <w:bidi w:val="0"/>
              <w:adjustRightInd/>
              <w:snapToGrid/>
              <w:spacing w:line="240" w:lineRule="auto"/>
              <w:ind w:firstLine="0" w:firstLineChars="0"/>
              <w:jc w:val="both"/>
              <w:outlineLvl w:val="9"/>
              <w:rPr>
                <w:color w:val="auto"/>
                <w:sz w:val="24"/>
                <w:szCs w:val="24"/>
                <w:highlight w:val="none"/>
              </w:rPr>
            </w:pPr>
            <w:r>
              <w:rPr>
                <w:color w:val="auto"/>
                <w:sz w:val="24"/>
                <w:szCs w:val="24"/>
                <w:highlight w:val="none"/>
              </w:rPr>
              <w:t>6）.机台净重约23KG</w:t>
            </w:r>
          </w:p>
        </w:tc>
        <w:tc>
          <w:tcPr>
            <w:tcW w:w="907"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3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哑铃架+哑铃</w:t>
            </w:r>
          </w:p>
        </w:tc>
        <w:tc>
          <w:tcPr>
            <w:tcW w:w="4617"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哑铃架：</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1）.功能：放置哑铃</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2）.主框架规格：主弯管平椭120*40*t2.0mm，加强管平椭120*40*t2.0mm。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3）.机台净重：约63KG</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4）.贴地盘：橡胶，规格：175*120*23.5mm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哑铃：</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 xml:space="preserve">规格：2.5kg，5kg，7.5kg，10kg，12.5kg，15kg，17.5kg，20kg，22.5kg，25kg各两只（合计275公斤） </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910"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厨房模块</w:t>
            </w: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微波炉</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尺寸：≥483mm*393mm*293mm(W*D*H)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产品功率≥800W，产品容积≥23L；</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蒸饭车</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尺寸：≥380mm*510mm*780mm(W*D*H)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产品功率≥3000W，4盘，每盘载重≥1.5kg；</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商用厨具</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配置：双头炒灶1套，低汤灶1套，调味台1套，抽油烟机1套，双星洗菜池（含冷热水龙头+小厨宝）1个，操作台1个，吊柜1组，吊架1组；</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套</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消毒柜</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尺寸：≥570mm*430mm*1630mm(W*D*H)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产品功率≥900W，产品容量≥380L；</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套</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p>
        </w:tc>
        <w:tc>
          <w:tcPr>
            <w:tcW w:w="910"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餐厅模块</w:t>
            </w: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餐桌</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w:t>
            </w:r>
            <w:r>
              <w:rPr>
                <w:rFonts w:hint="default"/>
                <w:color w:val="auto"/>
                <w:sz w:val="24"/>
                <w:szCs w:val="24"/>
                <w:highlight w:val="none"/>
              </w:rPr>
              <w:t>14</w:t>
            </w:r>
            <w:r>
              <w:rPr>
                <w:color w:val="auto"/>
                <w:sz w:val="24"/>
                <w:szCs w:val="24"/>
                <w:highlight w:val="none"/>
              </w:rPr>
              <w:t>00mm*800mm*750mm(W*D*H)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材质：采用E1级环高密度纤维板,钢制脚架。</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颜色：白色脚架+木纹色桌面</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4</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餐椅</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材质：环保PU皮饰面，高密度海绵填充，实木椅架。</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t>人书桌</w:t>
            </w:r>
          </w:p>
        </w:tc>
        <w:tc>
          <w:tcPr>
            <w:tcW w:w="4617"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尺寸：≥4000mm*600mm*2200mm（W*D*H）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材质：钢制脚架+E1级环高密度纤维板，抗硬度性能良好，具防火、防污、防损等特点。台面开线孔。</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颜色：木纹色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办公椅</w:t>
            </w:r>
          </w:p>
        </w:tc>
        <w:tc>
          <w:tcPr>
            <w:tcW w:w="4617"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白色框架，弓形椅脚，高分子尼龙背框，涤纶网布；</w:t>
            </w:r>
          </w:p>
        </w:tc>
        <w:tc>
          <w:tcPr>
            <w:tcW w:w="907"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3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796"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57"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w:t>
            </w:r>
          </w:p>
        </w:tc>
        <w:tc>
          <w:tcPr>
            <w:tcW w:w="910"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盥洗室模块</w:t>
            </w:r>
          </w:p>
        </w:tc>
        <w:tc>
          <w:tcPr>
            <w:tcW w:w="744" w:type="dxa"/>
            <w:tcBorders>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脸盆架</w:t>
            </w:r>
          </w:p>
        </w:tc>
        <w:tc>
          <w:tcPr>
            <w:tcW w:w="4617" w:type="dxa"/>
            <w:tcBorders>
              <w:bottom w:val="single" w:color="auto" w:sz="4" w:space="0"/>
            </w:tcBorders>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尺寸：≥1800W*400D*2000H，304不锈钢</w:t>
            </w:r>
          </w:p>
        </w:tc>
        <w:tc>
          <w:tcPr>
            <w:tcW w:w="907" w:type="dxa"/>
            <w:tcBorders>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个</w:t>
            </w:r>
          </w:p>
        </w:tc>
        <w:tc>
          <w:tcPr>
            <w:tcW w:w="635" w:type="dxa"/>
            <w:tcBorders>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tcBorders>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vMerge w:val="restart"/>
            <w:tcBorders>
              <w:top w:val="single" w:color="auto" w:sz="4" w:space="0"/>
              <w:left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p>
        </w:tc>
        <w:tc>
          <w:tcPr>
            <w:tcW w:w="910" w:type="dxa"/>
            <w:vMerge w:val="restart"/>
            <w:tcBorders>
              <w:top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门岗</w:t>
            </w:r>
          </w:p>
        </w:tc>
        <w:tc>
          <w:tcPr>
            <w:tcW w:w="744"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办公桌</w:t>
            </w:r>
          </w:p>
        </w:tc>
        <w:tc>
          <w:tcPr>
            <w:tcW w:w="4617" w:type="dxa"/>
            <w:tcBorders>
              <w:top w:val="single" w:color="auto" w:sz="4" w:space="0"/>
              <w:bottom w:val="single" w:color="auto" w:sz="4" w:space="0"/>
            </w:tcBorders>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尺寸：≥1200mm*600mm*750mm(W*D*H)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材质：采用E1级环保高密度纤维板,钢制脚架。</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颜色：白色脚架+木纹色桌面</w:t>
            </w:r>
          </w:p>
        </w:tc>
        <w:tc>
          <w:tcPr>
            <w:tcW w:w="907"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tcBorders>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办公椅</w:t>
            </w:r>
          </w:p>
        </w:tc>
        <w:tc>
          <w:tcPr>
            <w:tcW w:w="4617" w:type="dxa"/>
            <w:tcBorders>
              <w:top w:val="single" w:color="auto" w:sz="4" w:space="0"/>
              <w:bottom w:val="single" w:color="auto" w:sz="4" w:space="0"/>
            </w:tcBorders>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白色框架，弓形椅脚，高分子尼龙背框，涤纶网布</w:t>
            </w:r>
          </w:p>
        </w:tc>
        <w:tc>
          <w:tcPr>
            <w:tcW w:w="907"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35"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bl>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2.2、安宅路消防站详细技术参数</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2.2.1、模块技术参数</w:t>
      </w:r>
    </w:p>
    <w:tbl>
      <w:tblPr>
        <w:tblStyle w:val="19"/>
        <w:tblW w:w="9434"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74"/>
        <w:gridCol w:w="525"/>
        <w:gridCol w:w="630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72"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74"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模块名称</w:t>
            </w:r>
          </w:p>
        </w:tc>
        <w:tc>
          <w:tcPr>
            <w:tcW w:w="6833" w:type="dxa"/>
            <w:gridSpan w:val="2"/>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技术要求和配置说明</w:t>
            </w:r>
          </w:p>
        </w:tc>
        <w:tc>
          <w:tcPr>
            <w:tcW w:w="1155"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车库模块</w:t>
            </w:r>
          </w:p>
        </w:tc>
        <w:tc>
          <w:tcPr>
            <w:tcW w:w="525" w:type="dxa"/>
            <w:vAlign w:val="center"/>
          </w:tcPr>
          <w:p>
            <w:pPr>
              <w:pStyle w:val="25"/>
              <w:pageBreakBefore w:val="0"/>
              <w:numPr>
                <w:ilvl w:val="0"/>
                <w:numId w:val="16"/>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▲车库主结构采用钢结构，钢结构采用CO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气保焊焊接连接。车库主结构外形轮廓尺寸≥12米×9米×4.5米(长×宽×高)，面积≥108㎡；</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6"/>
              </w:numPr>
              <w:kinsoku/>
              <w:wordWrap/>
              <w:overflowPunct/>
              <w:topLinePunct w:val="0"/>
              <w:autoSpaceDE/>
              <w:autoSpaceDN/>
              <w:bidi w:val="0"/>
              <w:adjustRightInd/>
              <w:snapToGrid/>
              <w:ind w:left="0" w:firstLine="0"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车位数:2车位，车位净尺寸≥8.5米×2.5米×4.2米(长×宽×高)； </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6"/>
              </w:numPr>
              <w:kinsoku/>
              <w:wordWrap/>
              <w:overflowPunct/>
              <w:topLinePunct w:val="0"/>
              <w:autoSpaceDE/>
              <w:autoSpaceDN/>
              <w:bidi w:val="0"/>
              <w:adjustRightInd/>
              <w:snapToGrid/>
              <w:ind w:left="0" w:firstLine="0"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车位配置车库滑升门1个,最大输入功率450W，使用电压220V，单相制动电机,可正反转,能手动“倒链”，升降速度0.17m/s，最大起升高度≥3.6m，门宽≥3.6m，车库门材质：门板重量11kg/平方米,门板成型厚度为40mm，并进行压纹压槽处理，门板背面采用加强筋，增加门体强度。中间灌注聚胺脂发泡材料， 阻燃隔音保温。彩板标称厚度0.35mm。压纹后厚0.4mm，滑升门轨道:轨道采用1.8mm镀锌钢板；每辆消防车对应独立车库门，一旦接警，警报拉响，车库门应同时联动打开；</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6"/>
              </w:numPr>
              <w:kinsoku/>
              <w:wordWrap/>
              <w:overflowPunct/>
              <w:topLinePunct w:val="0"/>
              <w:autoSpaceDE/>
              <w:autoSpaceDN/>
              <w:bidi w:val="0"/>
              <w:adjustRightInd/>
              <w:snapToGrid/>
              <w:ind w:left="0" w:firstLine="0"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入户门：钢质单开门1套，由车库通往室外。</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6"/>
              </w:numPr>
              <w:kinsoku/>
              <w:wordWrap/>
              <w:overflowPunct/>
              <w:topLinePunct w:val="0"/>
              <w:autoSpaceDE/>
              <w:autoSpaceDN/>
              <w:bidi w:val="0"/>
              <w:adjustRightInd/>
              <w:snapToGrid/>
              <w:ind w:left="0" w:firstLine="0"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外侧设置铝合金玻璃窗，满足自然采光通风；</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6"/>
              </w:numPr>
              <w:kinsoku/>
              <w:wordWrap/>
              <w:overflowPunct/>
              <w:topLinePunct w:val="0"/>
              <w:autoSpaceDE/>
              <w:autoSpaceDN/>
              <w:bidi w:val="0"/>
              <w:adjustRightInd/>
              <w:snapToGrid/>
              <w:ind w:left="0" w:firstLine="0"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配置2套工业筒式排风扇，排风量≥1400立方米/小时/套，可以快速抽排车库内产生的消防车尾气；</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6"/>
              </w:numPr>
              <w:kinsoku/>
              <w:wordWrap/>
              <w:overflowPunct/>
              <w:topLinePunct w:val="0"/>
              <w:autoSpaceDE/>
              <w:autoSpaceDN/>
              <w:bidi w:val="0"/>
              <w:adjustRightInd/>
              <w:snapToGrid/>
              <w:ind w:left="0" w:firstLine="0"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配置≥16盏三防吸顶荧光灯，2X36W 220V 50HZ；其中≥4盏带蓄电功能三防吸顶应急灯，2X36W 220V 50HZ；</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(核心产品)通讯室模块</w:t>
            </w: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 ≥6000mm×3000mm×2800mm，划分为通讯室及走廊。走廊宽度≥1.8米。</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要求走廊直接连通车库和楼梯间。</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通讯室地面：扣接式地板，厚4mm；走廊地面：瓷砖。</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窗：铝合金落地窗2扇，带有防护栏/网及窗帘、纱窗；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电路系统：预埋供电、网络管线，包括控制箱、开关、插座及网络终端、电话终端，预留备用电源系统；</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配置：1盏照明灯带应急功能。</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储藏室模块</w:t>
            </w: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要求由全新集装箱模块构成：外形尺寸(长×宽×高)≥6000mm×3000mm×2800mm，划分为储藏室及厕所。</w:t>
            </w:r>
          </w:p>
        </w:tc>
        <w:tc>
          <w:tcPr>
            <w:tcW w:w="1155"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要求储藏室与车库连通，厕所为公共厕所。</w:t>
            </w:r>
          </w:p>
        </w:tc>
        <w:tc>
          <w:tcPr>
            <w:tcW w:w="1155"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无水路地面：水泥纤维板（厚20mm）。</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有水路地面：镀锌板底兜（厚≥3mm）。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储藏室：扣接式地板，厚4mm。</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厕所：防滑瓷砖。</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入户门：钢质单开门1套。铝合金玻璃门1套。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铝合金落地窗2扇，带有防护栏/网及窗帘、纱窗。</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铝合金上悬窗1扇，磨砂玻璃、带纱窗。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电路系统：预埋供电，包括控制箱、开关、插座。</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水路系统：预埋给排水管、地漏、预装蹲便器、陶瓷拖把池、洗手池、冷热水龙头（热水采用小厨宝供水）及五金件，洗手池配镜子；蹲便器配隔断。</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配置：1盏照明灯，1盏防潮灯。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体能训练室模块</w:t>
            </w: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主结构采用钢结构：外形尺寸(长×宽×高)≥9000mm×3000mm×4800mm。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要求体能训练室与楼梯间连通。</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p>
            <w:pPr>
              <w:pStyle w:val="18"/>
              <w:pageBreakBefore w:val="0"/>
              <w:kinsoku/>
              <w:wordWrap/>
              <w:overflowPunct/>
              <w:topLinePunct w:val="0"/>
              <w:autoSpaceDE/>
              <w:autoSpaceDN/>
              <w:bidi w:val="0"/>
              <w:adjustRightInd/>
              <w:snapToGrid/>
              <w:ind w:firstLine="0" w:firstLineChars="0"/>
              <w:outlineLvl w:val="9"/>
              <w:rPr>
                <w:rFonts w:hint="eastAsia" w:eastAsia="宋体" w:cs="宋体"/>
                <w:color w:val="auto"/>
                <w:sz w:val="24"/>
                <w:szCs w:val="24"/>
                <w:highlight w:val="none"/>
              </w:rPr>
            </w:pPr>
            <w:r>
              <w:rPr>
                <w:rFonts w:hint="eastAsia" w:eastAsia="宋体" w:cs="宋体"/>
                <w:color w:val="auto"/>
                <w:sz w:val="24"/>
                <w:szCs w:val="24"/>
                <w:highlight w:val="none"/>
              </w:rPr>
              <w:t>天花板：铝扣板</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r>
              <w:rPr>
                <w:rFonts w:ascii="宋体" w:hAnsi="宋体" w:eastAsia="宋体" w:cs="宋体"/>
                <w:color w:val="auto"/>
                <w:sz w:val="24"/>
                <w:szCs w:val="24"/>
                <w:highlight w:val="none"/>
              </w:rPr>
              <w:t>扣接式地板，厚4mm</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窗：铝合金落地窗4扇，带有防护栏/网及窗帘、纱窗。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配置：3盏照明灯，其中1盏带应急功能。</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楼梯间模块</w:t>
            </w: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主结构采用钢结构，外形轮廓尺寸≥6米×3米×7.5米(长×宽×高)。</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楼梯采用钢结构楼梯，钢结构休息平台；扶手采用钢制扶手，双侧安装，高度≥1.1米。</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楼梯间天花板：金属岩棉夹芯板（厚75mm，岩棉容重80kg/m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地面采用钢筋混凝土地坪，铺贴瓷砖； </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楼梯踏步铺设木塑地板。</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配置：2盏照明灯，双头应急灯1套，逃生指示灯1套。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夹层模块</w:t>
            </w: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要求由2个全新集装箱模块构成，每个集装箱外形尺寸(长×宽×高)≥6000mm×3000mm×2000mm。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要求夹层与楼梯间连通。</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靠车库侧：金属岩棉夹芯板（厚50mm，岩棉容重80kg/m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靠室外侧：红色铝百叶。</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靠楼梯间侧：金属岩棉夹芯板（厚50mm，岩棉容重80kg/m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天花板：无天花，顶部外露，方便接管及维修。</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箱底：花纹钢地板。</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入户门：自制钢板门1套。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窗：铝合金落地固定窗3扇。</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电路系统：预埋供电，包括控制箱、开关、插座。</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水路系统：预埋给排水管、热水器管路、空调管路。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备勤室（1）/备勤室（2）模块</w:t>
            </w: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要求由全新集装箱模块构成：外形尺寸(长×宽×高)≥9000mm×6000mm×2800mm，划分成两间备勤室及部分过道区域。</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要求所有备勤室通过过道与餐厅连通。</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地面：扣接式地板，厚4mm；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入户门：钢质单开门2套。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窗：铝合金落地窗8扇，带有窗帘、纱窗。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电路系统：预埋供电、网络管线，包括控制箱、开关、插座及网络终端、电话终端，预留备用电源系统；</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配置：4盏照明灯，其中2盏带应急功能。</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备勤室（3）/餐厅模块</w:t>
            </w: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要求由全新集装箱模块构成：外形尺寸(长×宽×高)≥9000mm×6000mm×2800mm。划分为备勤室（3）及餐厅。</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要求备勤室与餐厅连通，餐厅连通走廊。</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地面：扣接式地板，厚4mm；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窗：铝合金落地窗4扇，带有窗帘、纱窗。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电路系统：预埋供电、网络管线，包括控制箱、开关、插座及网络终端、电话终端，预留备用电源系统；</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配置：4盏照明灯，其中2盏带应急功能。餐厅配置逃生指示灯一套。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tcBorders>
              <w:top w:val="single" w:color="auto" w:sz="4" w:space="0"/>
              <w:bottom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厨房模块</w:t>
            </w: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要求由全新集装箱模块构成：外形尺寸(长×宽×高)≥6000mm×3000mm×2800mm。划分为厨房及走廊，走廊宽度≥1.8米。</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要求厨房通往走廊。</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箱底：镀锌板底兜（厚≥3mm）；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地面：防滑瓷砖。</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入户门：折叠滑轨门1套。钢制双开门1扇。</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窗：铝合金推拉窗1扇，带有纱窗。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电路系统：预埋供电，包括控制箱、开关、插座。</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水路系统：预埋给排水管、地漏。</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配置：1盏防潮灯，1盏照明灯。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tcBorders>
              <w:top w:val="single" w:color="auto" w:sz="4" w:space="0"/>
              <w:bottom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盥洗室模块</w:t>
            </w: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由2只全新集装箱箱体构成：一只外形尺寸(长×宽×高) ≥9000mm×3000mm×2800mm；一只外形尺寸(长×宽×高) ≥6000mm×3000mm×2800mm；满足淋浴、厕所、盥洗、晾晒等功能。</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要求晾晒阳台为半封闭式，开放部分设钢结构栏杆，有防风网封闭；</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室内墙面/天花：金属岩棉夹芯板（厚75mm，岩棉容重80kg/m3）；</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箱底：镀锌板底兜（厚≥3mm）；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地面：防滑瓷砖。</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门：钢质单开门2套。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窗：铝合金推拉窗1扇带纱窗；上悬窗1扇，带纱窗；落地窗1扇，带纱窗；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电路系统：预埋供电管线，包括控制箱、开关、插座1套；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给排水系统：预埋上下水连接管路及角阀、地漏等；</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配置：防潮照明灯4套；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配置：换气扇3台，换气风量≥150m³/小时；</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配置：盥洗池（≥3位，材质为SUS304，外表面拉丝处理）1套；盥洗池配套镜子1套；拖布池（陶瓷架空式）1套；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卫生间配置：蹲便器（无弯后出水带水箱）3套带隔断，小便器2套，自动感应冲水。</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阳台配置：钢结构栏杆+隐形防风网一套；不锈钢晾衣杆2套。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淋浴间配置：手持式淋浴器，4套；三角置物架4套，隔断4套。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tcBorders>
              <w:top w:val="single" w:color="auto" w:sz="4" w:space="0"/>
              <w:bottom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顶棚及灯箱模块</w:t>
            </w:r>
          </w:p>
        </w:tc>
        <w:tc>
          <w:tcPr>
            <w:tcW w:w="525" w:type="dxa"/>
            <w:vAlign w:val="center"/>
          </w:tcPr>
          <w:p>
            <w:pPr>
              <w:pStyle w:val="25"/>
              <w:pageBreakBefore w:val="0"/>
              <w:numPr>
                <w:ilvl w:val="0"/>
                <w:numId w:val="2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顶棚外形轮廓尺寸: ≥10米×22米×1.4米(长×宽×高)。</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结构类型:钢结构+彩钢瓦吊顶，吊顶板四边下部向内返3米。</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顶棚鸟瞰为草绿色；</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顶棚正面安装“对党忠诚 纪律严明 赴汤蹈火 竭诚为民”不锈钢围边亚克力发光字，红色，文字字高≥0.8米。</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消防站正面一层与二层之间采用铝塑板+3M贴膜红蓝造型,高度≥80cm,安装“中国消防救援”、“CHINA FIRE AND RESCUE”中英文黄色亚克力发光字,内置LED贴片灯,中间放置消防救援徽标造型。</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二层外立面（备勤室外墙）设置消防119标识 1个，尺寸≥1.8米*1.8米（长*宽）。采用上红下蓝铝塑板底板，设置“119”、“消防救援”、“FIRE AND RESCUE”黄色字。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配置：电缆线路，电管及线路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防水接线箱，雨水管≥3套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2" w:type="dxa"/>
            <w:vMerge w:val="restart"/>
            <w:tcBorders>
              <w:top w:val="single" w:color="auto" w:sz="4" w:space="0"/>
              <w:bottom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基础配套模块</w:t>
            </w: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1、采用钢筋混凝土基础，基底外形尺寸≥9米×21米(长×宽)；</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2、车库地面承载:≥20kN/㎡，地面涂装采用地坪漆,绿色,车位划黄线，每个车位配置2个车位止档；</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3、模块预留上下水、强弱电管道接口，位于消防站地面以上模块垂直投影外边界1.5米范围以内；</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2" w:type="dxa"/>
            <w:vMerge w:val="continue"/>
            <w:tcBorders>
              <w:top w:val="single" w:color="auto" w:sz="4" w:space="0"/>
              <w:bottom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配置：弱电管井1路；强电管井1路；污水、雨水、给水管井共3路；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72" w:type="dxa"/>
            <w:vMerge w:val="continue"/>
            <w:tcBorders>
              <w:top w:val="single" w:color="auto" w:sz="4" w:space="0"/>
              <w:bottom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配置：室外化粪池4立方、隔油池1立方；</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2" w:type="dxa"/>
            <w:vMerge w:val="restart"/>
            <w:tcBorders>
              <w:top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tcBorders>
              <w:top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外围配套模块</w:t>
            </w: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8" w:type="dxa"/>
            <w:vAlign w:val="center"/>
          </w:tcPr>
          <w:p>
            <w:pPr>
              <w:pageBreakBefore w:val="0"/>
              <w:numPr>
                <w:ilvl w:val="0"/>
                <w:numId w:val="26"/>
              </w:numPr>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出车通道，硬化面积：407㎡；</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（1）、50厚C15混凝土垫层；</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（2）、150厚C30混凝土；</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（3）、单层双向钢筋，直径10mm间距150mm</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（4）、小于等于6m设置变形缝，沥青填缝处理；</w:t>
            </w:r>
          </w:p>
          <w:p>
            <w:pPr>
              <w:pageBreakBefore w:val="0"/>
              <w:numPr>
                <w:ilvl w:val="0"/>
                <w:numId w:val="26"/>
              </w:numPr>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一般硬化：硬化面积：353㎡</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（1）、50厚C15混凝土垫层；</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（2）、150厚C30混凝土；</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（3）、小于等于6m设置变形缝；</w:t>
            </w:r>
          </w:p>
        </w:tc>
        <w:tc>
          <w:tcPr>
            <w:tcW w:w="1155"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b/>
                <w:bCs/>
                <w:color w:val="auto"/>
                <w:sz w:val="24"/>
                <w:szCs w:val="24"/>
                <w:highlight w:val="none"/>
              </w:rPr>
            </w:pP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配置：岗亭1套，≥1.5米*1.5米成品岗亭，强弱电接驳；</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道闸1套，10米双向抬杆道闸，配置3*4平方电缆加40pvc套管地下暗埋与室外主电箱接通，长度20米范围内；</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半场篮球场1套，含篮球架、地坪漆及画线、6米LED照明灯2套；</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简易锌铁围栏202米；</w:t>
            </w:r>
          </w:p>
        </w:tc>
        <w:tc>
          <w:tcPr>
            <w:tcW w:w="1155"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b/>
                <w:bCs/>
                <w:color w:val="auto"/>
                <w:sz w:val="24"/>
                <w:szCs w:val="24"/>
                <w:highlight w:val="none"/>
              </w:rPr>
            </w:pP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木质悬挂站牌1套（文字内容根据采购人要求）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功能库室标牌共1套（文字内容根据采购人要求）；</w:t>
            </w:r>
          </w:p>
        </w:tc>
        <w:tc>
          <w:tcPr>
            <w:tcW w:w="1155"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b/>
                <w:bCs/>
                <w:color w:val="auto"/>
                <w:sz w:val="24"/>
                <w:szCs w:val="24"/>
                <w:highlight w:val="none"/>
              </w:rPr>
            </w:pP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破除开挖土方清运953㎡；室外给排水、室外电线布线1套；</w:t>
            </w:r>
          </w:p>
        </w:tc>
        <w:tc>
          <w:tcPr>
            <w:tcW w:w="1155"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2" w:type="dxa"/>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培训安装运输清洁</w:t>
            </w: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1、模块采用专业打包防水膜进行包装，防止运输及安装过程中进尘、进水等污染；</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2、模块及车库、钢构屋顶模块、楼梯间装备构件等加固、吊装打包成可运输单元；</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3、采用专业加固、链接、运输转载转运物流器具单元进行模块吊装转运；</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4、模块出厂前及到达项目地运输拆卸及堆存；</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5、模块大型装备功能内拼装；</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6、调试安装车库、基础模块；</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7、调试安装各功能模块及附属楼梯间、钢结构屋顶等模块；</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8、调试各模块链接节点、各模块室内拼装节点、各模块装备外节点；</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9、调试安装广告VI系统；</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10、调试安装装备水、电、通信等各项子系统；</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11、测试各子系统通电、通水、通信功能；</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12、装备初次试用检测及各模块功能培训工作；</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13、调试安装完成后对装备整体保洁；</w:t>
            </w:r>
          </w:p>
        </w:tc>
        <w:tc>
          <w:tcPr>
            <w:tcW w:w="1155"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bl>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2.2.2、货物配置清单</w:t>
      </w:r>
    </w:p>
    <w:tbl>
      <w:tblPr>
        <w:tblStyle w:val="20"/>
        <w:tblW w:w="9224"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60"/>
        <w:gridCol w:w="1155"/>
        <w:gridCol w:w="4455"/>
        <w:gridCol w:w="791"/>
        <w:gridCol w:w="64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60"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模块名称</w:t>
            </w:r>
          </w:p>
        </w:tc>
        <w:tc>
          <w:tcPr>
            <w:tcW w:w="1155"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4455"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技术要求和配置说明</w:t>
            </w:r>
          </w:p>
        </w:tc>
        <w:tc>
          <w:tcPr>
            <w:tcW w:w="791"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640"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740"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60"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通讯室模块</w:t>
            </w: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接警台</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1</w:t>
            </w:r>
            <w:r>
              <w:rPr>
                <w:color w:val="auto"/>
                <w:sz w:val="24"/>
                <w:szCs w:val="24"/>
                <w:highlight w:val="none"/>
              </w:rPr>
              <w:t>50</w:t>
            </w:r>
            <w:r>
              <w:rPr>
                <w:rFonts w:hint="default"/>
                <w:color w:val="auto"/>
                <w:sz w:val="24"/>
                <w:szCs w:val="24"/>
                <w:highlight w:val="none"/>
              </w:rPr>
              <w:t>0mm*950mm*930mm（W*D*H）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材质：优质冷轧钢静电喷塑，主体框架≥0.8mm厚，承重梁≥1.0mm厚。</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办公椅</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白色框架，弓形椅脚，高分子尼龙背框，涤纶网布；</w:t>
            </w:r>
          </w:p>
        </w:tc>
        <w:tc>
          <w:tcPr>
            <w:tcW w:w="791"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2</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单人床</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950mm*2000mm*900mm（W*D*H）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材质：床架</w:t>
            </w:r>
            <w:r>
              <w:rPr>
                <w:color w:val="auto"/>
                <w:sz w:val="24"/>
                <w:szCs w:val="24"/>
                <w:highlight w:val="none"/>
              </w:rPr>
              <w:t>及床板</w:t>
            </w:r>
            <w:r>
              <w:rPr>
                <w:rFonts w:hint="default"/>
                <w:color w:val="auto"/>
                <w:sz w:val="24"/>
                <w:szCs w:val="24"/>
                <w:highlight w:val="none"/>
              </w:rPr>
              <w:t>采用</w:t>
            </w:r>
            <w:r>
              <w:rPr>
                <w:color w:val="auto"/>
                <w:sz w:val="24"/>
                <w:szCs w:val="24"/>
                <w:highlight w:val="none"/>
              </w:rPr>
              <w:t>实木多层板</w:t>
            </w:r>
            <w:r>
              <w:rPr>
                <w:rFonts w:hint="default"/>
                <w:color w:val="auto"/>
                <w:sz w:val="24"/>
                <w:szCs w:val="24"/>
                <w:highlight w:val="none"/>
              </w:rPr>
              <w:t>，稳固性强、承重高、耐用。含环保棕垫。油漆采用无毒、无气味、健康环保漆。</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文件柜</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850mm*400mm*2000mm（W*D*H）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材质：柜体</w:t>
            </w:r>
            <w:r>
              <w:rPr>
                <w:rFonts w:hint="eastAsia"/>
                <w:color w:val="auto"/>
                <w:sz w:val="24"/>
                <w:szCs w:val="24"/>
                <w:highlight w:val="none"/>
                <w:lang w:eastAsia="zh-CN"/>
              </w:rPr>
              <w:t>采用</w:t>
            </w:r>
            <w:r>
              <w:rPr>
                <w:rFonts w:hint="default"/>
                <w:color w:val="auto"/>
                <w:sz w:val="24"/>
                <w:szCs w:val="24"/>
                <w:highlight w:val="none"/>
              </w:rPr>
              <w:t>E1级环高密度纤维板。灰色柜体+下部木色柜门+上部银白色铝合金边框玻璃柜门。</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衣柜</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≥6</w:t>
            </w:r>
            <w:r>
              <w:rPr>
                <w:rFonts w:hint="default"/>
                <w:color w:val="auto"/>
                <w:sz w:val="24"/>
                <w:szCs w:val="24"/>
                <w:highlight w:val="none"/>
              </w:rPr>
              <w:t>00mm*600mm*2200mm(W*D*H)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材质：采用E1级环高密度纤维板，抗硬度性能良好，具防火、防污、防损等特点。</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床头柜</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尺寸：≥400mm*400mm*600mm(W*D*H)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材质：采用E1级环保高密度纤维板，抗硬度性能良好，具防火、防污、防损等特点。</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颜色：木纹色+铁灰色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监控系统</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8台400万像数枪机，16路硬盘录像机带6TB硬盘，交换机、无线AP、辅材、路由器、显示器按需配置</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76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储藏室模块</w:t>
            </w: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器材架</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尺寸：≥1500mm*600mm*2000mm(W*D*H)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材质：优质钢材，表面喷涂优质防腐漆。层板0.6mm厚，立柱40*80*1.6mmC型钢。横梁厚度50*80*1.6mmP型钢。</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承重700KG/层</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颜色：</w:t>
            </w:r>
            <w:r>
              <w:rPr>
                <w:rFonts w:hint="default"/>
                <w:color w:val="auto"/>
                <w:sz w:val="24"/>
                <w:szCs w:val="24"/>
                <w:highlight w:val="none"/>
              </w:rPr>
              <w:t>黑</w:t>
            </w:r>
            <w:r>
              <w:rPr>
                <w:color w:val="auto"/>
                <w:sz w:val="24"/>
                <w:szCs w:val="24"/>
                <w:highlight w:val="none"/>
              </w:rPr>
              <w:t>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个</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760"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备勤室模块</w:t>
            </w:r>
          </w:p>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单人床</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950mm*2000mm*900mm（W*D*H）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材质：床架</w:t>
            </w:r>
            <w:r>
              <w:rPr>
                <w:color w:val="auto"/>
                <w:sz w:val="24"/>
                <w:szCs w:val="24"/>
                <w:highlight w:val="none"/>
              </w:rPr>
              <w:t>及床板</w:t>
            </w:r>
            <w:r>
              <w:rPr>
                <w:rFonts w:hint="default"/>
                <w:color w:val="auto"/>
                <w:sz w:val="24"/>
                <w:szCs w:val="24"/>
                <w:highlight w:val="none"/>
              </w:rPr>
              <w:t>采用</w:t>
            </w:r>
            <w:r>
              <w:rPr>
                <w:color w:val="auto"/>
                <w:sz w:val="24"/>
                <w:szCs w:val="24"/>
                <w:highlight w:val="none"/>
              </w:rPr>
              <w:t>实木多层板</w:t>
            </w:r>
            <w:r>
              <w:rPr>
                <w:rFonts w:hint="default"/>
                <w:color w:val="auto"/>
                <w:sz w:val="24"/>
                <w:szCs w:val="24"/>
                <w:highlight w:val="none"/>
              </w:rPr>
              <w:t>，稳固性强、承重高、耐用。含环保棕垫。油漆采用无毒、无气味、健康环保漆。</w:t>
            </w:r>
          </w:p>
          <w:p>
            <w:pPr>
              <w:pageBreakBefore w:val="0"/>
              <w:kinsoku/>
              <w:wordWrap/>
              <w:overflowPunct/>
              <w:topLinePunct w:val="0"/>
              <w:autoSpaceDE/>
              <w:autoSpaceDN/>
              <w:bidi w:val="0"/>
              <w:adjustRightInd/>
              <w:snapToGrid/>
              <w:outlineLvl w:val="9"/>
              <w:rPr>
                <w:color w:val="auto"/>
                <w:sz w:val="24"/>
                <w:szCs w:val="24"/>
                <w:highlight w:val="none"/>
              </w:rPr>
            </w:pPr>
            <w:r>
              <w:rPr>
                <w:rFonts w:hint="eastAsia" w:ascii="宋体" w:hAnsi="宋体" w:eastAsia="宋体" w:cs="宋体"/>
                <w:color w:val="auto"/>
                <w:sz w:val="24"/>
                <w:szCs w:val="24"/>
                <w:highlight w:val="none"/>
              </w:rPr>
              <w:t>颜色：木纹色+铁灰色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两人衣柜</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≥9</w:t>
            </w:r>
            <w:r>
              <w:rPr>
                <w:rFonts w:hint="default"/>
                <w:color w:val="auto"/>
                <w:sz w:val="24"/>
                <w:szCs w:val="24"/>
                <w:highlight w:val="none"/>
              </w:rPr>
              <w:t>00mm*600mm*2200mm(W*D*H)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材质：采用E1级环高密度纤维板，抗硬度性能良好，具防火、防污、防损等特点。</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6</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床头柜</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尺寸：≥4</w:t>
            </w:r>
            <w:r>
              <w:rPr>
                <w:rFonts w:hint="default"/>
                <w:color w:val="auto"/>
                <w:sz w:val="24"/>
                <w:szCs w:val="24"/>
                <w:highlight w:val="none"/>
              </w:rPr>
              <w:t>0</w:t>
            </w:r>
            <w:r>
              <w:rPr>
                <w:color w:val="auto"/>
                <w:sz w:val="24"/>
                <w:szCs w:val="24"/>
                <w:highlight w:val="none"/>
              </w:rPr>
              <w:t>0mm*400mm*600mm(W*D*H)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材质：采用E1级环保高密度纤维板，抗硬度性能良好，具防火、防污、防损等特点。</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颜色：木纹色+铁灰色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760"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健身房模块</w:t>
            </w: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跑步机</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1）、马达峰值：5HP（AC交流）</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2）、速度范围≥1.0-18km/h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3）、扬升范围≥0-15%（上坡前扬升不小于15度）</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 xml:space="preserve">4）、滚筒直径：前/后∮60mm </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5）、跑台尺寸≥520*1450mm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6）、USB：软件升级、充电功能5V/500mA</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7）、跑台尺寸（长x宽）≥1570x580(mm)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8）、显示屏：4窗白光LED</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9）、最大承重≥150kg</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10）、产品尺寸≥2030*910*1530mm</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水平练习椅</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 xml:space="preserve">1）.外形尺寸≥1600*600*400mm（长*宽*高）                                      </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 xml:space="preserve">2）.功能：锻炼哑铃辅助凳子 </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3）.主框架规格：主弯管平椭120*40*t2.0mm，后脚管平椭120*40*t2.0mm。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4）.最大载重≥150KG</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5）.座垫：材质：胶合板+EVA+仿皮；</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6）.机台净重约23KG</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哑铃架+哑铃</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哑铃架：</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1）.功能：放置哑铃</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2）.主框架规格：主弯管平椭120*40*t2.0mm，加强管平椭120*40*t2.0mm。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3）.机台净重：约63KG</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4）.贴地盘：橡胶，规格：175*120*23.5mm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哑铃：</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 xml:space="preserve">规格：2.5kg，5kg，7.5kg，10kg，12.5kg，15kg，17.5kg，20kg，22.5kg，25kg各两只（合计275公斤） </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83"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760"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厨房模块</w:t>
            </w: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蒸饭车</w:t>
            </w:r>
          </w:p>
        </w:tc>
        <w:tc>
          <w:tcPr>
            <w:tcW w:w="4455"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尺寸：≥380mm*510mm*780mm(W*D*H)</w:t>
            </w:r>
          </w:p>
          <w:p>
            <w:pPr>
              <w:pageBreakBefore w:val="0"/>
              <w:kinsoku/>
              <w:wordWrap/>
              <w:overflowPunct/>
              <w:topLinePunct w:val="0"/>
              <w:autoSpaceDE/>
              <w:autoSpaceDN/>
              <w:bidi w:val="0"/>
              <w:adjustRightInd/>
              <w:snapToGrid/>
              <w:ind w:left="216" w:leftChars="103"/>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产品功率≥3000W，4盘，每盘载重≥1.5kg；</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商用厨具</w:t>
            </w:r>
          </w:p>
        </w:tc>
        <w:tc>
          <w:tcPr>
            <w:tcW w:w="4455"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配置：双头炒灶1套，低汤灶1套，调味台1套，抽油烟机1套，双星洗菜池（含冷热水龙头+小厨宝）1套，操作台1个，吊柜1组，吊架1组；</w:t>
            </w:r>
          </w:p>
        </w:tc>
        <w:tc>
          <w:tcPr>
            <w:tcW w:w="791"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套</w:t>
            </w:r>
          </w:p>
        </w:tc>
        <w:tc>
          <w:tcPr>
            <w:tcW w:w="6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微波炉</w:t>
            </w:r>
          </w:p>
        </w:tc>
        <w:tc>
          <w:tcPr>
            <w:tcW w:w="4455"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尺寸：≥483mm*393mm*293mm(W*D*H)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产品功率≥800W，产品容积≥23L；</w:t>
            </w:r>
          </w:p>
        </w:tc>
        <w:tc>
          <w:tcPr>
            <w:tcW w:w="791"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760"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餐厅模块</w:t>
            </w: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餐桌</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尺寸：≥</w:t>
            </w:r>
            <w:r>
              <w:rPr>
                <w:rFonts w:hint="default"/>
                <w:color w:val="auto"/>
                <w:sz w:val="24"/>
                <w:szCs w:val="24"/>
                <w:highlight w:val="none"/>
              </w:rPr>
              <w:t>800</w:t>
            </w:r>
            <w:r>
              <w:rPr>
                <w:color w:val="auto"/>
                <w:sz w:val="24"/>
                <w:szCs w:val="24"/>
                <w:highlight w:val="none"/>
              </w:rPr>
              <w:t>mm*800mm*750mm(W*D*H)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材质：采用E1级环高密度纤维板,钢制脚架。</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颜色：白色脚架+木纹色桌面。</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8</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餐椅</w:t>
            </w:r>
          </w:p>
        </w:tc>
        <w:tc>
          <w:tcPr>
            <w:tcW w:w="4455"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材质：环保PU皮饰面，高密度海绵填充，实木椅架。</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消毒柜</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尺寸：≥575mm*443mm*1622mm（W*D*H）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立式双门大容量消毒柜，容量380L</w:t>
            </w:r>
          </w:p>
        </w:tc>
        <w:tc>
          <w:tcPr>
            <w:tcW w:w="791"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个</w:t>
            </w:r>
          </w:p>
        </w:tc>
        <w:tc>
          <w:tcPr>
            <w:tcW w:w="6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83"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p>
        </w:tc>
        <w:tc>
          <w:tcPr>
            <w:tcW w:w="76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盥洗室模块</w:t>
            </w: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脸盆架</w:t>
            </w:r>
          </w:p>
        </w:tc>
        <w:tc>
          <w:tcPr>
            <w:tcW w:w="4455"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尺寸：≥1800W*400D*2000H，304不锈钢</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个</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3" w:type="dxa"/>
            <w:vMerge w:val="restart"/>
            <w:tcBorders>
              <w:top w:val="single" w:color="auto" w:sz="4" w:space="0"/>
              <w:left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w:t>
            </w:r>
          </w:p>
        </w:tc>
        <w:tc>
          <w:tcPr>
            <w:tcW w:w="760" w:type="dxa"/>
            <w:vMerge w:val="restart"/>
            <w:tcBorders>
              <w:top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门岗</w:t>
            </w:r>
          </w:p>
        </w:tc>
        <w:tc>
          <w:tcPr>
            <w:tcW w:w="1155"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办公桌</w:t>
            </w:r>
          </w:p>
        </w:tc>
        <w:tc>
          <w:tcPr>
            <w:tcW w:w="4455" w:type="dxa"/>
            <w:tcBorders>
              <w:top w:val="single" w:color="auto" w:sz="4" w:space="0"/>
              <w:bottom w:val="single" w:color="auto" w:sz="4" w:space="0"/>
            </w:tcBorders>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尺寸：≥1200mm*600mm*750mm(W*D*H)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材质：采用E1级环保高密度纤维板,钢制脚架。</w:t>
            </w:r>
          </w:p>
          <w:p>
            <w:pPr>
              <w:pageBreakBefore w:val="0"/>
              <w:kinsoku/>
              <w:wordWrap/>
              <w:overflowPunct/>
              <w:topLinePunct w:val="0"/>
              <w:autoSpaceDE/>
              <w:autoSpaceDN/>
              <w:bidi w:val="0"/>
              <w:adjustRightInd/>
              <w:snapToGrid/>
              <w:ind w:left="216" w:leftChars="103"/>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颜色：白色脚架+木纹色桌面</w:t>
            </w:r>
          </w:p>
        </w:tc>
        <w:tc>
          <w:tcPr>
            <w:tcW w:w="791"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40"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3" w:type="dxa"/>
            <w:vMerge w:val="continue"/>
            <w:tcBorders>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tcBorders>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办公椅</w:t>
            </w:r>
          </w:p>
        </w:tc>
        <w:tc>
          <w:tcPr>
            <w:tcW w:w="4455" w:type="dxa"/>
            <w:tcBorders>
              <w:top w:val="single" w:color="auto" w:sz="4" w:space="0"/>
              <w:bottom w:val="single" w:color="auto" w:sz="4" w:space="0"/>
            </w:tcBorders>
          </w:tcPr>
          <w:p>
            <w:pPr>
              <w:pageBreakBefore w:val="0"/>
              <w:kinsoku/>
              <w:wordWrap/>
              <w:overflowPunct/>
              <w:topLinePunct w:val="0"/>
              <w:autoSpaceDE/>
              <w:autoSpaceDN/>
              <w:bidi w:val="0"/>
              <w:adjustRightInd/>
              <w:snapToGrid/>
              <w:ind w:left="216" w:leftChars="103"/>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白色框架，弓形椅脚，高分子尼龙背框，涤纶网布</w:t>
            </w:r>
          </w:p>
        </w:tc>
        <w:tc>
          <w:tcPr>
            <w:tcW w:w="791"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40"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bl>
    <w:p>
      <w:pPr>
        <w:pageBreakBefore w:val="0"/>
        <w:kinsoku/>
        <w:wordWrap/>
        <w:overflowPunct/>
        <w:topLinePunct w:val="0"/>
        <w:autoSpaceDE/>
        <w:autoSpaceDN/>
        <w:bidi w:val="0"/>
        <w:adjustRightInd/>
        <w:snapToGrid/>
        <w:outlineLvl w:val="9"/>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p>
    <w:p>
      <w:pPr>
        <w:pStyle w:val="10"/>
        <w:pageBreakBefore w:val="0"/>
        <w:kinsoku/>
        <w:wordWrap/>
        <w:overflowPunct/>
        <w:topLinePunct w:val="0"/>
        <w:autoSpaceDE/>
        <w:autoSpaceDN/>
        <w:bidi w:val="0"/>
        <w:adjustRightInd/>
        <w:snapToGrid/>
        <w:spacing w:line="360" w:lineRule="auto"/>
        <w:outlineLvl w:val="9"/>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2.3、随站消防器材装备配置清单</w:t>
      </w:r>
    </w:p>
    <w:p>
      <w:pPr>
        <w:pageBreakBefore w:val="0"/>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每个模块化小型消防站按如下参数配置随站消防器材和装备。</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69"/>
        <w:gridCol w:w="4636"/>
        <w:gridCol w:w="721"/>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noWrap/>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069" w:type="dxa"/>
            <w:shd w:val="clear" w:color="auto" w:fill="auto"/>
            <w:noWrap/>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p>
        </w:tc>
        <w:tc>
          <w:tcPr>
            <w:tcW w:w="463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技术要求和配置说明</w:t>
            </w:r>
          </w:p>
        </w:tc>
        <w:tc>
          <w:tcPr>
            <w:tcW w:w="721" w:type="dxa"/>
            <w:shd w:val="clear" w:color="auto" w:fill="auto"/>
            <w:noWrap/>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700" w:type="dxa"/>
            <w:tcBorders>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700" w:type="dxa"/>
            <w:tcBorders>
              <w:right w:val="single" w:color="auto" w:sz="4" w:space="0"/>
            </w:tcBorders>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消防头盔</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1、符合《消防头盔》（XF44-2015）；</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由盔壳、滑轨、缓冲层、舒适衬垫、佩戴装置、面罩、披肩等组成，用于消防员头部、面部及颈部的安全防护，应具备冲击吸收、耐穿透、耐燃烧、耐热、电绝缘等性能，可装配头灯，黄色，整体轻便，重心靠后，对头部无压迫感；</w:t>
            </w:r>
          </w:p>
          <w:p>
            <w:pPr>
              <w:pageBreakBefore w:val="0"/>
              <w:widowControl/>
              <w:kinsoku/>
              <w:wordWrap/>
              <w:overflowPunct/>
              <w:topLinePunct w:val="0"/>
              <w:autoSpaceDE/>
              <w:autoSpaceDN/>
              <w:bidi w:val="0"/>
              <w:adjustRightInd/>
              <w:snapToGrid/>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3、黄色，半盔，下颚带应为快拉设计，头围能在佩戴状态下调节；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1、头盔帽徽使用19消防大帽徽,规格为高5.9厘米、宽5.7厘米,采用TPU材质立体浮雕粘贴式。</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2、两侧粘贴弧形反光标识条，为耐高温材质，宽度为30mm±1mm，长度为226mm±2mm，弧形总高52mm±2mm；黄色头盔使用荧光桔红色反光标识条、红色头盔使用荧光黄色反光标识条。</w:t>
            </w:r>
          </w:p>
          <w:p>
            <w:pPr>
              <w:pageBreakBefore w:val="0"/>
              <w:widowControl/>
              <w:kinsoku/>
              <w:wordWrap/>
              <w:overflowPunct/>
              <w:topLinePunct w:val="0"/>
              <w:autoSpaceDE/>
              <w:autoSpaceDN/>
              <w:bidi w:val="0"/>
              <w:adjustRightInd/>
              <w:snapToGrid/>
              <w:outlineLvl w:val="9"/>
              <w:rPr>
                <w:rFonts w:hint="eastAsia" w:ascii="宋体" w:hAnsi="宋体" w:eastAsia="宋体" w:cs="宋体"/>
                <w:bCs/>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、印制永久性标签，标签内容至少包含：制造厂名称、产品名称及型号规格；生产日期和批号；执行标准编号等。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交货时提供国家认可的具备相关检测资质的检测机构出具的检测报告复印件，检测标准为《消防头盔》（XF44-2015）检验项目：（1）材料和结构（2）外观要求（3）冲击吸收能力（4）抗冲击加速度性能（5）耐穿透性能（6）耐燃烧性能（7）下颚带和披肩的阻燃性能（8）面罩阻燃性能（9）耐热性能（10）电绝缘性能（11）侧向刚性（12）下颚带抗拉强度（13）头盔佩戴装置稳定性（14）金属部件的耐腐蚀性（15）面罩抗冲击性能（16）面罩抗高速粒子冲击性能（17）面罩透光率（18）披肩防水性能（19）质量（20）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顶</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4顶红色，4顶黄色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消防员灭火防护服</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1、符合《消防员灭火防护服》（XF10-2014）；</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2、用于消防员上下躯干、头颈、手臂、腿的安全防护，应具备阻燃、抗湿、热稳定、耐高温等性能，配有DRD拖救装置，外层抗撕破，整体轻便；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3、防护服的重量（kg）≤3.0</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1、符合消防救援局《20 式消防员灭火防护服款式标识统型要求》规定。颜色：藏蓝色，潘通色号为 PANTONE 19-4013 TCX Dark Navy，色差≥3 级（按《纺细品 色牢度试验 评定变色用灰色样卡》GB/T250-2008 标准评判）。款式：为20式消防员灭火防护服作战款，背部设有风琴褶。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2、主体结构：上下分体式结构。作战款上衣和裤子间重叠部分应不小于 200mm。 衣领。衣领为立领，前部设护领，衣领内侧采用顺色贴肤舒适面料。反光标识带。上衣在胸部、下摆、袖口各设 1 条 360 度环形反光标识带，裤子在小腿部各设1条360度环形反光标志带。反光标志带宽度为 50.8mm（2 英寸），颜色为黄银黄。裤子裆部。裤子裆部采用一体式设计。裤子背带。配 H 型背带，背带应可调节长度，可拆卸。上衣前门襟拈链号型不小于 8 号。</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3、附属结构：口袋。上衣左胸外设电台立体口袋，门襟内侧设防水插袋，下摆设置外贴袋。大腿外侧各设工具袋 1 个。所有外口袋均设置漏水孔。标识魔术贴。左上臂外侧设 90mm×110mm 盾牌型魔术贴并配盾牌型标识。左胸设 19 消防软胸徽同形状魔术贴，用于粘 贴 19 消防员软胸徽或 19 消防干部软胸徽 。 右胸设90mm×57mm 长方形魔术贴并配消防指战员胸部标识。 袖口。袖口处采用圆弧形设计，外层本色布包边，设置收紧调节袢，并配置罗纹防护护腕，罗纹防护护腕开拇指孔，内部设置止水布。上衣门襟。上衣门襟魔术贴为贯通式。上衣下摆。上衣舒适层下摆设置止水布。</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裤脚口。裤脚口处采用圆弧形设计，内部设置止水布，内侧设置拈链，裤脚设耐磨材料包边。补强处理。肩、肘、膝部应采用耐磨层加厚处理，耐磨层应柔软且易于清洗。左右肩部设有两个挂袢。</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4、标识：主要有背部印字、胸部标识、左臂标识、右臂标识，标识具体设计按照相关规定执行。</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消防手套</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1、符合《消防手套》（XF7-2004 ）；</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2、用于消防员手部的安全防护，应具备阻燃、热防护、耐磨、耐切割、耐撕裂、耐机械穿刺、防水以及一定的防化性能，穿戴后五指灵活，掌心和背面具有抗刺穿力；</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3、防止脱手套时内衬跟出。</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1、颜色：手掌为黑色；手背藏蓝色，潘通色号为PANTONE 19-4013 TCX Dark Navy，色差≥3级（按《纺织品  色牢度试验 评定变色用灰色样卡》GB/T250-2008 标准评判）。</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标志：每只手套有永久性的布标标志。标志上的文字大小应不小于2mm，图形大小应不小于10mm（包括边框）。文字和图形用白底黑字的形式。布标尺寸为50×143mm（内布标误差长+-5mm,宽+-3mm），对折后居中缝于手背袖口折边处。</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3、在袖口部位采用皮或布等材质的非金属连接环，并配套金属挂钩。供货时，按照采购单位需求按不同大小型号提供。</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4、交货时提供国家认可的具备相关检测资质的检测机构出具的检测报告复印件，检测标准为《消防手套》（XF7-2004 ），检验项目：（1） 阻燃性能 （2） 整体热防护性能 （3） 耐热性能 （4） 耐磨性能（循环次数） （5） 割破力 （6） 撕破强力 （7） 刺穿力 （8） 耐静水压性能 （9） 整体防水性能 （10）灵巧性能 （11）握紧性能 （12）穿戴性能 （13）标志。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副</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消防安全腰带</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1、符合《消防用防坠落装备》（XF 494-2023）；</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2、用于消防员登梯作业和逃生自救，质量较轻；</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3、有2个D型环。</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1、腰带由织带、带扣、D型环和移动板组成，主要采用尼龙和铝合金材质，采取固定与移动相结合的D型环设计，主体颜色为藏蓝色，插扦改良式。</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2、腰带织带颜色为藏蓝色， 潘通色号为PANTONE 19-4013 TCX Dark Navy，色差≥3级（按《纺织品  色牢度试验 评定变色用灰色样卡》）。带扣、D型环颜色为铝本色。</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3、腰带设有永久性标签，提供如下内容：制造厂名称、地址、产品名称及型号、生产日期等，缝于腰内侧。</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bCs/>
                <w:color w:val="auto"/>
                <w:kern w:val="0"/>
                <w:sz w:val="24"/>
                <w:szCs w:val="24"/>
                <w:highlight w:val="none"/>
              </w:rPr>
              <w:t>、</w:t>
            </w:r>
            <w:r>
              <w:rPr>
                <w:rFonts w:hint="eastAsia" w:ascii="宋体" w:hAnsi="宋体" w:eastAsia="宋体" w:cs="宋体"/>
                <w:color w:val="auto"/>
                <w:kern w:val="0"/>
                <w:sz w:val="24"/>
                <w:szCs w:val="24"/>
                <w:highlight w:val="none"/>
              </w:rPr>
              <w:t>交货时提供国家认可的具备相关检测资质的检测机构出具的检测报告复印件，检测依据为《消防用防坠落装备》（XF 494-2023）， 检验项目：（1）静负荷性能（2）抗冲击性能（3）耐高温性能（4）金属零件耐腐蚀性能（5）标志。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消防员灭火防护靴</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1、符合《消防员灭火防护靴》（XF6-2004）；</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2、用于消防员脚、小腿部的安全防护，应具备防水性、防刺、防砸、防化学药品及电绝缘等性能，整体轻便。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1、消防员灭火防护靴由靴帮和靴底构成，主要材质为耐高温阻燃耐酸碱橡胶，主体颜色为黑色和黄色，黑色潘通色号为PANTONE Black 6C，黄色潘通色号为PANTONE 7408C，靴跟银色反光标识潘通色号为PANTONE Cool Gray 8C。色差≥3级。</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2、每只灭火防护靴需印制永久性标签，标签内容如下：制造厂名称、产品名称及型号规格；生产日期和批号；执行标准编号等。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消防员灭火防护靴整体结构：靴帮由外到里分为帮面、防切割层和隔热舒适层三层结构。靴帮和靴底隔热舒适层（俗称靴内衬）采用棉布和氯丁橡胶发泡海绵复合面料。保护包头采用轻质铝合金或非金属复合材料。每双防护靴配备两双鞋垫。</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4、交货时提供国家认可的具备相关检测资质的检测机构出具的检测报告复印件，检测依据为《消防员灭火防护靴》（XF6-2004），检验项目 ：（1）质量 （2）外观要求 （3）靴底耐油性能 （4）金属衬垫的耐腐蚀性能（5）防砸性能（6）抗刺穿性能（7）抗切割性能 （8）电绝缘性能（9）隔热性能（10）抗辐射热渗透性能（11）防水性能 （12）防滑性能 （13）标志（14）包装。</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正压式消防空气呼吸器</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1、符合《正压式消防空气呼吸器》(XF124-2013)</w:t>
            </w:r>
            <w:r>
              <w:rPr>
                <w:rFonts w:hint="eastAsia" w:ascii="宋体" w:hAnsi="宋体" w:eastAsia="宋体" w:cs="宋体"/>
                <w:color w:val="auto"/>
                <w:kern w:val="0"/>
                <w:sz w:val="24"/>
                <w:szCs w:val="24"/>
                <w:highlight w:val="none"/>
                <w:lang w:eastAsia="zh-CN"/>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2、用于消防员在缺氧、有毒有害环境中的呼吸防护，应具备面罩除雾低压报警、阻燃、耐高温、抗腐蚀等性能，采用6.8L碳纤维复合气瓶整体轻便</w:t>
            </w:r>
            <w:r>
              <w:rPr>
                <w:rFonts w:hint="eastAsia" w:ascii="宋体" w:hAnsi="宋体" w:eastAsia="宋体" w:cs="宋体"/>
                <w:color w:val="auto"/>
                <w:kern w:val="0"/>
                <w:sz w:val="24"/>
                <w:szCs w:val="24"/>
                <w:highlight w:val="none"/>
                <w:lang w:eastAsia="zh-CN"/>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3、电子部件应达到与整体相同的防水等级</w:t>
            </w:r>
            <w:r>
              <w:rPr>
                <w:rFonts w:hint="eastAsia" w:ascii="宋体" w:hAnsi="宋体" w:eastAsia="宋体" w:cs="宋体"/>
                <w:bCs/>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1、所投产品主要组成部件包括但不限于全面罩、供气阀、减压器、警报器、背托、压力平视装置等。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3、气瓶阀必须配备气体限流装置。</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交货时提供国家认可的具备相关检测资质的检测机构出具的检测报告复印件，检测依据为《正压式消防空气呼吸器》(XF124-2013)，检验项目:(1)结构要求(2)材料要求(3)佩戴质量(4)整机气密性能(5)动态呼吸阻力(6)耐高温性能(7)耐低温性能</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佩戴式防爆照明灯</w:t>
            </w:r>
          </w:p>
        </w:tc>
        <w:tc>
          <w:tcPr>
            <w:tcW w:w="4636" w:type="dxa"/>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（一）基本功能需求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1、符合《消防员照明灯具》（GB 30734-2014）；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2、用于消防员在各种易燃易爆场所作业时使用，应具备防爆、防水、耐高温、耐腐蚀、亮度高、工作时间长等性能，必需采用可充电电池，灯具的质量（含电池和附件）较轻，灯具应具有强、弱光切换功能；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（二）外观标识、检测项目等要求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1、防爆性能需符合GB/T3836.1-2021《爆炸性环境 第1部分：设备 通用要求》标准要求，防爆等级不低于ExibllCT4。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2、灯头部位标有产品型号、防护等级、防爆标志、生产日期、生产厂名称等内容的永久性标志。</w:t>
            </w:r>
            <w:r>
              <w:rPr>
                <w:rFonts w:hint="eastAsia" w:ascii="宋体" w:hAnsi="宋体" w:eastAsia="宋体" w:cs="宋体"/>
                <w:color w:val="auto"/>
                <w:kern w:val="0"/>
                <w:sz w:val="24"/>
                <w:szCs w:val="24"/>
                <w:highlight w:val="none"/>
              </w:rPr>
              <w:br w:type="textWrapping"/>
            </w:r>
            <w:r>
              <w:rPr>
                <w:rFonts w:hint="eastAsia" w:ascii="宋体" w:hAnsi="宋体" w:eastAsia="宋体" w:cs="宋体"/>
                <w:bCs/>
                <w:color w:val="auto"/>
                <w:kern w:val="0"/>
                <w:sz w:val="24"/>
                <w:szCs w:val="24"/>
                <w:highlight w:val="none"/>
              </w:rPr>
              <w:t>3</w:t>
            </w:r>
            <w:r>
              <w:rPr>
                <w:rFonts w:hint="eastAsia" w:ascii="宋体" w:hAnsi="宋体" w:eastAsia="宋体" w:cs="宋体"/>
                <w:color w:val="auto"/>
                <w:kern w:val="0"/>
                <w:sz w:val="24"/>
                <w:szCs w:val="24"/>
                <w:highlight w:val="none"/>
              </w:rPr>
              <w:t>、交货时提供国家认可的具备相关检测资质的检测机构出具的检测报告复印件并加盖投标人公章，检测标准为《消防员照明灯具》（GB 30734-2014）(检验项目：（1）一般要求 （2）功能要求（3）外观及装配（4）质量（5）照度（6）连续稳定工作时间（7）低电压报警时间（8）低电压状态下连续工作时间（9）绝缘性能（10）耐电压性能（11）低温性能 （12）高温性能（13）交变湿热性能（14）低温贮存（15）高温贮存（16）抗震动性能（17）抗跌落性能（18）开关可靠性（19）外壳防护等级（20）灯具标志（21）充电器标志。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消防员呼救器</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1、符合《消防员呼救器》（GB27900-2011）；</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2、用于消防员遇险时自动发出声光报警信号，应具备良好的防水、防爆、阻燃以及抗冲击性能；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3、常规型质量不大于220克，挂袢应与灭火防护服相匹配，佩戴后不易脱落；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1、产品上必须有生产厂家、型号及生产日期的永久性标记。</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2、交货时提供国家认可的具备相关检测资质的检测机构出具的检测报告复印件并加盖投标人公章，检测依据为《消防员呼救器》（GB27900-2011），检验项目：（1）报警功能（2） 低电压告警功能（3）转换开关检查（4）允许静止时间（5）预报警时间（6）预报警声强（7）报警声强（8）低电压告警声强（9）连续开机时间（10）连续报警时间（11）质量（12）绝缘性能（13）防水性能（14）耐气候环境性能 （15）耐机械环境性能 （16）发光亮度 （17）产品标志。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应急逃生自救安全绳</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1、符合《消防用防坠落装备》（XF 494-2004）；</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2、用于消防员在灭火、抢险救援作业或日常训练中自救和救人使用，配有安全钩、下降器、绳包，最小破断强度符合标准要求；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1、安全绳4m、12m处设置宽度</w:t>
            </w:r>
            <w:r>
              <w:rPr>
                <w:rFonts w:hint="eastAsia" w:ascii="宋体" w:hAnsi="宋体" w:eastAsia="宋体" w:cs="宋体"/>
                <w:bCs/>
                <w:color w:val="auto"/>
                <w:kern w:val="0"/>
                <w:sz w:val="24"/>
                <w:szCs w:val="24"/>
                <w:highlight w:val="none"/>
              </w:rPr>
              <w:t>2cm</w:t>
            </w:r>
            <w:r>
              <w:rPr>
                <w:rFonts w:hint="eastAsia" w:ascii="宋体" w:hAnsi="宋体" w:eastAsia="宋体" w:cs="宋体"/>
                <w:color w:val="auto"/>
                <w:kern w:val="0"/>
                <w:sz w:val="24"/>
                <w:szCs w:val="24"/>
                <w:highlight w:val="none"/>
              </w:rPr>
              <w:t>的红色标识，8m处设置宽度</w:t>
            </w:r>
            <w:r>
              <w:rPr>
                <w:rFonts w:hint="eastAsia" w:ascii="宋体" w:hAnsi="宋体" w:eastAsia="宋体" w:cs="宋体"/>
                <w:bCs/>
                <w:color w:val="auto"/>
                <w:kern w:val="0"/>
                <w:sz w:val="24"/>
                <w:szCs w:val="24"/>
                <w:highlight w:val="none"/>
              </w:rPr>
              <w:t>2cm</w:t>
            </w:r>
            <w:r>
              <w:rPr>
                <w:rFonts w:hint="eastAsia" w:ascii="宋体" w:hAnsi="宋体" w:eastAsia="宋体" w:cs="宋体"/>
                <w:color w:val="auto"/>
                <w:kern w:val="0"/>
                <w:sz w:val="24"/>
                <w:szCs w:val="24"/>
                <w:highlight w:val="none"/>
              </w:rPr>
              <w:t>的蓝色标识。</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2、绳皮主体颜色为黄色，并带有清晰的反光标识。</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3、在绳包上印制永久性标签，标签内应有如下内容：制造厂名称、型号、生产日期、各部件执行标准及数量等。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4、主要配置：高强度航空铝材质安全钩2个，16M安全绳一根</w:t>
            </w:r>
            <w:r>
              <w:rPr>
                <w:rFonts w:hint="eastAsia" w:ascii="宋体" w:hAnsi="宋体" w:eastAsia="宋体" w:cs="宋体"/>
                <w:bCs/>
                <w:color w:val="auto"/>
                <w:kern w:val="0"/>
                <w:sz w:val="24"/>
                <w:szCs w:val="24"/>
                <w:highlight w:val="none"/>
              </w:rPr>
              <w:t>直径为8mm</w:t>
            </w:r>
            <w:r>
              <w:rPr>
                <w:rFonts w:hint="eastAsia" w:ascii="宋体" w:hAnsi="宋体" w:eastAsia="宋体" w:cs="宋体"/>
                <w:color w:val="auto"/>
                <w:kern w:val="0"/>
                <w:sz w:val="24"/>
                <w:szCs w:val="24"/>
                <w:highlight w:val="none"/>
              </w:rPr>
              <w:t>，垫布1块，高强度航空铝材质下降器1个，连接扁带1根，排绳器1个，绳包1个，各部件间均能匹配使用并处于预连接状态。</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5、交货时提供国家认可的具备相关检测资质的检测机构出具的检测报告复印件，检测依据为《消防用防坠落装备》（XF 494-2004），安全绳的检验项目：1.主型产品（1）直径（2）最小破断强度（3）延伸率（4）耐高温性能（5）标志 2.分型产品（1） 直径（2）最小破断强度（3）延伸率（4）标志；3.安全钩的检验项目检验项目：（1）耐腐蚀性能（2）破断强度（3）标志；4.下降器（1）外观和加工质量（2）耐腐蚀性能（3）工作负荷（4）极限负荷。</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消防腰斧</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1、符合《消防腰斧》（XF630－2006）；</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2、采用高材质工具钢成型，用于消防员手动破拆非带电障碍物，应具备较强的耐腐蚀性能，质量较轻；</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1、消防腰斧设有永久性标签，标签内有如下内容：制造厂名称、型号、生产日期等。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color w:val="auto"/>
                <w:kern w:val="0"/>
                <w:sz w:val="24"/>
                <w:szCs w:val="24"/>
                <w:highlight w:val="none"/>
              </w:rPr>
              <w:t>交货时提供国家认可的具备相关检测资质的检测机构出具的检测报告复印件，检验依据 XF630-2006《消防腰斧》 检验项目：(1) 基本尺寸(2)质量(3)抗冲击性能(4)平刃砍断性能(5)尖刃和柄刃凿击性能 (6)耐盐雾腐蚀性能(7) 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消防员灭火防护头套</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1、符合《消防员灭火防护头套》（XF869-2010）；</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2、用于消防员头部、侧面部以及颈部的安全防护，应具备较强的阻燃、热稳定性能，质量较轻；</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3、区分头围。</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1、消防员灭火防护头套颜色为白色，永久性标签缝制在头套内侧，缝制位置是头套后部与防护服领口内的重叠部位，标签上应提供如下内容：制造厂名称、地址、产品名称及型号、生产日期和批号等。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2、交货时提供国家认可的具备相关检测资质的检测机构出具的检测报告复印件，检测依据为《消防员灭火防护头套》（XF869-2010），检验项目：（1）保护区域（2）面部开口（3）面料阻燃性能（4）面料热稳定性能 （5）面料抗起球性能（6）面料水洗尺寸变化率（7）面料甲醛含量（8）面料 PH 值 （9）面料异味（10）面料单位面积质量（11）缝纫线耐高温性能（12）接缝强力（13）针距密度（14）质量（15）外观质量（16）标志。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消防员抢险救援头盔</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1、符合《消防员抢险救援服装》（XF633-2006）；</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2、由盔壳、滑轨、缓冲层、舒适衬垫、佩戴装置等组成，用于消防员参与抢险救援时头部的安全防护，应具备冲击吸收、耐穿透、耐燃烧、电绝缘等性能，可装配头灯，整体轻便，重心靠后，对头部无压迫感；</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3、橘红色，下颚带应为快拉设计，头围能在佩戴状态下调节；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color w:val="auto"/>
                <w:kern w:val="0"/>
                <w:sz w:val="24"/>
                <w:szCs w:val="24"/>
                <w:highlight w:val="none"/>
              </w:rPr>
              <w:t>、消防员抢险救援头盔（战斗款）为橘红色，潘通色号为PANTONE 17-1456 TCX Tigerlily，色差≥3级。滑块和配饰为黑色，潘通色号为PANTONE 19-4007 TPX，色差≥3级。</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2、两侧粘贴弧形反光标识条带，颜色为荧光黄色，宽度为30±1mm，长度为226±2mm，弧形总高52±1mm。荧光黄色潘通色号为PANTONE 809C，色差≥2级，入射角5°，观察角0.2°时初始逆反射系数≥100 cd/(1x*㎡)。</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3、头盔后部内侧包含永久性标识：型号，规格，生产厂的名称或商标，生产厂的头盔识别编号、制造年月，检验合格标记等。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、交货时提供国家认可的具备相关检测资质的检测机构出具的检测报告复印件，检测标准为《消防员抢险救援服装》（XF633-2006）检验项目 ：（1）冲击性能（2）耐穿透性能（3）热稳定性能（4）电绝缘性能（5）侧向刚性（6）下颏带抗拉强度（7）外观质量。</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顶</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消防员抢险救援手套</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一、总体要求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1、产品符合XF 633《消防员抢险救援防护服装》标准要求；交货时提供所投产品第三方检验机构出具的检验报告，出具报告的检验检测机构应取得市场监督管理部门的资质认定。</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2、耐磨性能：掌心面材料在(9±0.2) kPa 压力下，经5000 次循环摩擦后，不被磨穿。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3、抗切割性能：掌心面和背面材料的割破力不小于5N。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4、抗机械刺穿性能：掌心面和背面材料的抗刺穿力不小于90 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5、阻燃性能：防护层面料损毁长度不大于100 mm，续燃时间不大于2 s，无熔融、滴落现象。</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6、热稳定性能：整只抢险救援手套在（180±5）℃试验温度下保持5 min，表面无明显变化，且无熔融、熔滴和剥离现象，其在长度和宽度方向上的收缩率不大于8％，能保持正常穿戴。</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7、灵巧性能：徒手控制百分比不大于200%。</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8、抓握性能：戴手套与未戴手套的拉重力比不小于80%。</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9、穿戴性能：穿戴时间不超过10 s。</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10、外观质量：抢险救援手套的外观质量符合以下要求：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 缝线顺直平伏、针距匀称、松紧适宜，无跳针、开线、断线；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 无橡筋断裂、长短不一、纹路歪斜、前后松紧不一以及拇指部位不正；</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 标签位置正确，标志准确清晰。</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二、款式要求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1、抢险救援手套为五指分离式，手套本体环形延伸，袖筒长度超出腕骨不少于25mm，手套口的设计能限制杂物进入手套内，手套与抢险救援服的袖口配合穿戴。</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2、抢险救援手套主体颜色为橘红色和黑色，黑色潘通色号为PANTONE 19-4003 TCXBlack Onyx，橘红色潘通色号为PANTONE 17-1456 TCX Tigerlily。</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3、手掌结构符合以下要求：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分为内层、外层和加强层三层结构设计，在食指指尖增设触屏功能</w:t>
            </w:r>
            <w:r>
              <w:rPr>
                <w:rFonts w:hint="eastAsia" w:ascii="宋体" w:hAnsi="宋体" w:eastAsia="宋体" w:cs="宋体"/>
                <w:bCs/>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内层采用克重为（210±20）g 芳纶针织布，颜色为黄色。</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外层采用优质反绒头层牛皮，牛皮厚度为（1.0±0.2）mm，颜色为黑色，手掌</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指尖一片式翻转手指背，牛皮覆盖手指指甲、小指、食指外侧面和虎口部位。</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副</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消防员抢险救援靴</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1、符合《消防员抢险救援防护服装》（XF633-2006）；</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2、用于消防员参与抢险救援时脚、踝、小腿部的安全防护，应具备阻燃、隔热、耐高温、防滑、抗刺穿、耐高压、抗切割等性能，整体较为轻便。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bCs/>
                <w:color w:val="auto"/>
                <w:kern w:val="0"/>
                <w:sz w:val="24"/>
                <w:szCs w:val="24"/>
                <w:highlight w:val="none"/>
              </w:rPr>
              <w:t>、</w:t>
            </w:r>
            <w:r>
              <w:rPr>
                <w:rFonts w:hint="eastAsia" w:ascii="宋体" w:hAnsi="宋体" w:eastAsia="宋体" w:cs="宋体"/>
                <w:color w:val="auto"/>
                <w:kern w:val="0"/>
                <w:sz w:val="24"/>
                <w:szCs w:val="24"/>
                <w:highlight w:val="none"/>
              </w:rPr>
              <w:t>布标：离每只鞋舌里上口边沿约23mm±2mm处居中熨烫白布标一枚,布标上有产品名称、鞋号、检验号、生产日期及承制单位名称。字迹应清晰，排列均匀。经过检验合格的成品，在布标检验号部位，用不易褪色的色剂盖检验章和检验员代号。</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2、消防员抢险救援靴主体结构：从靴内后跟中央起至靴口最低处的高度不低于200 mm；靴内底防刺穿层覆盖整个靴内底，不位于保护包头卷边上方，不与之接触，在不损坏整靴的情况下不能被移动；靴头保护包头深度从靴尖量起不小于50 mm（260mm靴子）；靴鼻处能限制杂物进入靴内；靴内怀设有拉链；靴帮内脚踝处设有护踝片；后靴筒荧光黄色反光标志。</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消防员抢险救援靴附属结构：靴身内、外侧有高频和激光装饰图案；靴身上口第一个鞋眼处配有草席纹黄牛皮；靴身配有橘红色鞋带；靴身内怀配有不少于两颗单向防水透气眼；靴舌上端配有用于隐藏多余鞋带的饰片袋；靴筒后部设带反光标志带的提手。</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5、交货时提供国家认可的具备相关检测资质的检测机构出具的检测报告复印件，检测标准为《消防员抢险救援服装》（XF633-2006）检验项目：（1）质量（2）抗穿刺性能（3）热稳定性能。</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消防员抢险救援服</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1、产品符合XF 633《消防员抢险救援防护服装》标准要求，交货时提供所投产品第三方检验检测机构出具的检验报告，出具报告的检验检测机构应取得市场监督管理部门的资质认定。</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2、夏款抢险救援服包括上衣、裤子、行军帽和腰带，服装款式、号型等应符合《消防救援局关于印发&lt;20 式消防员灭火防护服款式标识统型要求&gt;和&lt;20 式消防员抢险救援防护服款式标识统型要求&gt;的通知》(应急消[2020]357 号)中的统型要求。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3、服装面料：</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采用单层织物，为原液染色芳纶、氨纶、阻燃粘胶纤维等交织而成的双重组织；具备防静电、阻燃、耐磨、轻便、柔软、弹性，外层拒水防油、内层吸湿等性能，单位面积质量（200±10）g/㎡。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阻燃性能：防护层面料与肩部、膝部、臀部、肘部等部位的加强材料，经过25次洗涤后进行阻燃性能试验，损毁长度不大于100mm，续燃时间不大于2s 且无熔融、滴落现象。</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断裂强力：面料经、纬向干态断裂强力不小于650N。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3.4.撕破强力：面料经、纬向撕破强力不小于100N。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3.5.热稳定性能：经（180±5）℃热稳定性能试验后，防护层面料与肩部、膝部、臀部、肘部等部位的加强材料沿经、纬方向尺寸变化率不大于5%，且试样表面无明显变化。</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手持电台</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对讲机应具有中华人民共和国工业和信息化部颁发的《无线电发射设备型号核准证》（型号核准证证书必须在有效期内），</w:t>
            </w:r>
            <w:r>
              <w:rPr>
                <w:rFonts w:hint="eastAsia" w:ascii="宋体" w:hAnsi="宋体" w:eastAsia="宋体" w:cs="宋体"/>
                <w:color w:val="auto"/>
                <w:kern w:val="0"/>
                <w:sz w:val="24"/>
                <w:szCs w:val="24"/>
                <w:highlight w:val="none"/>
              </w:rPr>
              <w:t>交货时</w:t>
            </w:r>
            <w:r>
              <w:rPr>
                <w:rFonts w:ascii="宋体" w:hAnsi="宋体" w:eastAsia="宋体" w:cs="宋体"/>
                <w:color w:val="auto"/>
                <w:kern w:val="0"/>
                <w:sz w:val="24"/>
                <w:szCs w:val="24"/>
                <w:highlight w:val="none"/>
              </w:rPr>
              <w:t>提供证书复印件加盖投标单位公章</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对讲机须具有公安部检测中心出具的设备检测报告，</w:t>
            </w:r>
            <w:r>
              <w:rPr>
                <w:rFonts w:hint="eastAsia" w:ascii="宋体" w:hAnsi="宋体" w:eastAsia="宋体" w:cs="宋体"/>
                <w:color w:val="auto"/>
                <w:kern w:val="0"/>
                <w:sz w:val="24"/>
                <w:szCs w:val="24"/>
                <w:highlight w:val="none"/>
              </w:rPr>
              <w:t>交货时</w:t>
            </w:r>
            <w:r>
              <w:rPr>
                <w:rFonts w:ascii="宋体" w:hAnsi="宋体" w:eastAsia="宋体" w:cs="宋体"/>
                <w:color w:val="auto"/>
                <w:kern w:val="0"/>
                <w:sz w:val="24"/>
                <w:szCs w:val="24"/>
                <w:highlight w:val="none"/>
              </w:rPr>
              <w:t>提供检测报告复印件</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对讲机应具有良好的可靠性及耐用性，须符合标准GJB 150A-2009，能够在各种恶劣的工作环境中发挥优异性能</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对讲机须具备良好的防水防尘功能，防尘防水等级≥IP67</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对讲机须具备多种工作模式，能够在不同的网络制式下正常使用，适应不同的应用场景，至少具备模拟常规、模拟集群、数字常规和数字集群4种工作模式</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对讲机须具备工作模式自动切换功能，能够数字集群和模拟集群、常规之间的自适应，满足复杂环境下的应用需求</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对讲机须内置定位模块，支持单北斗定位功能，具备多种位置信息上传能力，包含但不限于位置信息主动上传功能、业务信道发送对讲机位置信息功能、当前位置信息查询功能</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对讲机需具备倒放触发告警功能</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对讲机须支持在通话过程中通过旋转组旋钮拆线功能</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对讲机须在支持时间显示功能，能够在待机界面显示时间信息</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对讲机须具备一键数传与短信查询，拥有便捷的一键操作功能，能够实现状态快速报备</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对讲机须支持越区切换功能，当语音通话过程中，当终端检测下行信道质量较差，立即检查邻站信号。当邻站信号满足切换条件，会切换到邻站继续发射。能够实现待机、接收、发射状态下的越区</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产品需配备≥2000mAh电池，电池平均工作时间（5-5-90工作循环，高功率发射）≥15个小时</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对讲机应具有大屏显示，屏幕尺寸≥1.8吋，显示屏文字显示≥6行</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15</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对讲机组呼容量≥1024，组群数量≥64，每个组群可添加组数≥128</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、频率范围</w:t>
            </w:r>
            <w:r>
              <w:rPr>
                <w:rFonts w:ascii="宋体" w:hAnsi="宋体" w:eastAsia="宋体" w:cs="宋体"/>
                <w:color w:val="auto"/>
                <w:kern w:val="0"/>
                <w:sz w:val="24"/>
                <w:szCs w:val="24"/>
                <w:highlight w:val="none"/>
              </w:rPr>
              <w:t>350-400MHz</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、尺寸：≤</w:t>
            </w:r>
            <w:r>
              <w:rPr>
                <w:rFonts w:ascii="宋体" w:hAnsi="宋体" w:eastAsia="宋体" w:cs="宋体"/>
                <w:color w:val="auto"/>
                <w:kern w:val="0"/>
                <w:sz w:val="24"/>
                <w:szCs w:val="24"/>
                <w:highlight w:val="none"/>
              </w:rPr>
              <w:t>125×55×40mm</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strike/>
                <w:color w:val="auto"/>
                <w:kern w:val="0"/>
                <w:sz w:val="24"/>
                <w:szCs w:val="24"/>
                <w:highlight w:val="none"/>
              </w:rPr>
            </w:pPr>
            <w:r>
              <w:rPr>
                <w:rFonts w:ascii="宋体" w:hAnsi="宋体" w:eastAsia="宋体" w:cs="宋体"/>
                <w:color w:val="auto"/>
                <w:kern w:val="0"/>
                <w:sz w:val="24"/>
                <w:szCs w:val="24"/>
                <w:highlight w:val="none"/>
              </w:rPr>
              <w:t>18</w:t>
            </w:r>
            <w:r>
              <w:rPr>
                <w:rFonts w:hint="eastAsia" w:ascii="宋体" w:hAnsi="宋体" w:eastAsia="宋体" w:cs="宋体"/>
                <w:color w:val="auto"/>
                <w:kern w:val="0"/>
                <w:sz w:val="24"/>
                <w:szCs w:val="24"/>
                <w:highlight w:val="none"/>
              </w:rPr>
              <w:t>、重量：≤3</w:t>
            </w:r>
            <w:r>
              <w:rPr>
                <w:rFonts w:ascii="宋体" w:hAnsi="宋体" w:eastAsia="宋体" w:cs="宋体"/>
                <w:color w:val="auto"/>
                <w:kern w:val="0"/>
                <w:sz w:val="24"/>
                <w:szCs w:val="24"/>
                <w:highlight w:val="none"/>
              </w:rPr>
              <w:t>60g</w:t>
            </w:r>
            <w:r>
              <w:rPr>
                <w:rFonts w:hint="eastAsia" w:ascii="宋体" w:hAnsi="宋体" w:eastAsia="宋体" w:cs="宋体"/>
                <w:color w:val="auto"/>
                <w:kern w:val="0"/>
                <w:sz w:val="24"/>
                <w:szCs w:val="24"/>
                <w:highlight w:val="none"/>
              </w:rPr>
              <w:t>。</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手持电台扩音器</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1、尺寸：≤</w:t>
            </w:r>
            <w:r>
              <w:rPr>
                <w:rFonts w:ascii="宋体" w:hAnsi="宋体" w:eastAsia="宋体" w:cs="宋体"/>
                <w:color w:val="auto"/>
                <w:kern w:val="0"/>
                <w:sz w:val="24"/>
                <w:szCs w:val="24"/>
                <w:highlight w:val="none"/>
              </w:rPr>
              <w:t>87*63*44mm</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2、重量：</w:t>
            </w:r>
            <w:r>
              <w:rPr>
                <w:rFonts w:ascii="宋体" w:hAnsi="宋体" w:eastAsia="宋体" w:cs="宋体"/>
                <w:color w:val="auto"/>
                <w:kern w:val="0"/>
                <w:sz w:val="24"/>
                <w:szCs w:val="24"/>
                <w:highlight w:val="none"/>
              </w:rPr>
              <w:t>约160g</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3、接口：3</w:t>
            </w:r>
            <w:r>
              <w:rPr>
                <w:rFonts w:ascii="宋体" w:hAnsi="宋体" w:eastAsia="宋体" w:cs="宋体"/>
                <w:color w:val="auto"/>
                <w:kern w:val="0"/>
                <w:sz w:val="24"/>
                <w:szCs w:val="24"/>
                <w:highlight w:val="none"/>
              </w:rPr>
              <w:t>.5mm</w:t>
            </w:r>
            <w:r>
              <w:rPr>
                <w:rFonts w:hint="eastAsia" w:ascii="宋体" w:hAnsi="宋体" w:eastAsia="宋体" w:cs="宋体"/>
                <w:color w:val="auto"/>
                <w:kern w:val="0"/>
                <w:sz w:val="24"/>
                <w:szCs w:val="24"/>
                <w:highlight w:val="none"/>
              </w:rPr>
              <w:t>接口。</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、连接头：</w:t>
            </w:r>
            <w:r>
              <w:rPr>
                <w:rFonts w:ascii="宋体" w:hAnsi="宋体" w:eastAsia="宋体" w:cs="宋体"/>
                <w:color w:val="auto"/>
                <w:kern w:val="0"/>
                <w:sz w:val="24"/>
                <w:szCs w:val="24"/>
                <w:highlight w:val="none"/>
              </w:rPr>
              <w:t>16pin鸭嘴头</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、麦克风灵敏度：</w:t>
            </w:r>
            <w:r>
              <w:rPr>
                <w:rFonts w:ascii="宋体" w:hAnsi="宋体" w:eastAsia="宋体" w:cs="宋体"/>
                <w:color w:val="auto"/>
                <w:kern w:val="0"/>
                <w:sz w:val="24"/>
                <w:szCs w:val="24"/>
                <w:highlight w:val="none"/>
              </w:rPr>
              <w:t>-42±3dB@1kHz 3.0V</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2.2K, 0dB=1V/Pa</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、防护等级：≥</w:t>
            </w:r>
            <w:r>
              <w:rPr>
                <w:rFonts w:ascii="宋体" w:hAnsi="宋体" w:eastAsia="宋体" w:cs="宋体"/>
                <w:color w:val="auto"/>
                <w:kern w:val="0"/>
                <w:sz w:val="24"/>
                <w:szCs w:val="24"/>
                <w:highlight w:val="none"/>
              </w:rPr>
              <w:t>IP67</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、工作温度范围：</w:t>
            </w:r>
            <w:r>
              <w:rPr>
                <w:rFonts w:ascii="宋体" w:hAnsi="宋体" w:eastAsia="宋体" w:cs="宋体"/>
                <w:color w:val="auto"/>
                <w:kern w:val="0"/>
                <w:sz w:val="24"/>
                <w:szCs w:val="24"/>
                <w:highlight w:val="none"/>
              </w:rPr>
              <w:t>-30~60°℃</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strike/>
                <w:color w:val="auto"/>
                <w:kern w:val="0"/>
                <w:sz w:val="24"/>
                <w:szCs w:val="24"/>
                <w:highlight w:val="none"/>
              </w:rPr>
            </w:pP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、储存温度范围：</w:t>
            </w:r>
            <w:r>
              <w:rPr>
                <w:rFonts w:ascii="宋体" w:hAnsi="宋体" w:eastAsia="宋体" w:cs="宋体"/>
                <w:color w:val="auto"/>
                <w:kern w:val="0"/>
                <w:sz w:val="24"/>
                <w:szCs w:val="24"/>
                <w:highlight w:val="none"/>
              </w:rPr>
              <w:t>-40~85°℃</w:t>
            </w:r>
            <w:r>
              <w:rPr>
                <w:rFonts w:hint="eastAsia" w:ascii="宋体" w:hAnsi="宋体" w:eastAsia="宋体" w:cs="宋体"/>
                <w:color w:val="auto"/>
                <w:kern w:val="0"/>
                <w:sz w:val="24"/>
                <w:szCs w:val="24"/>
                <w:highlight w:val="none"/>
              </w:rPr>
              <w:t>。</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消防腰斧套</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1、用于消防员携带消防腰斧，材质：帆布。</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消防员防蜂服</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一、总体要求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1.1用于防蜂类等昆虫侵袭的专用防护。</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1.2技术性能符合XF3008-2020《消防员防蜂服》标准的规定。</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1.3防蜂服由头盔、透明通风头罩、上衣、裤子、防穿刺手套和靴子等组成。</w:t>
            </w:r>
          </w:p>
          <w:p>
            <w:pPr>
              <w:pStyle w:val="27"/>
              <w:pageBreakBefore w:val="0"/>
              <w:kinsoku/>
              <w:wordWrap/>
              <w:overflowPunct/>
              <w:topLinePunct w:val="0"/>
              <w:autoSpaceDE/>
              <w:autoSpaceDN/>
              <w:bidi w:val="0"/>
              <w:adjustRightInd/>
              <w:snapToGrid/>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1.4防蜂服配有具备开关功能的降温风扇，并单独配备储电用充电宝1块</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1.5防蜂服本体颜色为白色。</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二、性能要求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2.1本体面料</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2.1.1抗蛰刺性能：抗蛰刺力≥0.4N。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2.1.2阻燃性能：经、纬向续燃时间不应大于2S)，经、纬向损毁长度不应大于100mm，无熔融、滴落现象。</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2.1.3耐磨性能：在9kPa的压力下，经2000次不应被磨穿。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2.1.4断裂强力：经、纬不应小于650N。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2.1.5撕裂（撕破）强力：经、纬不应小于60N。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2.1.6甲醛含量：不应大于75mg/kg。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2.1.7 PH值：4.0-8.5。</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2.1.8 表面抗湿性能：沾水等级不低于3级。</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2.1.9拒油性能：不低于3级。</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2.1.10接缝断裂强力不应小于500N。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2.2头罩</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2.2.1头罩面部孔径：孔洞孔径不应大于1.0mm。</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2.3、手套</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2.3.1抗蛰刺性能：抗蛰刺力不应小于0.6N。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2.3.2耐切割性能：割破力＞2N。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2.3.3撕破强力：掌心和背面材料撕破强力不应小于50N。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2.3.4灵巧性能：不低于30S内3次拾取钢棒的直径9.5mm。</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2.4靴子</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2.4.1靴帮材料的最大抗穿刺力不应小于35N。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2.4.3电绝缘性能：击穿电压＞5000V时，泄漏电流应小于3mA。</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2.5、整套质量：不应大于4.2KG。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三、其他要求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3.1交货时须提供省级（含）以上检验机构出具的检验检测报告复印件。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3.2每套防蜂服应设置一个永久性的产品标签。</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3.3每套防蜂服配备一个携行包。</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消防通用安全绳</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w:t>
            </w:r>
            <w:r>
              <w:rPr>
                <w:rFonts w:ascii="宋体" w:hAnsi="宋体" w:eastAsia="宋体" w:cs="宋体"/>
                <w:color w:val="auto"/>
                <w:kern w:val="0"/>
                <w:sz w:val="24"/>
                <w:szCs w:val="24"/>
                <w:highlight w:val="none"/>
              </w:rPr>
              <w:t>XF/GA494-2004《消防用防坠落装备》</w:t>
            </w:r>
            <w:r>
              <w:rPr>
                <w:rFonts w:hint="eastAsia" w:ascii="宋体" w:hAnsi="宋体" w:eastAsia="宋体" w:cs="宋体"/>
                <w:color w:val="auto"/>
                <w:kern w:val="0"/>
                <w:sz w:val="24"/>
                <w:szCs w:val="24"/>
                <w:highlight w:val="none"/>
              </w:rPr>
              <w:t>标准</w:t>
            </w:r>
            <w:r>
              <w:rPr>
                <w:rFonts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、直径≥</w:t>
            </w:r>
            <w:r>
              <w:rPr>
                <w:rFonts w:ascii="宋体" w:hAnsi="宋体" w:eastAsia="宋体" w:cs="宋体"/>
                <w:color w:val="auto"/>
                <w:kern w:val="0"/>
                <w:sz w:val="24"/>
                <w:szCs w:val="24"/>
                <w:highlight w:val="none"/>
              </w:rPr>
              <w:t>13mm</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3、绳芯结构：不少于2</w:t>
            </w: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股承重绳芯，并行排列，外罩不少于4</w:t>
            </w: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股绳皮。交货时需提供国家权威机构出具的检验/检测报告佐证，检测报告首页需体现C</w:t>
            </w:r>
            <w:r>
              <w:rPr>
                <w:rFonts w:ascii="宋体" w:hAnsi="宋体" w:eastAsia="宋体" w:cs="宋体"/>
                <w:color w:val="auto"/>
                <w:kern w:val="0"/>
                <w:sz w:val="24"/>
                <w:szCs w:val="24"/>
                <w:highlight w:val="none"/>
              </w:rPr>
              <w:t>MA</w:t>
            </w:r>
            <w:r>
              <w:rPr>
                <w:rFonts w:hint="eastAsia" w:ascii="宋体" w:hAnsi="宋体" w:eastAsia="宋体" w:cs="宋体"/>
                <w:color w:val="auto"/>
                <w:kern w:val="0"/>
                <w:sz w:val="24"/>
                <w:szCs w:val="24"/>
                <w:highlight w:val="none"/>
              </w:rPr>
              <w:t>或C</w:t>
            </w:r>
            <w:r>
              <w:rPr>
                <w:rFonts w:ascii="宋体" w:hAnsi="宋体" w:eastAsia="宋体" w:cs="宋体"/>
                <w:color w:val="auto"/>
                <w:kern w:val="0"/>
                <w:sz w:val="24"/>
                <w:szCs w:val="24"/>
                <w:highlight w:val="none"/>
              </w:rPr>
              <w:t>NAS</w:t>
            </w:r>
            <w:r>
              <w:rPr>
                <w:rFonts w:hint="eastAsia" w:ascii="宋体" w:hAnsi="宋体" w:eastAsia="宋体" w:cs="宋体"/>
                <w:color w:val="auto"/>
                <w:kern w:val="0"/>
                <w:sz w:val="24"/>
                <w:szCs w:val="24"/>
                <w:highlight w:val="none"/>
              </w:rPr>
              <w:t>标志。</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、最小</w:t>
            </w:r>
            <w:r>
              <w:rPr>
                <w:rFonts w:ascii="宋体" w:hAnsi="宋体" w:eastAsia="宋体" w:cs="宋体"/>
                <w:color w:val="auto"/>
                <w:kern w:val="0"/>
                <w:sz w:val="24"/>
                <w:szCs w:val="24"/>
                <w:highlight w:val="none"/>
              </w:rPr>
              <w:t>破断强度≥48KN。</w:t>
            </w:r>
            <w:r>
              <w:rPr>
                <w:rFonts w:hint="eastAsia" w:ascii="宋体" w:hAnsi="宋体" w:eastAsia="宋体" w:cs="宋体"/>
                <w:color w:val="auto"/>
                <w:kern w:val="0"/>
                <w:sz w:val="24"/>
                <w:szCs w:val="24"/>
                <w:highlight w:val="none"/>
              </w:rPr>
              <w:t>交货时提供国家权威机构出具的检验/检测报告佐证，检测报告首页需体现C</w:t>
            </w:r>
            <w:r>
              <w:rPr>
                <w:rFonts w:ascii="宋体" w:hAnsi="宋体" w:eastAsia="宋体" w:cs="宋体"/>
                <w:color w:val="auto"/>
                <w:kern w:val="0"/>
                <w:sz w:val="24"/>
                <w:szCs w:val="24"/>
                <w:highlight w:val="none"/>
              </w:rPr>
              <w:t>MA</w:t>
            </w:r>
            <w:r>
              <w:rPr>
                <w:rFonts w:hint="eastAsia" w:ascii="宋体" w:hAnsi="宋体" w:eastAsia="宋体" w:cs="宋体"/>
                <w:color w:val="auto"/>
                <w:kern w:val="0"/>
                <w:sz w:val="24"/>
                <w:szCs w:val="24"/>
                <w:highlight w:val="none"/>
              </w:rPr>
              <w:t>或C</w:t>
            </w:r>
            <w:r>
              <w:rPr>
                <w:rFonts w:ascii="宋体" w:hAnsi="宋体" w:eastAsia="宋体" w:cs="宋体"/>
                <w:color w:val="auto"/>
                <w:kern w:val="0"/>
                <w:sz w:val="24"/>
                <w:szCs w:val="24"/>
                <w:highlight w:val="none"/>
              </w:rPr>
              <w:t>NAS</w:t>
            </w:r>
            <w:r>
              <w:rPr>
                <w:rFonts w:hint="eastAsia" w:ascii="宋体" w:hAnsi="宋体" w:eastAsia="宋体" w:cs="宋体"/>
                <w:color w:val="auto"/>
                <w:kern w:val="0"/>
                <w:sz w:val="24"/>
                <w:szCs w:val="24"/>
                <w:highlight w:val="none"/>
              </w:rPr>
              <w:t>标志。</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、当承重达到最小破断强度的</w:t>
            </w:r>
            <w:r>
              <w:rPr>
                <w:rFonts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rPr>
              <w:t>时，安全绳的伸率应不小于1</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且不大于1</w:t>
            </w:r>
            <w:r>
              <w:rPr>
                <w:rFonts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rPr>
              <w:t>。</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米</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手提防爆照明灯</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一、总体要求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1.1灭火救援现场作业时的照明，消防员单人使用的照明灯具。</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1.2灯具的供电电源应采用可充电电池。</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1.3灯具的充电器应采用插头与交直流转换器分离式结构，灯具或充电器应设置充、放电保护电路。</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1.4符合现行《消防员照明灯具》GB 30734的规定，灯具的防爆性能应符合GB 3836.1―2010的要求。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二、功能要求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2.1灯具应具有强、弱光、爆闪光切换功能。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2.2灯具应具有闪烁方式的低电压告警功能。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2.3灯具主照明采用聚光，灯体两侧采用泛光，并设计有红蓝发光警示功能。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2.4主照明应具备暖白、冷白两种光源，并可通过切换同时开启强光、弱光。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三、性能要求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3.1灯具外观应清洁、光滑、整齐、无污损、腐蚀、划伤、毛刺、裂痕、变形现象。</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3.2灯具各零部件装配应完整、精确、牢靠、无缺损、错位、松动现象，开关应操作方便、灵活、可靠。</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3.3质量：≤1.3 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3.4配用光源：LED。</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3.5照度：强光平均值≥470lx、弱光平均值≥350lx。</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3.6连续稳定工作时间：强光≥300min，弱光≥600min。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3.7</w:t>
            </w:r>
            <w:r>
              <w:rPr>
                <w:rFonts w:hint="eastAsia" w:ascii="宋体" w:hAnsi="宋体" w:eastAsia="宋体" w:cs="宋体"/>
                <w:color w:val="auto"/>
                <w:kern w:val="0"/>
                <w:sz w:val="24"/>
                <w:szCs w:val="24"/>
                <w:highlight w:val="none"/>
              </w:rPr>
              <w:t>低电压状态下连续工作时间：强光≥15min，弱光≥30min。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3.8低温性能：-25±2℃持续2小时试验后，灯具应能正常进行开、关和强光、弱光切换。</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3.9高温性能：55±2℃持续2小时试验后，灯具应能正常进行开、关和强光、弱光切换。</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3.10开关可靠性：灯具的开关经50000次可靠性试验后应保持完好，且灯具应能正常点亮并实现强、弱光切换。</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3.11外壳防护等级：灯具的外壳防护等级应为GB/T 4208—2008规定的IP66/IP68。</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3.13灯具的潜水深度不小于1.5米，持续时间不小于1h（交货时提供具有相关检测资质的第三方检测机构出具的检测报告复印件）。</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二节拉梯</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1、符合GA137-2007《消防梯》标准要求。交货时提供具有相关检测资质的第三方检测机构出具的检测报告复印件。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2、主体采用材质为竹料并经防腐、防蛀、干燥处理；</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3、工作长度:≧6m；最小梯宽:300±15mm；梯蹬间距:280±5mm；整梯质量：≦33kg；</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架</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挂钩梯</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1、符合GA137-2007《消防梯》标准要求。交货时提供具有相关检测资质的第三方检测机构出具的检测报告复印件。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2、主体采用材质为竹料并经防腐、防蛀、干燥处理；</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3、工作长度:≧4m；最小梯宽:250±2mm；梯蹬间距:340±2mm；整梯质量:≦12kg。</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架</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中压80水带</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符合GB6246-2011《消防水带》和消防类产品认证实施规则CCCF-CPRZ-25:2019的标准要求。交货时提供国家消防装备质量监督检验中心出具的产品检验报告和应急管理部消防产品合格评定中心出具的消防产品认证证书。</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水带口径为80mm，内衬材质采用聚氨酯材质，厚度均匀，表面光滑清洁，无褶皱，不渗水，不霉变，柔软轻便易卷缠，耐老化，水流阻力小，使用寿命长标准工作压力≥2.0MPa，爆破压力≥7.16MPa，单位长度质量≤428g/m，延伸率≤4.2%，膨胀率≤3.2%，织物层与衬里附着强度≥50.4N/25MM,扯断伸长率≥387.7%，扯断强度≥53.3MPa，热空气老化：织物层与衬里附着强度≥113.1%，爆破压力≥98.8%，每卷长度为20米。</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3、水带两头均配有80口径的内扣式接口。带口缠绕铁丝为5道，水带和接口捆绑处有水带护皮保护以防损坏。</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4、外层材质采用高强度涤纶长丝线材质，工艺采用经圆织机环形编织而成，且耐压、耐磨、耐磨蚀、耐高低温、轻便柔软、易于清洗，使用寿命长。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5、水带一端清楚的标志着生产企业名称、产品名称和规格、生产日期及经线纬线和衬里材料.印刷的相关信息永不掉落。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6、包装：使用编织袋包装，包装结实牢固，便于搬运。</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盘</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中压65水带</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符合GB6246-2011《消防水带》和消防类产品认证实施规则CCCF-CPRZ-25:2019的标准要求。交货时提供国家消防装备质量监督检验中心出具的产品检验报告和应急管理部消防产品合格评定中心出具的消防产品认证证书。</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水带口径为65mm，内衬材质采用聚氨酯材质，厚度均匀，表面光滑清洁，无褶皱，不渗水，不霉变，柔软轻便易卷缠，耐老化，水流阻力小，使用寿命长标准工作压力≥2.0MPa，爆破压力≥6.24MPa，单位长度质量≤376g/m，延伸率≤4.9%，膨胀率≤5.6%，织物层与衬里附着强度≥44.8N/25MM,扯断伸长率≥518.6%，扯断强度≥53.5MPa，热空气老化：织物层与衬里附着强度≥89.8%，爆破压力≥96.8%，每卷长度为20米。</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3、水带两头均配有65口径的内扣式接口。带口缠绕铁丝为5道，水带和接口捆绑处有水带护皮保护以防损坏。</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4、外层材质采用高强度涤纶长丝线材质，工艺采用经圆织机环形编织而成，且耐压、耐磨、耐磨蚀、耐高低温、轻便柔软、易于清洗，使用寿命长。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5、水带一端清楚的标志着生产企业名称、产品名称和规格、生产日期及经线纬线和衬里材料.印刷的相关信息永不掉落。</w:t>
            </w:r>
          </w:p>
          <w:p>
            <w:pPr>
              <w:pStyle w:val="27"/>
              <w:pageBreakBefore w:val="0"/>
              <w:kinsoku/>
              <w:wordWrap/>
              <w:overflowPunct/>
              <w:topLinePunct w:val="0"/>
              <w:autoSpaceDE/>
              <w:autoSpaceDN/>
              <w:bidi w:val="0"/>
              <w:adjustRightInd/>
              <w:snapToGrid/>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6、包装：使用编织袋包装，包装结实牢固，便于搬运。</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盘</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中压40水带</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符合GB6246-2011《消防水带》和消防类产品认证实施规则CCCF-CPRZ-25:2019的标准要求。交货时提供国家消防装备质量监督检验中心出具的产品检验报告和应急管理部消防产品合格评定中心出具的消防产品认证证书。</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带口径为40mm，内衬材质采用聚氨酯材质，厚度均匀，表面光滑清洁，无褶皱，不渗水，不霉变，柔软轻便易卷缠，耐老化，水流阻力小，使用寿命长标准工作压力≥2.0MPa，爆破压力≥7.81MPa，单位长度质量≤143g/m，延伸率≤3.2%，膨胀率≤4.5%，织物层与衬里附着强度≥39.3N/25MM,扯断伸长率≥436.7%，扯断强度≥61.1MPa，热空气老化：织物层与衬里附着强度≥91.9%，爆破压力≥96%，每卷长度为30米。</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3、水带两头均配有40口径的快速接口。带口缠绕铁丝为5道，水带和接口捆绑处有水带护皮保护以防损坏。</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4、外层材质采用高强度涤纶长丝线材质，工艺采用经圆织机环形编织而成，且耐压、耐磨、耐磨蚀、耐高低温、轻便柔软、易于清洗，使用寿命长。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5、水带一端清楚的标志着生产企业名称、产品名称和规格、生产日期及经线纬线和衬里材料.印刷的相关信息永不掉落。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6、包装：使用编织袋包装，包装结实牢固，便于搬运。</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盘</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多功能水枪</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1、技术性能符合《消防水枪》GB8181-2005的标准要求，交货时提供具有相关检测资质的第三方检测机构出具的检测报告复印件。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2、水枪铸、煅件材料选用不锈钢、铜及铝合金。</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3、进水端采用65mm口径卡式消防（雄）接口，可360度旋转防止水带打结；可开花、喷雾、直流；</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4、工作压力0.3MPA-0.8MPA；水枪直流射程：≧30m；</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工作流量约为2-8L/S；喷雾水流喷雾夹角0-120°；</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5、在多功能水枪表面醒目处应清晰的标出型号、规格、商标（或厂名）等永久性标志，以及流量调节档位，“开”、“关”标示。</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消火栓扳手</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1、材质：铸钢，地上消火栓扳手长度≥38 厘米，宽度≥5.8 厘米。</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分水器</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1、符合GA868-2010《分水器和集水器》标准要求；交货时提供具有相关检测资质的第三方检测机构出具的检测报告复印件。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2、主体由铝硅合金，金属模浇铸制成，接口为合金材料；</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、进水口为尺寸80mm，出水口尺寸为3个65mm接口，每个出水口有相应流量控制开关，可以同时使用，也可以分别使用。</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接口</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 xml:space="preserve">、消防接口主体材质为合金，主要由本体、密封圈座、密封圈等组成。 </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、具体转换类型为65mm内扣式转80mm内扣式。</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包布</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1、由帆布带和金属夹钳等零件组成；</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2、使用时只要将包布一端穿入夹钳即可</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护桥</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1、产品采用天然优质橡胶,钢模制造而成。不易破裂，耐压能力强，长时间放置不易老化。</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水带横穿马路时，通常根据过往车体大致宽度辅设两块水带护桥，将水带置于水带护桥中央凹槽处，并尽量使水带安全填入凹内，以防车轮压破，是火场辅设消防水带的辅助器材。双槽整体护桥，强度高，经久耐用。两个一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挂钩</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1、由帆布带、金属钩和金属半环组成，用于垂直铺设水带时的固定。熟铁材质，抗断裂。</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strike/>
                <w:color w:val="auto"/>
                <w:kern w:val="0"/>
                <w:sz w:val="24"/>
                <w:szCs w:val="24"/>
                <w:highlight w:val="none"/>
              </w:rPr>
            </w:pPr>
            <w:r>
              <w:rPr>
                <w:rFonts w:hint="eastAsia" w:ascii="宋体" w:hAnsi="宋体" w:eastAsia="宋体" w:cs="宋体"/>
                <w:strike/>
                <w:color w:val="auto"/>
                <w:kern w:val="0"/>
                <w:sz w:val="24"/>
                <w:szCs w:val="24"/>
                <w:highlight w:val="none"/>
              </w:rPr>
              <w:t>34</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摄像机</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1、像素：≥4</w:t>
            </w:r>
            <w:r>
              <w:rPr>
                <w:rFonts w:ascii="宋体" w:hAnsi="宋体" w:eastAsia="宋体" w:cs="宋体"/>
                <w:color w:val="auto"/>
                <w:kern w:val="0"/>
                <w:sz w:val="24"/>
                <w:szCs w:val="24"/>
                <w:highlight w:val="none"/>
              </w:rPr>
              <w:t>800</w:t>
            </w:r>
            <w:r>
              <w:rPr>
                <w:rFonts w:hint="eastAsia" w:ascii="宋体" w:hAnsi="宋体" w:eastAsia="宋体" w:cs="宋体"/>
                <w:color w:val="auto"/>
                <w:kern w:val="0"/>
                <w:sz w:val="24"/>
                <w:szCs w:val="24"/>
                <w:highlight w:val="none"/>
              </w:rPr>
              <w:t>万。</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2、变焦：≥1</w:t>
            </w:r>
            <w:r>
              <w:rPr>
                <w:rFonts w:ascii="宋体" w:hAnsi="宋体" w:eastAsia="宋体" w:cs="宋体"/>
                <w:color w:val="auto"/>
                <w:kern w:val="0"/>
                <w:sz w:val="24"/>
                <w:szCs w:val="24"/>
                <w:highlight w:val="none"/>
              </w:rPr>
              <w:t>6X</w:t>
            </w:r>
            <w:r>
              <w:rPr>
                <w:rFonts w:hint="eastAsia" w:ascii="宋体" w:hAnsi="宋体" w:eastAsia="宋体" w:cs="宋体"/>
                <w:color w:val="auto"/>
                <w:kern w:val="0"/>
                <w:sz w:val="24"/>
                <w:szCs w:val="24"/>
                <w:highlight w:val="none"/>
              </w:rPr>
              <w:t>智能变焦。</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3、内置红外镜头。</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ascii="宋体" w:hAnsi="宋体" w:eastAsia="宋体" w:cs="宋体"/>
                <w:color w:val="auto"/>
                <w:kern w:val="0"/>
                <w:sz w:val="24"/>
                <w:szCs w:val="24"/>
                <w:highlight w:val="none"/>
              </w:rPr>
              <w:t>IPS</w:t>
            </w:r>
            <w:r>
              <w:rPr>
                <w:rFonts w:hint="eastAsia" w:ascii="宋体" w:hAnsi="宋体" w:eastAsia="宋体" w:cs="宋体"/>
                <w:color w:val="auto"/>
                <w:kern w:val="0"/>
                <w:sz w:val="24"/>
                <w:szCs w:val="24"/>
                <w:highlight w:val="none"/>
              </w:rPr>
              <w:t>触摸屏，屏幕尺寸≥3</w:t>
            </w:r>
            <w:r>
              <w:rPr>
                <w:rFonts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rPr>
              <w:t>英寸，可旋转大于等于</w:t>
            </w:r>
            <w:r>
              <w:rPr>
                <w:rFonts w:ascii="宋体" w:hAnsi="宋体" w:eastAsia="宋体" w:cs="宋体"/>
                <w:color w:val="auto"/>
                <w:kern w:val="0"/>
                <w:sz w:val="24"/>
                <w:szCs w:val="24"/>
                <w:highlight w:val="none"/>
              </w:rPr>
              <w:t>270</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5、超广角≥1</w:t>
            </w:r>
            <w:r>
              <w:rPr>
                <w:rFonts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rPr>
              <w:t>°。</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警戒桶</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1、用于灾害事故现场道路警戒；</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2、本体颜色：黑色/红色；重量：≤1.5kg；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3、高强级标准反光材料，反光原片强度达300CPL；</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4、纯橡胶制品，不怕撞击，耐轧压，能迅速回弹，不伤车伤人；</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5、反光材料：晶彩格；</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6、耐用性能：耐撞击、碾压、耐水、灰尘。</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strike/>
                <w:color w:val="auto"/>
                <w:kern w:val="0"/>
                <w:sz w:val="24"/>
                <w:szCs w:val="24"/>
                <w:highlight w:val="none"/>
              </w:rPr>
            </w:pPr>
            <w:r>
              <w:rPr>
                <w:rFonts w:hint="eastAsia" w:ascii="宋体" w:hAnsi="宋体" w:eastAsia="宋体" w:cs="宋体"/>
                <w:strike/>
                <w:color w:val="auto"/>
                <w:kern w:val="0"/>
                <w:sz w:val="24"/>
                <w:szCs w:val="24"/>
                <w:highlight w:val="none"/>
              </w:rPr>
              <w:t>36</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隔离警示带</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1、灾害事故现场警戒。</w:t>
            </w:r>
          </w:p>
          <w:p>
            <w:pPr>
              <w:pageBreakBefore w:val="0"/>
              <w:widowControl/>
              <w:kinsoku/>
              <w:wordWrap/>
              <w:overflowPunct/>
              <w:topLinePunct w:val="0"/>
              <w:autoSpaceDE/>
              <w:autoSpaceDN/>
              <w:bidi w:val="0"/>
              <w:adjustRightInd/>
              <w:snapToGrid/>
              <w:outlineLvl w:val="9"/>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2、具有发光或反光功能，每盘长度约250m。</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盘</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无齿锯</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1、汽缸排量≥70cm³；汽缸缸管内径≥50mm；空转速度≥2500rpm； </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2、功率≥3.5kW；</w:t>
            </w:r>
          </w:p>
          <w:p>
            <w:pPr>
              <w:pageBreakBefore w:val="0"/>
              <w:widowControl/>
              <w:kinsoku/>
              <w:wordWrap/>
              <w:overflowPunct/>
              <w:topLinePunct w:val="0"/>
              <w:autoSpaceDE/>
              <w:autoSpaceDN/>
              <w:bidi w:val="0"/>
              <w:adjustRightInd/>
              <w:snapToGrid/>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3、油箱容量≥0.9L；动力切割机{不带切割锯片或燃油)≤12kg: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4、锯片直径≥350mm，切割深度≥120mm。</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绝缘剪断钳</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1符合GB8407-1987《绝缘剪断钳》标准</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2、特性：剪刃口硬度HRC56—60。</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3、绝缘380V,剪柄（橡胶）耐电压≥3000V</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哈里根铁铤</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1、多功能铁挺，一种集羊角撬棍、尖镐和扁镐割绳器于一体的多功能消防铁铤；</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2、该工具包括钢制杆体，杆体一端设置有羊角撬头和割绳器，另一端设有尖镐头和扁镐头，尖镐头和扁镐头固接为一体，羊角头和割绳器固接为一体，杆体表面设置有防滑部件。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铁铤头部全部为高碳钢锻打而成，头部经过热处理淬火工艺，铁铤表面经处理涂有塑层抗腐蚀防静电。集合了砍，凿，撬，割，剥皮等功能的一体式铁铤。因多功能消防铁铤是热装加安全定位销设计，安全不掉头。</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消防大斧</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1、斧头材质高碳工具钢锻打而成, 经热处理高频淬火硬度保证强度；</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2、结构：斧头+斧柄 </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火钩</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1、用于破拆救援的器材，木柄，长度≥</w:t>
            </w:r>
            <w:r>
              <w:rPr>
                <w:rFonts w:ascii="宋体" w:hAnsi="宋体" w:eastAsia="宋体" w:cs="宋体"/>
                <w:color w:val="auto"/>
                <w:kern w:val="0"/>
                <w:sz w:val="24"/>
                <w:szCs w:val="24"/>
                <w:highlight w:val="none"/>
              </w:rPr>
              <w:t>2米。</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大锤、铁钬</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1、头部采用高碳工具钢，经过整体锻打一次成型；</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2、锤柄为TPR+PVC、绝缘，强度高，不易折断；</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3、经过特殊热处理工艺，手柄根据人体工程学设计，防滑；</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救生圈</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一、总体要求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1.1表面应为橙色。</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1.2采用高密度聚乙烯或泡沫海绵等材料。</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二、性能要求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2.1救生圈外径应不大于800mm，内径不小于400mm。</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2.2浮力≥14.5kg，最大承重≥220kg。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2.3能支撑14.5kg的铁块在淡水中持续漂浮24h。</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2.4投落高度≥30米无损坏。</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2.5沿救生圈周长四个相等间距位置，应环绕贴有50mm宽度的逆向反光带。</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2.6救生圈外围应装有直径不小于9.5mm、长度不小于救生圈外径4倍的可把手索，并分成4段相等的环圈固定。</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2.7救生圈表面应无凹凸，开裂现象。</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折叠担架</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1、折叠式担架可折叠，折叠尺寸（长×宽×高）：约46×48×14cm；</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2、展开尺寸（长×宽×高）：约185×48×20cm；</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3、承重≥120kg，净重≤7kg，毛重≤8kg；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4、折叠式担架用高强度铝合金材料和牛津革担架面制成，要求重量轻，体积小，携带方便，使用安全，能适用于医院、救护车、户外各类急难险重任务场所运送伤病员；</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5、带支撑架和滚动轮。</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6、交货时提供相关检测报告复印件或产品技术说明材料。</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bl>
    <w:p>
      <w:pPr>
        <w:pStyle w:val="10"/>
        <w:pageBreakBefore w:val="0"/>
        <w:kinsoku/>
        <w:wordWrap/>
        <w:overflowPunct/>
        <w:topLinePunct w:val="0"/>
        <w:autoSpaceDE/>
        <w:autoSpaceDN/>
        <w:bidi w:val="0"/>
        <w:adjustRightInd/>
        <w:snapToGrid/>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2.4、随站接警系统配置清单</w:t>
      </w:r>
    </w:p>
    <w:p>
      <w:pPr>
        <w:pageBreakBefore w:val="0"/>
        <w:kinsoku/>
        <w:wordWrap/>
        <w:overflowPunct/>
        <w:topLinePunct w:val="0"/>
        <w:autoSpaceDE/>
        <w:autoSpaceDN/>
        <w:bidi w:val="0"/>
        <w:adjustRightInd/>
        <w:snapToGrid/>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每个模块化小型消防站按如下参数配置随站接警系统。</w:t>
      </w:r>
    </w:p>
    <w:tbl>
      <w:tblPr>
        <w:tblStyle w:val="19"/>
        <w:tblpPr w:leftFromText="181" w:rightFromText="181" w:vertAnchor="text" w:horzAnchor="page" w:tblpX="1719" w:tblpY="1"/>
        <w:tblOverlap w:val="never"/>
        <w:tblW w:w="8897" w:type="dxa"/>
        <w:tblInd w:w="0" w:type="dxa"/>
        <w:tblLayout w:type="fixed"/>
        <w:tblCellMar>
          <w:top w:w="0" w:type="dxa"/>
          <w:left w:w="108" w:type="dxa"/>
          <w:bottom w:w="0" w:type="dxa"/>
          <w:right w:w="108" w:type="dxa"/>
        </w:tblCellMar>
      </w:tblPr>
      <w:tblGrid>
        <w:gridCol w:w="800"/>
        <w:gridCol w:w="1080"/>
        <w:gridCol w:w="4749"/>
        <w:gridCol w:w="851"/>
        <w:gridCol w:w="619"/>
        <w:gridCol w:w="798"/>
      </w:tblGrid>
      <w:tr>
        <w:tblPrEx>
          <w:tblCellMar>
            <w:top w:w="0" w:type="dxa"/>
            <w:left w:w="108" w:type="dxa"/>
            <w:bottom w:w="0" w:type="dxa"/>
            <w:right w:w="108" w:type="dxa"/>
          </w:tblCellMar>
        </w:tblPrEx>
        <w:trPr>
          <w:trHeight w:val="2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产品名称</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技术要求和配置说明</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单位</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备注</w:t>
            </w:r>
          </w:p>
        </w:tc>
      </w:tr>
      <w:tr>
        <w:tblPrEx>
          <w:tblCellMar>
            <w:top w:w="0" w:type="dxa"/>
            <w:left w:w="108" w:type="dxa"/>
            <w:bottom w:w="0" w:type="dxa"/>
            <w:right w:w="108" w:type="dxa"/>
          </w:tblCellMar>
        </w:tblPrEx>
        <w:trPr>
          <w:trHeight w:val="94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联动控制器</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1.采用人机界面，简单的控制指令，即可实现计算机对远程设备的控制。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2.稳定的工业标准设计，采用工业级芯片，合理的硬件设计，达到工业使用标准，工作环境温度范围宽。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3.采用多重校验方式，高可靠的通信方式，满足超强干扰的场合使用。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可靠的通信协议、稳定工作方式，满足工控环境的使用，双向通信的方式。即模块收到指令即刻执行，执行完成后，向主机返回信息，告知主机。同时主机在工作过程中，也可随时发送命令读当前继电器的状态；基本数据帧格式：帧头、地址、数据(命令)、帧尾、校验。</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5.大电流输出，电路板经过特殊处理，支持大电流输出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6.输出接口，采用三端输出，输出公共端、常闭端、常开端三个节点</w:t>
            </w:r>
            <w:r>
              <w:rPr>
                <w:rFonts w:hint="eastAsia" w:ascii="宋体" w:hAnsi="宋体" w:eastAsia="宋体" w:cs="宋体"/>
                <w:color w:val="auto"/>
                <w:kern w:val="0"/>
                <w:sz w:val="24"/>
                <w:szCs w:val="24"/>
                <w:highlight w:val="none"/>
                <w:lang w:eastAsia="zh-CN" w:bidi="ar"/>
              </w:rPr>
              <w:t>。</w:t>
            </w:r>
          </w:p>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7.状态指示灯，可视工作情况一目了然，包括模块工作指示灯、继电器状态指示灯。</w:t>
            </w:r>
          </w:p>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8.控制指令丰富，可以用一条指令控制多路路继电器同时动作（吸合或者断开），也可以用指令单独控制某1路或者某几路单独动作(吸合或者断开)。</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9.工业级网络远程控制功能 支持所有的 TCP/ UDP 等网络协议，支持modbusTCP。</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10.支持 TCP/IP、UDP 协议，100M/10M。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11.网口交叉平行自适应。</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12.带 Link、Data 数据指示灯。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13.每路输出 IO 都可以单独设置成不同延时时间的动作，发送命令后，设备会在一段延时时间后进行相应动作延时时间 0ms-60分钟可设定。每路输出IO都可以单独设置成不同宽度的脉冲输出 宽度1ms-60分钟可以设定。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11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警情信息输出设备</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输出</w:t>
            </w:r>
            <w:r>
              <w:rPr>
                <w:rFonts w:hint="eastAsia" w:ascii="宋体" w:hAnsi="宋体" w:eastAsia="宋体" w:cs="宋体"/>
                <w:color w:val="auto"/>
                <w:kern w:val="0"/>
                <w:sz w:val="24"/>
                <w:szCs w:val="24"/>
                <w:highlight w:val="none"/>
                <w:lang w:bidi="ar"/>
              </w:rPr>
              <w:t>最大幅面A4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最高分辨率≥1200×1200dpi</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输出</w:t>
            </w:r>
            <w:r>
              <w:rPr>
                <w:rFonts w:hint="eastAsia" w:ascii="宋体" w:hAnsi="宋体" w:eastAsia="宋体" w:cs="宋体"/>
                <w:color w:val="auto"/>
                <w:kern w:val="0"/>
                <w:sz w:val="24"/>
                <w:szCs w:val="24"/>
                <w:highlight w:val="none"/>
                <w:lang w:bidi="ar"/>
              </w:rPr>
              <w:t>速度≥18ppm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处理器≥266MHz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内存标配：2MB</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209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接警电话</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防雷电技术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人性化菜单操作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来电显示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自动IP功能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闹钟功能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长途锁控功能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FSK自动校时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来电、去电动态存储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并机防盗功能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抗电磁干扰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屏幕亮度5级调节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11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有源音箱</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信噪比：≥85db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声道：≥2.1声道</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音箱控制：旋钮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扬声器单元：低音单元：≥4英寸(外径106mm)，防磁，6欧姆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接口：≥3.5mm音频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供电电源：≥AC220V</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22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座席话筒</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换能方式:电容式</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频率响应：≥100Hz-16KHz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指向性:心型指向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输出阻抗（欧姆）:≥200Ω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灵敏度:≥42dB±2dB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供电电压(V):≥DC3V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咪管长度：≥415mm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咪线长度、配置：≥7米单芯、卡龙母+6.35单声道插嘴</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单支话筒重量：≥0.62KG</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输出、指示：不平衡、座灯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开关：机械自锁</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抗手机、电磁、高频干扰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44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广播功放</w:t>
            </w:r>
          </w:p>
        </w:tc>
        <w:tc>
          <w:tcPr>
            <w:tcW w:w="4749" w:type="dxa"/>
            <w:tcBorders>
              <w:top w:val="single" w:color="000000" w:sz="4" w:space="0"/>
              <w:left w:val="single" w:color="000000" w:sz="4" w:space="0"/>
              <w:bottom w:val="single" w:color="000000" w:sz="4" w:space="0"/>
              <w:right w:val="single" w:color="000000" w:sz="4" w:space="0"/>
            </w:tcBorders>
            <w:shd w:val="clear" w:color="auto" w:fill="auto"/>
          </w:tcPr>
          <w:p>
            <w:pPr>
              <w:pageBreakBefore w:val="0"/>
              <w:widowControl/>
              <w:kinsoku/>
              <w:wordWrap/>
              <w:overflowPunct/>
              <w:topLinePunct w:val="0"/>
              <w:autoSpaceDE/>
              <w:autoSpaceDN/>
              <w:bidi w:val="0"/>
              <w:adjustRightInd/>
              <w:snapToGrid/>
              <w:jc w:val="left"/>
              <w:textAlignment w:val="top"/>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1、五路信号输入（三路话筒输入、二路线路输入）；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2、自带USB、SD、蓝牙、收音播放器；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3、具有红外遥控功能操作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4、数码管显示屏，轻触式按键；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5、≥100V、70V定压输出和4~16Ω定阻输出；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6、≥100V有6分区输出、各分区均有指示灯显示；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7、各输入通道音量独立调节；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8、高音、低音独立调节；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9、MIC1自动默音设有调节开关，可调节范围：0到-30dB；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10、自带钟声报警音提示，强制打开分区，钟声提示音第二优先默音；</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11、五单元LED电平显示；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12、具有完善的输出短路保护和超温保护功能；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13、散热风扇50℃启动；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14、额定输出功率：≥120W</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17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无线通讯电源自动断电管理架（智能充电座）</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1.10*2双层电台充电架。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2.不锈钢材质。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3.内置智能充电座、每位充电座独立控制。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4.尺寸：1250*350*350mm（±10mm）。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5.输入电压：AC220V/50Hz。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6.输出电压：AC220V/50Hz。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7.最大电流: 单充电口最大电流0.5A。</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8.待机功率：1W。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9.尺寸：210*100*35mm。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10.网络：无。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11.外壳：采用阻燃材料。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12.其它：</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▲12.1过流保护：产品输入电压为AC220V/50Hz时，调节输出负载当电流大于（2.5±0.2）A时，产品进入保护状态，切断输出。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▲12.2欠流保护（充满自动断电）：产品输入电压为AC220V/50Hz时，调节输出负载当电流小于（0.3±0.02）A时，产品进入保护状态，切断输出。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14.3产品在接收到刷卡或按键按下信号后应在120秒内将工作负载接入，否则产品将自动切断输出。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▲12.4定时功能：充电最长定时10个小时。定时时间到时，产品进入保护状态，切断输出。</w:t>
            </w:r>
          </w:p>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▲12.5短路保护：产品输入电压为AC220V/50Hz时，调节输出负载当电流发生短路时，产品保险丝熔断，进入保护状态，切断输出。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架</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210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机柜</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1.尺寸：600*600*1600mm（±10mm）。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2.配置:2个固定板，2个风扇，4个万向轮，4个固定支脚。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3.标准: 符合ANSI/EIA RS-310-D、IEC297-2、DIN41494；PART1、DIN41494;PART7,GB/T3047.2-92；兼容ETSI标准。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4.特点：·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4.1单开白色钢化玻璃前门。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4.2单开网孔后门。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4.3前后门免焊加强筋结构，美观牢固。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4.4前后门配高级典雅锁。</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4.5可配客户需要的各种锁。</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4.6前后门可改为双开。</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5.承载: 静载≥800KG(带支架)。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6.防护等级:≥IP20。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7.主要材料:方孔条与安装梁：耐指纹敷铝锌板；其余：SPCC优质冷轧板；厚度：方孔条 ≥2.0mm；安装梁≥1.2mm；其余 1.2mm。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8.表面处理:方孔条、安装横梁：镀铝锌板；其余：脱脂、硅烷化处理 、静电喷塑</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架</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PDU电源插座</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1.输入：10A国标插头，1.5平方2米线。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2.输出：8位10A万用插孔+开关+防雷。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3.铝合金外壳。</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4.19英寸横装。</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5.10A 2500W。</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3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接处警电源联动控制箱</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自带PLC控制系统、可手动及自动控制营区出警通道大门、车库门、车库灯、班级灯、警铃等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9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联动出警班级灯</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1.光源：LED</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2.灯身：亚克力</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3.灯罩：超薄高透光亚克力</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4.功率：10W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5.亮度：4000K暖白光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10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室内联动出警广播</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1.额定功率：6W/10W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2.响应频率：110Hz-12KHz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3.金属网罩</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ABS外壳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6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室外广播号角</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功率：≥50W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喇叭单元:≥3寸高音头</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定压输入:≥70-100v</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5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出警警铃</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直径≥150mm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AC220V，≥40mA，50/60Hz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响铃音量≥97dB</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声光报警器及固定架</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发光模式：旋转频闪</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声音音量：≥85dB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工作电压：AC220V</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2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辅材配件</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联动出警班级灯联动控制线、警铃联动控制线、广播控制线、车库灯联动控制线、车库门联动控制线、PVC管材、桥架、辅材配件等按需配置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2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LED条屏</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室内单色3.75LED条屏（含铝合金外框、线缆），显示尺寸：1.218M(宽)X0.153M(高)</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2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系统对接与配合</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与小型消防站的监控系统、车库门控制系统等弱电系统的对接和配合工作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项</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bl>
    <w:p>
      <w:pPr>
        <w:pStyle w:val="23"/>
        <w:pageBreakBefore w:val="0"/>
        <w:kinsoku/>
        <w:wordWrap/>
        <w:overflowPunct/>
        <w:topLinePunct w:val="0"/>
        <w:autoSpaceDE/>
        <w:autoSpaceDN/>
        <w:bidi w:val="0"/>
        <w:adjustRightInd/>
        <w:snapToGrid/>
        <w:jc w:val="both"/>
        <w:outlineLvl w:val="9"/>
        <w:rPr>
          <w:rFonts w:hint="default"/>
          <w:color w:val="auto"/>
          <w:highlight w:val="none"/>
        </w:rPr>
      </w:pPr>
      <w:r>
        <w:rPr>
          <w:b/>
          <w:color w:val="auto"/>
          <w:sz w:val="28"/>
          <w:highlight w:val="none"/>
        </w:rPr>
        <w:t>三、商务要求（以“★”标示的内容为不允许负偏离的实质性要求）</w:t>
      </w:r>
    </w:p>
    <w:p>
      <w:pPr>
        <w:pStyle w:val="23"/>
        <w:pageBreakBefore w:val="0"/>
        <w:kinsoku/>
        <w:wordWrap/>
        <w:overflowPunct/>
        <w:topLinePunct w:val="0"/>
        <w:autoSpaceDE/>
        <w:autoSpaceDN/>
        <w:bidi w:val="0"/>
        <w:adjustRightInd/>
        <w:snapToGrid/>
        <w:ind w:firstLine="48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1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0"/>
        <w:gridCol w:w="950"/>
        <w:gridCol w:w="1950"/>
        <w:gridCol w:w="44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4404"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4404"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自合同签订之日起90日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厦门市行政区域内采购人指定地点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1、期次1，说明：按招标文件、投标文件、技术标准说明及国家有关的质量标准规定的规定进行验收。</w:t>
            </w:r>
          </w:p>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2、期次2，说明：设备材料进场验收：设备、材料运抵施工现场后，由采购人、中标人双方对照清单及技术要求进行验收。</w:t>
            </w:r>
          </w:p>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3、期次3，说明：交（竣）工验收：中标人根据招标要求及图纸进行施工完毕后，由采购人及相关部门组织验收。</w:t>
            </w:r>
          </w:p>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4、期次4，说明：验收过程所发生的一切费用（含交（竣）工验收检测费用）由中标人承担。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1、合同签订后，采购人在收到中标人提交的付款申请及正式税务发票后，分期支付至合同总金额的50.00%</w:t>
            </w:r>
          </w:p>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2、工程完工后，采购人在收到中标人提交的付款申请及正式税务发票后，分期支付至合同总金额的30.00%</w:t>
            </w:r>
          </w:p>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3、项目竣（交）工并经验收后，分期支付至合同总金额的20.00%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无需</w:t>
            </w:r>
            <w:r>
              <w:rPr>
                <w:rFonts w:hint="eastAsia" w:ascii="宋体" w:hAnsi="宋体" w:eastAsia="宋体" w:cs="宋体"/>
                <w:color w:val="auto"/>
                <w:sz w:val="24"/>
                <w:szCs w:val="24"/>
                <w:highlight w:val="none"/>
              </w:rPr>
              <w:t>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质保期：2年</w:t>
            </w:r>
          </w:p>
        </w:tc>
      </w:tr>
    </w:tbl>
    <w:p>
      <w:pPr>
        <w:pStyle w:val="23"/>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pPr>
        <w:pStyle w:val="23"/>
        <w:pageBreakBefore w:val="0"/>
        <w:kinsoku/>
        <w:wordWrap/>
        <w:overflowPunct/>
        <w:topLinePunct w:val="0"/>
        <w:autoSpaceDE/>
        <w:autoSpaceDN/>
        <w:bidi w:val="0"/>
        <w:adjustRightInd/>
        <w:snapToGrid/>
        <w:ind w:firstLine="480"/>
        <w:outlineLvl w:val="9"/>
        <w:rPr>
          <w:rFonts w:hint="default"/>
          <w:b w:val="0"/>
          <w:bCs/>
          <w:color w:val="auto"/>
          <w:sz w:val="24"/>
          <w:szCs w:val="24"/>
          <w:highlight w:val="none"/>
        </w:rPr>
      </w:pPr>
      <w:r>
        <w:rPr>
          <w:rFonts w:ascii="宋体" w:hAnsi="宋体" w:eastAsia="宋体" w:cs="宋体"/>
          <w:b w:val="0"/>
          <w:bCs/>
          <w:color w:val="auto"/>
          <w:sz w:val="24"/>
          <w:szCs w:val="24"/>
          <w:highlight w:val="none"/>
        </w:rPr>
        <w:t>9、售后服务要求</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9.1、投标人应按照本采购项目特点提供具体的售后服务方案，内容包括但不限于售后服务体系、服务措施、维修承诺及其人员组成、产品发生故障后的补救措施及响应时间等。</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9.2、质保期：所有货物质保期2年，自所有货物验收合格之日起开始计算。</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9.3、投标人应提供安装和维修工程师的配备情况，可提供原厂售后服务的应提供具体承诺及原厂售后的报修方式。</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9.4、故障响应时间：在质保期内接到采购人通知后，中标人应在1小时内响应，6小时内到达现场，24小时内修复；48小时内无法修复的，中标人提供相应配置的代用设备或更换新设备，以保证采购人工作生产不中断，其中发生一切费用由中标人承担。特殊情况下，由中标人与采购人协商，并经采购人同意后在双方约定的时间内完成设备的修复或更换。</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9.5、投标人应提供全部设备的操作、使用及维护的技术培训服务，并在招标文件中提供具体培训方案。</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9.6、中标人应无偿提供软件的终身升级服务；质保期满后，中标人仍应提供终身的技术服务。</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9.7、投标人认为有利于采购人的其他优惠条款应单独列明。</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10、报价要求</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10.1、投标人须根据本项目实际情况编辑包含详细的报价文件并列明各子项报价明细的分项报价文件，在客户端系统上传，未按要求提交完整的包含详细的报价文件并列明各子项报价明细的分项报价文件，由此产生的不利后果由投标人自行承担。</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10.2、投标总报价为整个项目施工完毕经采购人验收合格交付使用，所有可能发生的一切费用，包括但不限于以下费用：主、辅材料费、机械设备费用、人工费、安全文明施工措施费、抢工措施费、水电费、不可预见费、各种相关的保险费、二次搬运费、检测检验费（含质检机构的质量检验鉴定费）、试验费、劳保、税金、管理费、利润、验收费用、风险费、售后服务和维保费用、因质量问题引起的维修和更换、技术指导和培训、成品保护、政策性文件的规定、采购代理服务费。</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11、商务条件响应要求</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11.1、投标人应根据商务条件要求及商务项评分条款提供相应的体系认证证书、售后服务方案、业绩经验、交付期承诺、本地化服务方案，并按要求提供相应的佐证材料，未按要求提供的将可能导致不得分。</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12、违约责任</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12.1、若中标人未按照合同约定时间或采购人予以宽限的时间内（事先取得采购人同意）完成项目验收并交付使用，采购人有权要求中标人赔偿。赔偿金额按延迟交付标的金额的0.1%/日计算，违约金总额不超过标的金额的5%。</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12.2、中标人交付货物的品质、性能、技术标准、质量要求不符合合同约定的，采购人有权向中标人提出更换或退货，且由中标人承担一切更换货物或退货引起的相关费用。</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13、知识产权</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13.1、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13.2、若中标人提供的采购标的不符合国家知识产权法律、法规的规定或被有关主管机关认定为假冒伪劣品，则中标人中标资格将被取消；采购人还将按照有关法律、法规和规章的规定进行处理。</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14、现场勘查要求</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14.1、本项目采购人不组织集中现场踏勘，投标人可在投标文件递交截止时间前自行对项目现场及周围环境进行踏勘，以便获取有关编制投标文件和签署合同所涉及现场的资料。投标人应自行承担踏勘现场所发生的费用。现场踏勘联系人：</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14.2、投标人及其人员经过采购人工作人员的允许，可以踏勘为目的进入采购人的项目现场，但投标人及其人员不得因此使采购人及其人员承担有关的责任和蒙受损失。投标人并应对由此次踏勘现场而造成的死亡、人身伤害、财产损失、损害以及任何其它损失、损害和引起的费用和开支承担责任。</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14.3、采购人向投标人提供的有关现场的资料和数据，是采购人现有的能被投标人利用的资料。采购人对投标人做出的理解、推论和结论均不负责任。</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15、其他要求</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15.1、投标人投标货物的制造标准、安装标准及技术规范等有关资料必须符合现行我国相应的有关标准、规范要求。</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highlight w:val="none"/>
        </w:rPr>
      </w:pPr>
      <w:r>
        <w:rPr>
          <w:rFonts w:ascii="宋体" w:hAnsi="宋体" w:eastAsia="宋体" w:cs="宋体"/>
          <w:b w:val="0"/>
          <w:bCs/>
          <w:color w:val="auto"/>
          <w:sz w:val="24"/>
          <w:szCs w:val="24"/>
          <w:highlight w:val="none"/>
        </w:rPr>
        <w:t>15.2、投标人认为有利于采购人的招标要求之外的优惠条款应单独列明。</w:t>
      </w:r>
    </w:p>
    <w:p>
      <w:pPr>
        <w:pStyle w:val="23"/>
        <w:pageBreakBefore w:val="0"/>
        <w:kinsoku/>
        <w:wordWrap/>
        <w:overflowPunct/>
        <w:topLinePunct w:val="0"/>
        <w:autoSpaceDE/>
        <w:autoSpaceDN/>
        <w:bidi w:val="0"/>
        <w:adjustRightInd/>
        <w:snapToGrid/>
        <w:jc w:val="both"/>
        <w:outlineLvl w:val="9"/>
        <w:rPr>
          <w:rFonts w:hint="default"/>
          <w:color w:val="auto"/>
          <w:highlight w:val="none"/>
        </w:rPr>
      </w:pPr>
      <w:r>
        <w:rPr>
          <w:b/>
          <w:color w:val="auto"/>
          <w:sz w:val="28"/>
          <w:highlight w:val="none"/>
        </w:rPr>
        <w:t>四、其他事项</w:t>
      </w:r>
    </w:p>
    <w:p>
      <w:pPr>
        <w:pStyle w:val="23"/>
        <w:pageBreakBefore w:val="0"/>
        <w:kinsoku/>
        <w:wordWrap/>
        <w:overflowPunct/>
        <w:topLinePunct w:val="0"/>
        <w:autoSpaceDE/>
        <w:autoSpaceDN/>
        <w:bidi w:val="0"/>
        <w:adjustRightInd/>
        <w:snapToGrid/>
        <w:ind w:firstLine="480"/>
        <w:jc w:val="both"/>
        <w:outlineLvl w:val="9"/>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23"/>
        <w:pageBreakBefore w:val="0"/>
        <w:kinsoku/>
        <w:wordWrap/>
        <w:overflowPunct/>
        <w:topLinePunct w:val="0"/>
        <w:autoSpaceDE/>
        <w:autoSpaceDN/>
        <w:bidi w:val="0"/>
        <w:adjustRightInd/>
        <w:snapToGrid/>
        <w:ind w:firstLine="480"/>
        <w:jc w:val="both"/>
        <w:outlineLvl w:val="9"/>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2、其他：</w:t>
      </w:r>
    </w:p>
    <w:p>
      <w:pPr>
        <w:pStyle w:val="23"/>
        <w:pageBreakBefore w:val="0"/>
        <w:kinsoku/>
        <w:wordWrap/>
        <w:overflowPunct/>
        <w:topLinePunct w:val="0"/>
        <w:autoSpaceDE/>
        <w:autoSpaceDN/>
        <w:bidi w:val="0"/>
        <w:adjustRightInd/>
        <w:snapToGrid/>
        <w:ind w:firstLine="480"/>
        <w:jc w:val="both"/>
        <w:outlineLvl w:val="9"/>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2.1中标、成交供 应商可办理政府采购合同融资贷款（即政采贷），如有需要，中标、成交供 应商可在合同签订前向银行申请融资。政策查询网址：http：//120.35.30.176/zcdproject/home/。 2.2本项目开标方式为远程开标，远程开标事项说明详见附件。</w:t>
      </w:r>
    </w:p>
    <w:p>
      <w:pPr>
        <w:pStyle w:val="23"/>
        <w:pageBreakBefore w:val="0"/>
        <w:kinsoku/>
        <w:wordWrap/>
        <w:overflowPunct/>
        <w:topLinePunct w:val="0"/>
        <w:autoSpaceDE/>
        <w:autoSpaceDN/>
        <w:bidi w:val="0"/>
        <w:adjustRightInd/>
        <w:snapToGrid/>
        <w:outlineLvl w:val="9"/>
        <w:rPr>
          <w:rFonts w:hint="default"/>
          <w:color w:val="auto"/>
          <w:highlight w:val="none"/>
        </w:rPr>
      </w:pPr>
      <w:r>
        <w:rPr>
          <w:color w:val="auto"/>
          <w:highlight w:val="none"/>
        </w:rPr>
        <w:br w:type="page"/>
      </w:r>
    </w:p>
    <w:p>
      <w:pPr>
        <w:pStyle w:val="3"/>
        <w:bidi w:val="0"/>
        <w:rPr>
          <w:rFonts w:hint="default"/>
          <w:color w:val="auto"/>
          <w:highlight w:val="none"/>
        </w:rPr>
      </w:pPr>
      <w:bookmarkStart w:id="12" w:name="_Toc25353"/>
      <w:r>
        <w:rPr>
          <w:color w:val="auto"/>
          <w:highlight w:val="none"/>
        </w:rPr>
        <w:t>第六章 政府采购合同</w:t>
      </w:r>
      <w:bookmarkEnd w:id="12"/>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参考文本</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48"/>
          <w:highlight w:val="none"/>
        </w:rPr>
        <w:t xml:space="preserve"> 政府采购货物买卖合同</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（试行）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31"/>
          <w:highlight w:val="none"/>
        </w:rPr>
        <w:t>项目名称： 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31"/>
          <w:highlight w:val="none"/>
        </w:rPr>
        <w:t>合同编号： 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31"/>
          <w:highlight w:val="none"/>
        </w:rPr>
        <w:t>甲   方： 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31"/>
          <w:highlight w:val="none"/>
        </w:rPr>
        <w:t>乙   方：__________________________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31"/>
          <w:highlight w:val="none"/>
        </w:rPr>
        <w:t>签订时间： 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36"/>
          <w:highlight w:val="none"/>
        </w:rPr>
        <w:t>使用说明</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4"/>
          <w:highlight w:val="none"/>
        </w:rPr>
        <w:t>1.本合同标准文本适用于购买现成货物的采购项目，不包括需要供应商定制开发、创新研发的货物采购项目。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4"/>
          <w:highlight w:val="none"/>
        </w:rPr>
        <w:t>2.本合同标准文本为政府采购货物买卖合同编制提供参考，可以结合采购项目具体情况，对文本作必要的调整修订后使用。</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4"/>
          <w:highlight w:val="none"/>
        </w:rPr>
        <w:t>3.本合同标准文本各条款中，如涉及填写多家供应商、制造商，多种采购标的、分包主要内容等信息的，可根据采购项目具体情况添加信息项。</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36"/>
          <w:highlight w:val="none"/>
        </w:rPr>
        <w:t>第一节 政府采购合同协议书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甲方（全称）：___________________________（采购人、受采购人委托签订合同的单位或采购文件约定的合同甲方）</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乙方1（全称）：___________________________（供应商）</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乙方2（全称）：___________________________（联合体成员供应商或其他合同主体）（如有）</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乙方3（全称）：___________________________（联合体成员供应商或其他合同主体）（如有）</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1.项目信息</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(1)采购项目名称：___________________________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采购项目编号：____________________________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(2)采购计划编号：___________________________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(3)项目内容：</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采购标的及数量（台/套/个/架/组等）：___________________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品牌： ___________________ 规格型号：___________________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采购标</w:t>
      </w:r>
      <w:r>
        <w:rPr>
          <w:rFonts w:hint="eastAsia"/>
          <w:color w:val="auto"/>
          <w:highlight w:val="none"/>
          <w:lang w:eastAsia="zh-CN"/>
        </w:rPr>
        <w:t>的</w:t>
      </w:r>
      <w:r>
        <w:rPr>
          <w:color w:val="auto"/>
          <w:highlight w:val="none"/>
        </w:rPr>
        <w:t>技术要求、商务要求具体见附件。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①涉及信息类产品，请填写该产品关键部件的品牌、型号：</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标的名称： 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关键部件： ___________________ 品牌：___________________ 型号： 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关键部件： ___________________ 品牌：___________________ 型号： 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关键部件： ___________________ 品牌：___________________ 型号： 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（注：关键部件是指财政部会同有关部门发布的政府采购需求标准规定的需要通过国家有关部门指定的测评机构开展的安全可靠测评的软硬件，如CPU芯片、操作系统、数据库等。）</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②涉及车辆采购，请填写是否属于新能源汽车：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是，《政府采购品目分类目录》底级品目名称：__________  数量：__________  金额：__________</w:t>
      </w:r>
    </w:p>
    <w:p>
      <w:pPr>
        <w:pStyle w:val="23"/>
        <w:keepNext w:val="0"/>
        <w:keepLines w:val="0"/>
        <w:pageBreakBefore w:val="0"/>
        <w:kinsoku/>
        <w:wordWrap/>
        <w:overflowPunct/>
        <w:topLinePunct w:val="0"/>
        <w:autoSpaceDE/>
        <w:autoSpaceDN/>
        <w:bidi w:val="0"/>
        <w:adjustRightInd/>
        <w:snapToGrid/>
        <w:spacing w:line="300" w:lineRule="auto"/>
        <w:textAlignment w:val="auto"/>
        <w:outlineLvl w:val="9"/>
        <w:rPr>
          <w:rFonts w:hint="default"/>
          <w:color w:val="auto"/>
          <w:highlight w:val="none"/>
        </w:rPr>
      </w:pPr>
      <w:r>
        <w:rPr>
          <w:color w:val="auto"/>
          <w:highlight w:val="none"/>
        </w:rPr>
        <w:t xml:space="preserve"> 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(4)政府采购组织形式：政府集中采购 部门集中采购 分散采购</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(5)政府采购方式：公开招标 邀请招标 竞争性谈判 竞争性磋商询价 单一来源 框架协议 其他：____________________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(6)中标（成交）采购标的制造商是否为中小企业：是否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本合同是否为专门面向中小企业的采购合同（中小企业预留合同）：是否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若本项目不专门面向中小企业采购，是否给予小微企业评审优惠：是否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中标（成交）采购标的制造商是否为残疾人福利性单位：是否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中标（成交）采购标的制造商是否为监狱企业：是否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(7)合同是否分包：是否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分包主要内容：________________________________________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分包供应商/制造商名称（如供应商和制造商不同，请分别填写）：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________________________________________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分包供应商/制造商类型（如果供应商和制造商不同，只填写制造商类型）：</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大型企业中型企业小微型企业</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残疾人福利性单位监狱企业其他</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(8)中标（成交）供应商是否为外商投资企业：是否</w:t>
      </w:r>
    </w:p>
    <w:p>
      <w:pPr>
        <w:pStyle w:val="23"/>
        <w:keepNext w:val="0"/>
        <w:keepLines w:val="0"/>
        <w:pageBreakBefore w:val="0"/>
        <w:kinsoku/>
        <w:wordWrap/>
        <w:overflowPunct/>
        <w:topLinePunct w:val="0"/>
        <w:autoSpaceDE/>
        <w:autoSpaceDN/>
        <w:bidi w:val="0"/>
        <w:adjustRightInd/>
        <w:snapToGrid/>
        <w:spacing w:line="300" w:lineRule="auto"/>
        <w:ind w:firstLine="840"/>
        <w:textAlignment w:val="auto"/>
        <w:outlineLvl w:val="9"/>
        <w:rPr>
          <w:rFonts w:hint="default"/>
          <w:color w:val="auto"/>
          <w:highlight w:val="none"/>
        </w:rPr>
      </w:pPr>
      <w:r>
        <w:rPr>
          <w:color w:val="auto"/>
          <w:highlight w:val="none"/>
        </w:rPr>
        <w:t>外商投资企业类型：全部由外国投资者投资部分由外国投资者投资</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（9）是否涉及进口产品：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是，《政府采购品目分类目录》底级品目名称：__________  金额：__________</w:t>
      </w:r>
    </w:p>
    <w:p>
      <w:pPr>
        <w:pStyle w:val="23"/>
        <w:keepNext w:val="0"/>
        <w:keepLines w:val="0"/>
        <w:pageBreakBefore w:val="0"/>
        <w:kinsoku/>
        <w:wordWrap/>
        <w:overflowPunct/>
        <w:topLinePunct w:val="0"/>
        <w:autoSpaceDE/>
        <w:autoSpaceDN/>
        <w:bidi w:val="0"/>
        <w:adjustRightInd/>
        <w:snapToGrid/>
        <w:spacing w:line="300" w:lineRule="auto"/>
        <w:ind w:firstLine="1260"/>
        <w:textAlignment w:val="auto"/>
        <w:outlineLvl w:val="9"/>
        <w:rPr>
          <w:rFonts w:hint="default"/>
          <w:color w:val="auto"/>
          <w:highlight w:val="none"/>
        </w:rPr>
      </w:pPr>
      <w:r>
        <w:rPr>
          <w:color w:val="auto"/>
          <w:highlight w:val="none"/>
        </w:rPr>
        <w:t>国别：__________  品牌：__________  规格型号__________</w:t>
      </w:r>
    </w:p>
    <w:p>
      <w:pPr>
        <w:pStyle w:val="23"/>
        <w:keepNext w:val="0"/>
        <w:keepLines w:val="0"/>
        <w:pageBreakBefore w:val="0"/>
        <w:kinsoku/>
        <w:wordWrap/>
        <w:overflowPunct/>
        <w:topLinePunct w:val="0"/>
        <w:autoSpaceDE/>
        <w:autoSpaceDN/>
        <w:bidi w:val="0"/>
        <w:adjustRightInd/>
        <w:snapToGrid/>
        <w:spacing w:line="300" w:lineRule="auto"/>
        <w:ind w:firstLine="840"/>
        <w:textAlignment w:val="auto"/>
        <w:outlineLvl w:val="9"/>
        <w:rPr>
          <w:rFonts w:hint="default"/>
          <w:color w:val="auto"/>
          <w:highlight w:val="none"/>
        </w:rPr>
      </w:pPr>
      <w:r>
        <w:rPr>
          <w:color w:val="auto"/>
          <w:highlight w:val="none"/>
        </w:rPr>
        <w:t xml:space="preserve"> 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（10）是否涉及节能产品：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是，《节能产品政府采购品目清单》的底级品目名称：__________</w:t>
      </w:r>
    </w:p>
    <w:p>
      <w:pPr>
        <w:pStyle w:val="23"/>
        <w:keepNext w:val="0"/>
        <w:keepLines w:val="0"/>
        <w:pageBreakBefore w:val="0"/>
        <w:kinsoku/>
        <w:wordWrap/>
        <w:overflowPunct/>
        <w:topLinePunct w:val="0"/>
        <w:autoSpaceDE/>
        <w:autoSpaceDN/>
        <w:bidi w:val="0"/>
        <w:adjustRightInd/>
        <w:snapToGrid/>
        <w:spacing w:line="300" w:lineRule="auto"/>
        <w:ind w:firstLine="1260"/>
        <w:textAlignment w:val="auto"/>
        <w:outlineLvl w:val="9"/>
        <w:rPr>
          <w:rFonts w:hint="default"/>
          <w:color w:val="auto"/>
          <w:highlight w:val="none"/>
        </w:rPr>
      </w:pPr>
      <w:r>
        <w:rPr>
          <w:color w:val="auto"/>
          <w:highlight w:val="none"/>
        </w:rPr>
        <w:t xml:space="preserve"> 强制采购         优先采购</w:t>
      </w:r>
    </w:p>
    <w:p>
      <w:pPr>
        <w:pStyle w:val="23"/>
        <w:keepNext w:val="0"/>
        <w:keepLines w:val="0"/>
        <w:pageBreakBefore w:val="0"/>
        <w:kinsoku/>
        <w:wordWrap/>
        <w:overflowPunct/>
        <w:topLinePunct w:val="0"/>
        <w:autoSpaceDE/>
        <w:autoSpaceDN/>
        <w:bidi w:val="0"/>
        <w:adjustRightInd/>
        <w:snapToGrid/>
        <w:spacing w:line="300" w:lineRule="auto"/>
        <w:ind w:firstLine="840"/>
        <w:textAlignment w:val="auto"/>
        <w:outlineLvl w:val="9"/>
        <w:rPr>
          <w:rFonts w:hint="default"/>
          <w:color w:val="auto"/>
          <w:highlight w:val="none"/>
        </w:rPr>
      </w:pPr>
      <w:r>
        <w:rPr>
          <w:color w:val="auto"/>
          <w:highlight w:val="none"/>
        </w:rPr>
        <w:t xml:space="preserve"> 否</w:t>
      </w:r>
    </w:p>
    <w:p>
      <w:pPr>
        <w:pStyle w:val="23"/>
        <w:keepNext w:val="0"/>
        <w:keepLines w:val="0"/>
        <w:pageBreakBefore w:val="0"/>
        <w:kinsoku/>
        <w:wordWrap/>
        <w:overflowPunct/>
        <w:topLinePunct w:val="0"/>
        <w:autoSpaceDE/>
        <w:autoSpaceDN/>
        <w:bidi w:val="0"/>
        <w:adjustRightInd/>
        <w:snapToGrid/>
        <w:ind w:firstLine="840"/>
        <w:textAlignment w:val="auto"/>
        <w:outlineLvl w:val="9"/>
        <w:rPr>
          <w:rFonts w:hint="default"/>
          <w:color w:val="auto"/>
          <w:highlight w:val="none"/>
        </w:rPr>
      </w:pPr>
      <w:r>
        <w:rPr>
          <w:color w:val="auto"/>
          <w:highlight w:val="none"/>
        </w:rPr>
        <w:t>是否涉及环境标志产品：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是，《环境标志产品政府采购品目清单》的底级品目名称：__________</w:t>
      </w:r>
    </w:p>
    <w:p>
      <w:pPr>
        <w:pStyle w:val="23"/>
        <w:keepNext w:val="0"/>
        <w:keepLines w:val="0"/>
        <w:pageBreakBefore w:val="0"/>
        <w:kinsoku/>
        <w:wordWrap/>
        <w:overflowPunct/>
        <w:topLinePunct w:val="0"/>
        <w:autoSpaceDE/>
        <w:autoSpaceDN/>
        <w:bidi w:val="0"/>
        <w:adjustRightInd/>
        <w:snapToGrid/>
        <w:spacing w:line="300" w:lineRule="auto"/>
        <w:ind w:firstLine="1260"/>
        <w:textAlignment w:val="auto"/>
        <w:outlineLvl w:val="9"/>
        <w:rPr>
          <w:rFonts w:hint="default"/>
          <w:color w:val="auto"/>
          <w:highlight w:val="none"/>
        </w:rPr>
      </w:pPr>
      <w:r>
        <w:rPr>
          <w:color w:val="auto"/>
          <w:highlight w:val="none"/>
        </w:rPr>
        <w:t xml:space="preserve"> 强制采购         优先采购</w:t>
      </w:r>
    </w:p>
    <w:p>
      <w:pPr>
        <w:pStyle w:val="23"/>
        <w:keepNext w:val="0"/>
        <w:keepLines w:val="0"/>
        <w:pageBreakBefore w:val="0"/>
        <w:kinsoku/>
        <w:wordWrap/>
        <w:overflowPunct/>
        <w:topLinePunct w:val="0"/>
        <w:autoSpaceDE/>
        <w:autoSpaceDN/>
        <w:bidi w:val="0"/>
        <w:adjustRightInd/>
        <w:snapToGrid/>
        <w:spacing w:line="300" w:lineRule="auto"/>
        <w:ind w:firstLine="840"/>
        <w:textAlignment w:val="auto"/>
        <w:outlineLvl w:val="9"/>
        <w:rPr>
          <w:rFonts w:hint="default"/>
          <w:color w:val="auto"/>
          <w:highlight w:val="none"/>
        </w:rPr>
      </w:pPr>
      <w:r>
        <w:rPr>
          <w:color w:val="auto"/>
          <w:highlight w:val="none"/>
        </w:rPr>
        <w:t xml:space="preserve"> 否</w:t>
      </w:r>
    </w:p>
    <w:p>
      <w:pPr>
        <w:pStyle w:val="23"/>
        <w:keepNext w:val="0"/>
        <w:keepLines w:val="0"/>
        <w:pageBreakBefore w:val="0"/>
        <w:kinsoku/>
        <w:wordWrap/>
        <w:overflowPunct/>
        <w:topLinePunct w:val="0"/>
        <w:autoSpaceDE/>
        <w:autoSpaceDN/>
        <w:bidi w:val="0"/>
        <w:adjustRightInd/>
        <w:snapToGrid/>
        <w:ind w:firstLine="840"/>
        <w:textAlignment w:val="auto"/>
        <w:outlineLvl w:val="9"/>
        <w:rPr>
          <w:rFonts w:hint="default"/>
          <w:color w:val="auto"/>
          <w:highlight w:val="none"/>
        </w:rPr>
      </w:pPr>
      <w:r>
        <w:rPr>
          <w:color w:val="auto"/>
          <w:highlight w:val="none"/>
        </w:rPr>
        <w:t>是否涉及绿色产品：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是，绿色产品政府采购相关政策确定的底级品目名称：__________</w:t>
      </w:r>
    </w:p>
    <w:p>
      <w:pPr>
        <w:pStyle w:val="23"/>
        <w:keepNext w:val="0"/>
        <w:keepLines w:val="0"/>
        <w:pageBreakBefore w:val="0"/>
        <w:kinsoku/>
        <w:wordWrap/>
        <w:overflowPunct/>
        <w:topLinePunct w:val="0"/>
        <w:autoSpaceDE/>
        <w:autoSpaceDN/>
        <w:bidi w:val="0"/>
        <w:adjustRightInd/>
        <w:snapToGrid/>
        <w:spacing w:line="300" w:lineRule="auto"/>
        <w:ind w:firstLine="1260"/>
        <w:textAlignment w:val="auto"/>
        <w:outlineLvl w:val="9"/>
        <w:rPr>
          <w:rFonts w:hint="default"/>
          <w:color w:val="auto"/>
          <w:highlight w:val="none"/>
        </w:rPr>
      </w:pPr>
      <w:r>
        <w:rPr>
          <w:color w:val="auto"/>
          <w:highlight w:val="none"/>
        </w:rPr>
        <w:t xml:space="preserve"> 强制采购         优先采购</w:t>
      </w:r>
    </w:p>
    <w:p>
      <w:pPr>
        <w:pStyle w:val="23"/>
        <w:keepNext w:val="0"/>
        <w:keepLines w:val="0"/>
        <w:pageBreakBefore w:val="0"/>
        <w:kinsoku/>
        <w:wordWrap/>
        <w:overflowPunct/>
        <w:topLinePunct w:val="0"/>
        <w:autoSpaceDE/>
        <w:autoSpaceDN/>
        <w:bidi w:val="0"/>
        <w:adjustRightInd/>
        <w:snapToGrid/>
        <w:spacing w:line="300" w:lineRule="auto"/>
        <w:ind w:firstLine="840"/>
        <w:textAlignment w:val="auto"/>
        <w:outlineLvl w:val="9"/>
        <w:rPr>
          <w:rFonts w:hint="default"/>
          <w:color w:val="auto"/>
          <w:highlight w:val="none"/>
        </w:rPr>
      </w:pPr>
      <w:r>
        <w:rPr>
          <w:color w:val="auto"/>
          <w:highlight w:val="none"/>
        </w:rPr>
        <w:t xml:space="preserve"> 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(11)涉及商品包装和快递包装的，是否参考《商品包装政府采购需求标准（试行）》、《快递包装政府采购需求标准（试行）》明确产品及相关快递服务的具体包装要求：</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         否        不涉及</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2.合同金额</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（1）合同金额小写：____________________</w:t>
      </w:r>
    </w:p>
    <w:p>
      <w:pPr>
        <w:pStyle w:val="23"/>
        <w:keepNext w:val="0"/>
        <w:keepLines w:val="0"/>
        <w:pageBreakBefore w:val="0"/>
        <w:kinsoku/>
        <w:wordWrap/>
        <w:overflowPunct/>
        <w:topLinePunct w:val="0"/>
        <w:autoSpaceDE/>
        <w:autoSpaceDN/>
        <w:bidi w:val="0"/>
        <w:adjustRightInd/>
        <w:snapToGrid/>
        <w:ind w:firstLine="1980"/>
        <w:textAlignment w:val="auto"/>
        <w:outlineLvl w:val="9"/>
        <w:rPr>
          <w:rFonts w:hint="default"/>
          <w:color w:val="auto"/>
          <w:highlight w:val="none"/>
        </w:rPr>
      </w:pPr>
      <w:r>
        <w:rPr>
          <w:color w:val="auto"/>
          <w:highlight w:val="none"/>
        </w:rPr>
        <w:t>大写：____________________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分包金额（如有）小写：____________________</w:t>
      </w:r>
    </w:p>
    <w:p>
      <w:pPr>
        <w:pStyle w:val="23"/>
        <w:keepNext w:val="0"/>
        <w:keepLines w:val="0"/>
        <w:pageBreakBefore w:val="0"/>
        <w:kinsoku/>
        <w:wordWrap/>
        <w:overflowPunct/>
        <w:topLinePunct w:val="0"/>
        <w:autoSpaceDE/>
        <w:autoSpaceDN/>
        <w:bidi w:val="0"/>
        <w:adjustRightInd/>
        <w:snapToGrid/>
        <w:ind w:firstLine="2820"/>
        <w:textAlignment w:val="auto"/>
        <w:outlineLvl w:val="9"/>
        <w:rPr>
          <w:rFonts w:hint="default"/>
          <w:color w:val="auto"/>
          <w:highlight w:val="none"/>
        </w:rPr>
      </w:pPr>
      <w:r>
        <w:rPr>
          <w:color w:val="auto"/>
          <w:highlight w:val="none"/>
        </w:rPr>
        <w:t>大写：____________________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（注：固定单价合同应填写单价和最高限价）</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（2）合同定价方式（采用组合定价方式的，可以勾选多项）：</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固定总价固定单价成本补偿绩效激励其他__________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（3）付款方式（按项目实际勾选填写）：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全额付款：_______（应明确一次性支付合同款项的条件）_____________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分期付款：_______（应明确分期支付合同款项的各期比例和支付条件，各期支付条件应与分期履约验收情况挂钩）_____________，其中涉及预付款的：_______ （应明确预付款的支付比例和支付条件）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成本补偿：_______（应明确按照成本补偿方式的支付方式和支付条件）___________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绩效激励：_______（应明确按照绩效激励方式的支付方式和支付条件）_________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3.合同履行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（1）起始日期：____________________年____________________月 ____________________日 ，完成日期：____________________年____________________月____________________日。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（2）履约地点：____________________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（3）履约担保：</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是否收取履约保证金：是 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收取履约保证金形式：____________________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收取履约保证金金额：____________________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履约担保期限：____________________</w:t>
      </w:r>
    </w:p>
    <w:p>
      <w:pPr>
        <w:pStyle w:val="23"/>
        <w:keepNext w:val="0"/>
        <w:keepLines w:val="0"/>
        <w:pageBreakBefore w:val="0"/>
        <w:kinsoku/>
        <w:wordWrap/>
        <w:overflowPunct/>
        <w:topLinePunct w:val="0"/>
        <w:autoSpaceDE/>
        <w:autoSpaceDN/>
        <w:bidi w:val="0"/>
        <w:adjustRightInd/>
        <w:snapToGrid/>
        <w:ind w:firstLine="510"/>
        <w:textAlignment w:val="auto"/>
        <w:outlineLvl w:val="9"/>
        <w:rPr>
          <w:rFonts w:hint="default"/>
          <w:color w:val="auto"/>
          <w:highlight w:val="none"/>
        </w:rPr>
      </w:pPr>
      <w:r>
        <w:rPr>
          <w:color w:val="auto"/>
          <w:highlight w:val="none"/>
        </w:rPr>
        <w:t>履约担保期限：____________________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（4）分期履行要求：____________________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（5）风险处置措施和替代方案：____________________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4.合同验收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（1）验收组织方式：自行验收委托第三方验收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验收主体：____________________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是否邀请本项目的其他供应商参加验收：是否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是否邀请专家参加验收：是否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是否邀请服务对象参加验收：是否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是否邀请第三方检测机构参加验收：是否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是否进行抽查检测： 是，抽查比例：__________%否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是否存在破坏性检测： 是，__________否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验收组织的其他事项：____________________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（2）履约验收时间：计划于何时验收/供应商提出验收申请之日起_______日内组织验收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（3）履约验收方式：一次性验收分期/分项验收：__________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（4）履约验收程序：____________________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（5）履约验收的内容：_________（应当包括每一项技术和商务要求的履约情况，特别是落实政府采购扶持中小企业，支持绿色发展和乡村振兴等政策情况）___________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（6）履约验收标准：_____________________________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（7）是否以采购活动中供应商提供的样品作为参考：是否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（8）履约验收其他事项：_______________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5.组成合同的文件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本协议书与下列文件一起构成合同文件，如下述文件之间有任何抵触、矛盾或歧义，应按以下顺序解释：</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（1）政府采购合同协议书及其变更、补充协议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（2）政府采购合同专用条款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（3）政府采购合同通用条款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（4）中标（成交）通知书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（5）投标（响应）文件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（6）采购文件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（7）有关技术文件，图纸</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（8）国家法律、行政法规和规章制度规定或合同约定的作为合同组成部分的其他文件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6.合同生效</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本合同自____________________生效。</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7.合同份数</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本合同一式 _______ 份，甲方执 _______ 份，乙方执 _______ 份，均具有同等法律效力。</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合同订立时间：详见本合同封面的签订时间。</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合同订立地点： ____________________________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附件：具体标的及其技术要求和商务要求、联合协议、分包意向协议等。</w:t>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甲方（采购人、受采购人委托签订合同的单位或采购文件约定的合同甲方）</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单位名称（公章或合同章）： {{未填写}}（盖章）</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法定代表人或其委托代理人（签章）：{{未填写}}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住 所：{{未填写}}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联 系 人：{{未填写}}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联系电话：{{未填写}}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通信地址：{{未填写}}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邮政编码：{{未填写}}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电子邮箱：{{未填写}}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统一社会信用代码：{{未填写}}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36"/>
          <w:highlight w:val="none"/>
        </w:rPr>
        <w:t>第二节 政府采购合同通用条款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 定义</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1.1合同当事人</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（1）采购人（以下称甲方）是指使用财政性资金，通过政府采购方式向供应商购买货物及其相关服务的国家机关、事业单位、团体组织。</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（2）供应商（以下称乙方）是指参加政府采购活动并且中标（成交），向采购人提供合同约定的货物及其相关服务的法人、非法人组织或者自然人。</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（3）其他合同主体是指除采购人和供应商以外，依法参与合同缔结或履行，享有权利、承担义务的合同当事人。</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1.2本合同下列术语应解释为：</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（2）“合同价款”系指根据本合同规定乙方在全面履行合同义务后甲方应支付给乙方的价款。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（3）“货物”系指乙方根据本合同规定须向甲方提供的各种形态和种类的物品，包括原材料、设备、产品（包括软件）及相关的其备品备件、工具、手册及其他技术资料和材料等。</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（5）“分包”系指中标（成交）供应商按采购文件、投标（响应）文件的规定，根据分包意向协议，将中标（成交）项目中的部分履约内容，分给具有相应资质条件的供应商履行合同的行为。</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color w:val="auto"/>
          <w:highlight w:val="none"/>
        </w:rPr>
        <w:t>【政府采购合同专用条款】</w:t>
      </w:r>
      <w:r>
        <w:rPr>
          <w:color w:val="auto"/>
          <w:highlight w:val="none"/>
        </w:rPr>
        <w:t>。</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（7）其他术语解释，见</w:t>
      </w:r>
      <w:r>
        <w:rPr>
          <w:b/>
          <w:color w:val="auto"/>
          <w:highlight w:val="none"/>
        </w:rPr>
        <w:t>【政府采购合同专用条款】</w:t>
      </w:r>
      <w:r>
        <w:rPr>
          <w:color w:val="auto"/>
          <w:highlight w:val="none"/>
        </w:rPr>
        <w:t>。</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2.合同标的及金额</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2.1 合同标的及金额应与中标（成交）结果一致。乙方为履行本合同而发生的所有费用均应包含在合同价款中，甲方不再另行支付其他任何费用。</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3. 履行合同的时间、地点和方式</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3.1 乙方应当在约定的时间、地点，按照约定方式履行合同。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4. 甲方的权利和义务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4.1 签署合同后，甲方应确定项目负责人（或项目联系人），负责与本合同有关的事务。甲方有权对乙方的履约行为进行检查，并及时确认乙方提交的事项。甲方应当配合乙方完成相关项目实施工作。</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4.2 甲方有权要求乙方按时提交各阶段有关安排计划，并有权定期核对乙方提供货物数量、规格、质量等内容。甲方有权督促乙方工作并要求乙方更换不符合要求的货物。</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4.3 甲方有权要求乙方对缺陷部分予以修复，并按合同约定享有货物保修及其他合同约定的权利。</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4.4 甲方应当按照合同约定及时对交付的货物进行验收，未在</w:t>
      </w:r>
      <w:r>
        <w:rPr>
          <w:b/>
          <w:color w:val="auto"/>
          <w:highlight w:val="none"/>
        </w:rPr>
        <w:t>【政府采购合同专用条款】</w:t>
      </w:r>
      <w:r>
        <w:rPr>
          <w:color w:val="auto"/>
          <w:highlight w:val="none"/>
        </w:rPr>
        <w:t>约定的期限内对乙方履约提出任何异议或者向乙方作出任何说明的，视为验收通过。</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4.5 甲方应当根据合同约定及时向乙方支付合同价款，不得以内部人员变更、履行内部付款流程等为由，拒绝或迟延支付。</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4.6 国家法律法规规定及</w:t>
      </w:r>
      <w:r>
        <w:rPr>
          <w:b/>
          <w:color w:val="auto"/>
          <w:highlight w:val="none"/>
        </w:rPr>
        <w:t>【政府采购合同专用条款】</w:t>
      </w:r>
      <w:r>
        <w:rPr>
          <w:color w:val="auto"/>
          <w:highlight w:val="none"/>
        </w:rPr>
        <w:t>约定应由甲方承担的其他义务和责任。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5. 乙方的权利和义务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5.1 签署合同后，乙方应确定项目负责人（或项目联系人），负责与本合同有关的事务。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5.3乙方有权根据合同约定向甲方收取合同价款。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5.4国家法律法规规定及</w:t>
      </w:r>
      <w:r>
        <w:rPr>
          <w:b/>
          <w:color w:val="auto"/>
          <w:highlight w:val="none"/>
        </w:rPr>
        <w:t>【政府采购合同专用条款】</w:t>
      </w:r>
      <w:r>
        <w:rPr>
          <w:color w:val="auto"/>
          <w:highlight w:val="none"/>
        </w:rPr>
        <w:t>约定应由乙方承担的其他义务和责任。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6.合同履行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6.1 甲乙双方应当按照</w:t>
      </w:r>
      <w:r>
        <w:rPr>
          <w:b/>
          <w:color w:val="auto"/>
          <w:highlight w:val="none"/>
        </w:rPr>
        <w:t>【政府采购合同专用条款】</w:t>
      </w:r>
      <w:r>
        <w:rPr>
          <w:color w:val="auto"/>
          <w:highlight w:val="none"/>
        </w:rPr>
        <w:t>约定顺序履行合同义务；如果没有先后顺序的，应当同时履行。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6.2 甲乙双方按照合同约定顺序履行合同义务时，应当先履行一方未履行的，后履行一方有权拒绝其履行请求。先履行一方履行不符合约定的，后履行一方有权拒绝其相应的履行请求。</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7. 货物包装、运输、保险和交付要求</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7.1 本合同涉及商品包装、快递包装的，除</w:t>
      </w:r>
      <w:r>
        <w:rPr>
          <w:b/>
          <w:color w:val="auto"/>
          <w:highlight w:val="none"/>
        </w:rPr>
        <w:t>【政府采购合同专用条款】</w:t>
      </w:r>
      <w:r>
        <w:rPr>
          <w:color w:val="auto"/>
          <w:highlight w:val="none"/>
        </w:rPr>
        <w:t>另有约定外，包装应适应远距离运输、防潮、防震、防锈和防野蛮装卸等要求，确保货物安全无损地运抵</w:t>
      </w:r>
      <w:r>
        <w:rPr>
          <w:b/>
          <w:color w:val="auto"/>
          <w:highlight w:val="none"/>
        </w:rPr>
        <w:t>【政府采购合同专用条款】</w:t>
      </w:r>
      <w:r>
        <w:rPr>
          <w:color w:val="auto"/>
          <w:highlight w:val="none"/>
        </w:rPr>
        <w:t>约定的指定现场。</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7.2 除</w:t>
      </w:r>
      <w:r>
        <w:rPr>
          <w:b/>
          <w:color w:val="auto"/>
          <w:highlight w:val="none"/>
        </w:rPr>
        <w:t>【政府采购合同专用条款】</w:t>
      </w:r>
      <w:r>
        <w:rPr>
          <w:color w:val="auto"/>
          <w:highlight w:val="none"/>
        </w:rPr>
        <w:t>另有约定外，乙方负责办理将货物运抵本合同规定的交货地点，并装卸、交付至甲方的一切运输事项，相关费用应包含在合同价款中。</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7.3 货物保险要求按</w:t>
      </w:r>
      <w:r>
        <w:rPr>
          <w:b/>
          <w:color w:val="auto"/>
          <w:highlight w:val="none"/>
        </w:rPr>
        <w:t>【政府采购合同专用条款】</w:t>
      </w:r>
      <w:r>
        <w:rPr>
          <w:color w:val="auto"/>
          <w:highlight w:val="none"/>
        </w:rPr>
        <w:t>规定执行。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7.5 乙方在运输到达之前应提前通知甲方，并提示货物运输装卸的注意事项，甲方配合乙方做好货物的接收工作。</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7.6 如因包装、运输问题导致货物损毁、丢失或者品质下降，甲方有权要求降价、换货、拒收部分或整批货物，由此产生的费用和损失，均由乙方承担。</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8. 质量标准和保证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8.1 质量标准</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w:t>
      </w:r>
      <w:r>
        <w:rPr>
          <w:rFonts w:hint="eastAsia"/>
          <w:color w:val="auto"/>
          <w:highlight w:val="none"/>
          <w:lang w:eastAsia="zh-CN"/>
        </w:rPr>
        <w:t>的</w:t>
      </w:r>
      <w:r>
        <w:rPr>
          <w:color w:val="auto"/>
          <w:highlight w:val="none"/>
        </w:rPr>
        <w:t>特定标准履行。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（2）采用中华人民共和国法定计量单位。</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（3）乙方所提供的货物应符合国家有关安全、环保、卫生的规定。</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（4）乙方应向甲方提交所提供货物的技术文件，包括相应的中文技术文件，如：产品目录、图纸、操作手册、使用说明、维护手册或服务指南等。上述文件应包装好随货物一同发运。</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8.2 保证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（2）在质量保证期内所发现的缺陷，甲方应尽快以书面形式通知乙方。</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（3）乙方收到通知后，应在【政府采购合同专用条款】规定的响应时间内以合理的速度免费维修或更换有缺陷的货物或部件。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（5）乙方在约定的时间内未能弥补缺陷，甲方可采取必要的补救措施，但其风险和费用将由乙方承担，甲方根据合同约定对乙方行使的其他权利不受影响。</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9. 权利瑕疵担保</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9.1 乙方保证对其出售的货物享有合法的权利。</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9.2 乙方保证在交付的货物上不存在抵押权等担保物权。</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9.3 如甲方使用上述货物构成对第三人侵权的，则由乙方承担全部责任。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10. 知识产权保护</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11. 保密义务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color w:val="auto"/>
          <w:highlight w:val="none"/>
        </w:rPr>
        <w:t>【政府采购合同专用条款】</w:t>
      </w:r>
      <w:r>
        <w:rPr>
          <w:color w:val="auto"/>
          <w:highlight w:val="none"/>
        </w:rPr>
        <w:t>中约定。</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12. 合同价款支付</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12.1 合同价款支付按照国库集中支付制度及财政管理相关规定执行。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color w:val="auto"/>
          <w:highlight w:val="none"/>
        </w:rPr>
        <w:t>【政府采购合同专用条款】</w:t>
      </w:r>
      <w:r>
        <w:rPr>
          <w:color w:val="auto"/>
          <w:highlight w:val="none"/>
        </w:rPr>
        <w:t>中约定。</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13. 履约保证金</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13.1 乙方应当以支票、汇票、本票或者金融机构、担保机构出具的保函等非现金形式提交。</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13.2 如果乙方出现</w:t>
      </w:r>
      <w:r>
        <w:rPr>
          <w:b/>
          <w:color w:val="auto"/>
          <w:highlight w:val="none"/>
        </w:rPr>
        <w:t>【政府采购合同专用条款】</w:t>
      </w:r>
      <w:r>
        <w:rPr>
          <w:color w:val="auto"/>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13.3 甲方在项目通过验收后按照</w:t>
      </w:r>
      <w:r>
        <w:rPr>
          <w:b/>
          <w:color w:val="auto"/>
          <w:highlight w:val="none"/>
        </w:rPr>
        <w:t>【政府采购合同专用条款】</w:t>
      </w:r>
      <w:r>
        <w:rPr>
          <w:color w:val="auto"/>
          <w:highlight w:val="none"/>
        </w:rPr>
        <w:t>规定的时间内将履约保证金退还乙方；逾期退还的，乙方可要求甲方支付违约金，违约金按照</w:t>
      </w:r>
      <w:r>
        <w:rPr>
          <w:b/>
          <w:color w:val="auto"/>
          <w:highlight w:val="none"/>
        </w:rPr>
        <w:t>【政府采购合同专用条款】</w:t>
      </w:r>
      <w:r>
        <w:rPr>
          <w:color w:val="auto"/>
          <w:highlight w:val="none"/>
        </w:rPr>
        <w:t>规定支付。</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14. 售后服务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14.1 除项目不涉及或采购活动中明确约定无须承担外，乙方还应提供下列服务：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（1）货物的现场移动、安装、调试、启动监督及技术支持；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（2）提供货物组装和维修所需的专用工具和辅助材料；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（3）在</w:t>
      </w:r>
      <w:r>
        <w:rPr>
          <w:b/>
          <w:color w:val="auto"/>
          <w:highlight w:val="none"/>
        </w:rPr>
        <w:t>【政府采购合同专用条款】</w:t>
      </w:r>
      <w:r>
        <w:rPr>
          <w:color w:val="auto"/>
          <w:highlight w:val="none"/>
        </w:rPr>
        <w:t>约定的期限内对所有的货物实施运行监督、维修，但前提条件是该服务并不能免除乙方在质量保证期内所承担的义务；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（4）在制造商所在地或指定现场就货物的安装、启动、运营、维护、废弃处置等对甲方操作人员进行培训；</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（5）依照法律、行政法规的规定或者按照</w:t>
      </w:r>
      <w:r>
        <w:rPr>
          <w:b/>
          <w:color w:val="auto"/>
          <w:highlight w:val="none"/>
        </w:rPr>
        <w:t>【政府采购合同专用条款】</w:t>
      </w:r>
      <w:r>
        <w:rPr>
          <w:color w:val="auto"/>
          <w:highlight w:val="none"/>
        </w:rPr>
        <w:t>约定，货物在有效使用年限届满后应予回收的，乙方负有自行或者委托第三人对货物予以回收的义务；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w:t>
      </w:r>
      <w:r>
        <w:rPr>
          <w:b/>
          <w:color w:val="auto"/>
          <w:highlight w:val="none"/>
        </w:rPr>
        <w:t>【政府采购合同专用条款】</w:t>
      </w:r>
      <w:r>
        <w:rPr>
          <w:color w:val="auto"/>
          <w:highlight w:val="none"/>
        </w:rPr>
        <w:t>规定由乙方提供的其他服务。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14.2 乙方提供的售后服务的费用已包含在合同价款中，甲方不再另行支付。</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15. 违约责任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15.1质量瑕疵的违约责任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乙方提供的产品不符合合同约定的质量标准或存在产品质量缺陷，甲方有权要求乙方根据</w:t>
      </w:r>
      <w:r>
        <w:rPr>
          <w:b/>
          <w:color w:val="auto"/>
          <w:highlight w:val="none"/>
        </w:rPr>
        <w:t>【政府采购合同专用条款】</w:t>
      </w:r>
      <w:r>
        <w:rPr>
          <w:color w:val="auto"/>
          <w:highlight w:val="none"/>
        </w:rPr>
        <w:t>要求及时修理、重作、更换，并承担由此给甲方造成的损失。</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15.2 迟延交货的违约责任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（2）如果乙方没有按照合同规定的时间交货和提供相关服务，甲方有权从货款中扣除误期赔偿费而不影响合同项下的其他补救方法，赔偿费按</w:t>
      </w:r>
      <w:r>
        <w:rPr>
          <w:b/>
          <w:color w:val="auto"/>
          <w:highlight w:val="none"/>
        </w:rPr>
        <w:t>【政府采购合同专用条款】</w:t>
      </w:r>
      <w:r>
        <w:rPr>
          <w:color w:val="auto"/>
          <w:highlight w:val="none"/>
        </w:rPr>
        <w:t>规定执行。如果涉及公共利益，且赔偿金额无法弥补公共利益损失，甲方可要求继续履行或者采取其他补救措施。</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15.3 迟延支付的违约责任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甲方存在迟延支付乙方合同款项的，应当承担</w:t>
      </w:r>
      <w:r>
        <w:rPr>
          <w:b/>
          <w:color w:val="auto"/>
          <w:highlight w:val="none"/>
        </w:rPr>
        <w:t>【政府采购合同专用条款】</w:t>
      </w:r>
      <w:r>
        <w:rPr>
          <w:color w:val="auto"/>
          <w:highlight w:val="none"/>
        </w:rPr>
        <w:t>规定的逾期付款利息。</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15.4其他违约责任根据项目实际需要按</w:t>
      </w:r>
      <w:r>
        <w:rPr>
          <w:b/>
          <w:color w:val="auto"/>
          <w:highlight w:val="none"/>
        </w:rPr>
        <w:t>【政府采购合同专用条款】</w:t>
      </w:r>
      <w:r>
        <w:rPr>
          <w:color w:val="auto"/>
          <w:highlight w:val="none"/>
        </w:rPr>
        <w:t>规定执行。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16.合同变更、中止与终止</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16.1合同的变更</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政府采购合同履行中，在不改变合同其他条款的前提下，甲方可以在合同价款10%的范围内追加与合同标的相同的货物，并就此与乙方协商一致后签订补充协议。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16.2合同的中止</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（1）合同履行过程中因供应商就采购文件、采购过程或结果提起投诉的，甲方认为有必要的，可以中止合同的履行。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（3）乙方分立、合并或者变更住所的，应当及时以书面形式告知甲方。乙方没有及时告知甲方，致使合同履行发生困难的，甲方可以中止合同履行并要求乙方承担由此给甲方造成的损失。</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（4）甲方不得以行政区划调整、政府换届、机构或者职能调整以及相关责任人更替为由中止合同。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16.3合同的终止</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（1）合同因有效期限届满而终止；</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（2）乙方未按合同约定履行，构成根本性违约的，甲方有权终止合同，并追究乙方的违约责任。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16.4 涉及国家利益、社会公共利益的情形</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政府采购合同继续履行将损害国家利益和社会公共利益的，双方当事人应当变更、中止或者终止合同。有过错的一方应当承担赔偿责任，双方都有过错的，各自承担相应的责任。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17. 合同分包</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17.1 乙方不得将合同转包给其他供应商。涉及合同分包的，乙方应根据采购文件和投标（响应）文件规定进行合同分包。</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17.2 乙方执行政府采购政策向中小企业依法分包的，乙方应当按采购文件和投标（响应）文件签订分包意向协议，分包意向协议属于本合同组成部分。</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18. 不可抗力</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18.1 不可抗力是指合同双方不能预见、不能避免且不能克服的客观情况。</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18.2 任何一方对由于不可抗力造成的部分或全部不能履行合同不承担违约责任。但迟延履行后发生不可抗力的，不能免除责任。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19. 解决争议的方法</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19.1 因本合同及合同有关事项发生的争议，由甲乙双方友好协商解决。协商不成时，可以向有关组织申请调解。合同一方或双方不愿调解或调解不成的，可以通过仲裁或诉讼的方式解决争议。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19.2 选择仲裁的，应在</w:t>
      </w:r>
      <w:r>
        <w:rPr>
          <w:b/>
          <w:color w:val="auto"/>
          <w:highlight w:val="none"/>
        </w:rPr>
        <w:t>【政府采购合同专用条款】</w:t>
      </w:r>
      <w:r>
        <w:rPr>
          <w:color w:val="auto"/>
          <w:highlight w:val="none"/>
        </w:rPr>
        <w:t>中明确仲裁机构及仲裁地；通过诉讼方式解决的，可以在</w:t>
      </w:r>
      <w:r>
        <w:rPr>
          <w:b/>
          <w:color w:val="auto"/>
          <w:highlight w:val="none"/>
        </w:rPr>
        <w:t>【政府采购合同专用条款】</w:t>
      </w:r>
      <w:r>
        <w:rPr>
          <w:color w:val="auto"/>
          <w:highlight w:val="none"/>
        </w:rPr>
        <w:t>中进一步约定选择与争议有实际联系的地点的人民法院管辖，但管辖法院的约定不得违反级别管辖和专属管辖的规定。</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19.3 如甲乙双方有争议的事项不影响合同其他部分的履行，在争议解决期间，合同其他部分应当继续履行。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20. 政府采购政策</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20.1 本合同应当按照规定执行政府采购政策。</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21. 法律适用</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21.1 本合同的订立、生效、解释、履行及与本合同有关的争议解决，均适用法律、行政法规。</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21.2 本合同条款与法律、行政法规的强制性规定不一致的，双方当事人应按照法律、行政法规的强制性规定修改本合同的相关条款。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22. 通知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22.1 本合同任何一方向对方发出的通知、信件、数据电文等，应当发送至本合同第一部分《政府采购合同协议书》所约定的通讯地址、联系人、联系电话或电子邮箱。</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22.2 一方当事人变更名称、住所、联系人、联系电话或电子邮箱等信息的，应当在变更后3日内及时书面通知对方，对方实际收到变更通知前的送达仍为有效送达。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22.3本合同一方给另一方的通知均应采用书面形式，传真或快递送到本合同中规定的对方的地址和办理签收手续。</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22.4通知以送达之日或通知书中规定的生效之日起生效，两者中以较迟之日为准。</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23.合同未尽事项</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23.1合同未尽事项见</w:t>
      </w:r>
      <w:r>
        <w:rPr>
          <w:b/>
          <w:color w:val="auto"/>
          <w:highlight w:val="none"/>
        </w:rPr>
        <w:t>【政府采购合同专用条款】</w:t>
      </w:r>
      <w:r>
        <w:rPr>
          <w:color w:val="auto"/>
          <w:highlight w:val="none"/>
        </w:rPr>
        <w:t>。</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23.2 合同附件与合同正文具有同等的法律效力。</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第三节 政府采购合同专用条款</w:t>
      </w:r>
    </w:p>
    <w:tbl>
      <w:tblPr>
        <w:tblStyle w:val="1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第1.2（6）项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联合体具体要求</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第1.2（7）项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其他术语解释</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第4.4款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履约验收中甲方提出异议或作出说明的期限</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第4.6款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约定甲方承担的其他义务和责任</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第5.4款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约定乙方承担的其他义务和责任</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第6.1款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履行合同义务的顺序</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第7.1款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包装特殊要求</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vMerge w:val="continue"/>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指定现场</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第7.2款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运输特殊要求</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第7.3款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保险要求</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第8.2（1）项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质量保证期</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第8.2（3）项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货物质量缺陷响应时间</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第11.1款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其他应当保密的信息</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第12.2款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合同价款支付时间</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第13.2款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履约保证金不予退还的情形</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第13.3款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履约保证金退还时间及逾期退还的违约金</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第14.1（3）项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运行监督、维修期限</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第14.1（5）项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货物回收的约定</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第14.1（6）项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乙方提供的其他服务</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第15.1款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修理、重作、更换相关具体规定</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第15.2（2）项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迟延交货赔偿费</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第15.3款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逾期付款利息</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第15.4款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其他违约责任</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第19.2款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解决争议的方法</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因本合同及合同有关事项发生的争议，按下列第____ 种方式解决：</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（1）向 __________________仲裁委员会申请仲裁，仲裁地点为 ____________ ；</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第23.1款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其他专用条款</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bl>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3"/>
        <w:bidi w:val="0"/>
        <w:rPr>
          <w:rFonts w:hint="default"/>
          <w:color w:val="auto"/>
          <w:highlight w:val="none"/>
        </w:rPr>
      </w:pPr>
      <w:bookmarkStart w:id="13" w:name="_Toc17394"/>
      <w:r>
        <w:rPr>
          <w:color w:val="auto"/>
          <w:highlight w:val="none"/>
        </w:rPr>
        <w:t>第七章 电子投标文件格式</w:t>
      </w:r>
      <w:bookmarkEnd w:id="13"/>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编制说明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1、除招标文件另有规定外，本章中：</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1.1涉及投标人的“全称”：</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（1）不接受联合体投标的，指投标人的全称。</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（2）接受联合体投标且投标人为联合体的，指牵头方的全称并加注（联合体牵头方），即应表述为：“牵头方的全称（联合体牵头方）”。</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1.2涉及投标人“加盖单位公章”：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（1）不接受联合体投标的，指加盖投标人的单位公章。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（2）接受联合体投标且投标人为联合体的，指加盖联合体牵头方的单位公章。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1.3涉及“投标人代表签字”：</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（1）不接受联合体投标的，指由投标人的单位负责人或其授权的委托代理人签字，由委托代理人签字的，应提供“单位授权书”。</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1.4“其他组织”指合伙企业、非企业专业服务机构、个体工商户、农村承包经营户等。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1.5“自然人”指具有完全民事行为能力、能够承担民事责任和义务的中国公民。</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2、除招标文件另有规定外，本章中“投标人的资格及资信证明文件”：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2.1投标人应按照招标文件第四章第1.3条第（2）款规定及本章规定进行编制，如有必要，可增加附页，附页作为资格及资信文件的组成部分。</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2.2接受联合体投标且投标人为联合体的，联合体中的各方均应按照本章第2.1条规定提交相应的全部资料。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3、投标人对电子投标文件的索引应编制页码。</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4、本章提供格式仅供参考，投标人应根据自身实际情况制作电子投标文件。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封面格式(资格及资信证明部分)</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福建省政府采购投标文件</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（项目名称：（由投标人填写）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（备案编号：（由投标人填写）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（项目编号：（由投标人填写）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投标人：（填写“全称”）</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（由投标人填写）年（由投标人填写）月</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索引</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一、投标函</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二、投标人的资格及资信证明文件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三、投标保证金</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一、投标函</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兹收到贵单位关于</w:t>
      </w:r>
      <w:r>
        <w:rPr>
          <w:color w:val="auto"/>
          <w:highlight w:val="none"/>
          <w:u w:val="single"/>
        </w:rPr>
        <w:t xml:space="preserve">（填写“项目名称”） </w:t>
      </w:r>
      <w:r>
        <w:rPr>
          <w:color w:val="auto"/>
          <w:highlight w:val="none"/>
        </w:rPr>
        <w:t>项目</w:t>
      </w:r>
      <w:r>
        <w:rPr>
          <w:color w:val="auto"/>
          <w:highlight w:val="none"/>
          <w:u w:val="single"/>
        </w:rPr>
        <w:t xml:space="preserve">（项目编号：　　　　　） </w:t>
      </w:r>
      <w:r>
        <w:rPr>
          <w:color w:val="auto"/>
          <w:highlight w:val="none"/>
        </w:rPr>
        <w:t>的投标邀请，本投标人代表</w:t>
      </w:r>
      <w:r>
        <w:rPr>
          <w:color w:val="auto"/>
          <w:highlight w:val="none"/>
          <w:u w:val="single"/>
        </w:rPr>
        <w:t xml:space="preserve">（填写“全名”） </w:t>
      </w:r>
      <w:r>
        <w:rPr>
          <w:color w:val="auto"/>
          <w:highlight w:val="none"/>
        </w:rPr>
        <w:t>已获得我方正式授权并代表投标人（填写“全称”）参加投标，并提交电子投标文件。我方提交的全部电子投标文件由下述部分组成：</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（1）资格及资信证明部分</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①投标函</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②投标人的资格及资信证明文件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③投标保证金</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（2）报价部分</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①开标（报价）一览表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②投标（响应）报价明细表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③招标文件规定的价格扣除证明材料（若有）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④招标文件规定的加分证明材料（若有）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（3）技术商务部分</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①标的说明一览表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②技术和服务要求响应表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③商务条件响应表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④投标人提交的其他资料（若有）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根据本函，本投标人代表宣布我方保证遵守招标文件的全部规定，同时：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1、确认：</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1.1所投采购包的投标报价详见“开标（报价）一览表”及“投标（响应）报价明细表”。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2、承诺及声明：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2.1我方具备招标文件第一章载明的“投标人的资格要求”且符合招标文件第三章载明的“二、投标人”之规定，否则投标无效。</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2.3我方提供的标的价格不高于同期市场价格，否则产生不利后果由我方承担责任。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2.4投标保证金：若出现招标文件第三章规定的不予退还情形，同意贵单位不予退还。</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2.5投标有效期：按照招标文件第三章规定执行，并在招标文件第二章载明的期限内保持有效。</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2.6若中标，将按照招标文件、我方电子投标文件及政府采购合同履行责任和义务。</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2.8我方承诺遵守《中华人民共和国劳动合同法》有关规定和《中华人民共和国妇女权益保障法 》中关于“劳动和社会保障权益”的有关要求。</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2.9我方承诺电子投标文件所提供的全部资料真实可靠，并接受评标委员会、采购人、采购代理机构、监管部门进一步审查其中任何资料真实性的要求。</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2.10除招标文件另有规定外，对于贵单位按照下述联络方式发出的任何信息或通知，均视为我方已收悉前述信息或通知的全部内容：</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通信地址：</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邮编：</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联系方法：（包括但不限于：联系人、联系电话、手机、传真、电子邮箱等）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投标人：（全称并加盖单位公章）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日期：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二、投标人的资格及资信证明文件</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二-1单位授权书（若有）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投标人代表无转委权。特此授权。</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（以下无正文）</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授权方</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签署日期：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附：单位负责人、投标人代表的身份证正反面复印件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要求：真实有效且内容完整、清晰、整洁。</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4、投标人为自然人的，可不填写本授权书。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二-2营业执照等证明文件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）投标人为法人（包括企业、事业单位和社会团体）的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）投标人为非法人（包括其他组织、自然人）的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1、请投标人按照实际情况编制填写，在相应的（）中打“√”并选择相应的“□”（若有）后，再按照本格式的要求提供相应证明材料的复印件。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二-3财务状况报告（财务报告、或资信证明）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）投标人提供财务报告的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）投标人提供资信证明的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1、请投标人按照实际情况编制填写，在相应的（）中打“√”并选择相应的“□”（若有）后，再按照本格式的要求提供相应证明材料的复印件。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2、投标人提供的财务报告复印件（成立年限按照投标截止时间推算）应符合下列规定：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2.1成立年限满1年及以上的投标人，提供经审计的招标文件规定的年度财务报告。</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2.2成立年限满半年但不足1年的投标人，提供该半年度中任一季度的季度财务报告或该半年度的半年度财务报告。</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二-4依法缴纳税收证明材料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1、依法缴纳税收的投标人</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）法人（包括企业、事业单位和社会团体）的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）非法人（包括其他组织、自然人）的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2、依法免税的投标人</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）现附上我方依法免税的证明材料复印件，上述证明材料真实有效，否则我方负全部责任。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1、请投标人按照实际情况编制填写，在相应的（）中打“√”，并按照本格式的要求提供相应证明材料的复印件。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2、投标人提供的税收缴纳凭据复印件应符合下列规定：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2.2投标截止时间的当月成立的投标人，视同满足本项资格条件要求。</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3、若为依法免税范围的投标人，提供依法免税证明材料的，视同满足本项资格条件要求。</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二-5依法缴纳社会保障资金证明材料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1、依法缴纳社会保障资金的投标人</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）法人（包括企业、事业单位和社会团体）的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）非法人（包括其他组织、自然人）的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2、依法不需要缴纳或暂缓缴纳社会保障资金的投标人</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）现附上我方依法不需要缴纳或暂缓缴纳社会保障资金证明材料复印件，上述证明材料真实有效，否则我方负全部责任。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1、请投标人按照实际情况编制填写，在相应的（）中打“√”，并按照本格式的要求提供相应证明材料的复印件。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2、投标人提供的社会保障资金缴纳凭据复印件应符合下列规定：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2.2投标截止时间的当月成立的投标人，视同满足本项资格条件要求。</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二-6具备履行合同所必需设备和专业技术能力的声明函（若有）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我方具备履行合同所必需的设备和专业技术能力，否则产生不利后果由我方承担责任。</w:t>
      </w:r>
    </w:p>
    <w:p>
      <w:pPr>
        <w:pStyle w:val="23"/>
        <w:keepNext w:val="0"/>
        <w:keepLines w:val="0"/>
        <w:pageBreakBefore w:val="0"/>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特此声明。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1、招标文件未要求投标人提供“具备履行合同所必需的设备和专业技术能力专项证明材料”的，投标人应提供本声明函。</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2、招标文件要求投标人提供“具备履行合同所必需的设备和专业技术能力专项证明材料”的，投标人可不提供本声明函。</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3、请投标人根据实际情况如实声明，否则视为提供虚假材料。</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二-7参加采购活动前三年内在经营活动中没有重大违法记录书面声明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23"/>
        <w:keepNext w:val="0"/>
        <w:keepLines w:val="0"/>
        <w:pageBreakBefore w:val="0"/>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特此声明。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请投标人根据实际情况如实声明，否则视为提供虚假材料。</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二-8信用记录查询提示</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1、由资格审查小组通过网站查询并打印投标人的信用记录。</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二-9中小企业声明函</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（以资格条件落实中小企业扶持政策时适用，若有）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中小企业声明函（货物）</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本企业对上述声明内容的真实性负责。如有虚假，将依法承担相应责任。</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1、从业人员、营业收入、资产总额填报上一年度数据，无上一年度数据的新成立企业可不填报。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中小企业声明函（工程、服务）</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本企业对上述声明内容的真实性负责。如有虚假，将依法承担相应责任。</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1、从业人员、营业收入、资产总额填报上一年度数据，无上一年度数据的新成立企业可不填报。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残疾人福利性单位声明函</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（以资格条件落实中小企业扶持政策时适用，若有）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）由本投标人承建的（填写“所投采购包、品目号”）工程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）由本投标人承接的（填写“所投采购包、品目号”）服务；</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本投标人对上述声明的真实性负责。如有虚假，将依法承担相应责任。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备注：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1、请投标人按照实际情况编制填写本声明函，并在相应的（）中打“√”。</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2、若《残疾人福利性单位声明函》内容不真实，视为提供虚假材料。</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附：</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监狱企业证明材料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二-10联合体协议（若有）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）的投标。现就联合体参加本项目投标的有关事宜达成下列协议：</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一、联合体各方应承担的工作和义务具体如下：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1、牵头方（全称）：</w:t>
      </w:r>
      <w:r>
        <w:rPr>
          <w:color w:val="auto"/>
          <w:highlight w:val="none"/>
          <w:u w:val="single"/>
        </w:rPr>
        <w:t xml:space="preserve">（填写“工作及义务的具体内容”） </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2、成员方：</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 xml:space="preserve"> ；</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二、联合体各方的合同金额占比，具体如下：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1.牵头方（</w:t>
      </w:r>
      <w:r>
        <w:rPr>
          <w:color w:val="auto"/>
          <w:highlight w:val="none"/>
          <w:u w:val="single"/>
        </w:rPr>
        <w:t xml:space="preserve"> 全称</w:t>
      </w:r>
      <w:r>
        <w:rPr>
          <w:color w:val="auto"/>
          <w:highlight w:val="none"/>
        </w:rPr>
        <w:t xml:space="preserve"> ）的合同金额占合同总额的</w:t>
      </w:r>
      <w:r>
        <w:rPr>
          <w:color w:val="auto"/>
          <w:highlight w:val="none"/>
          <w:u w:val="single"/>
        </w:rPr>
        <w:t>　　</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2.成员方：</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w:t>
      </w:r>
      <w:r>
        <w:rPr>
          <w:color w:val="auto"/>
          <w:highlight w:val="none"/>
          <w:u w:val="single"/>
        </w:rPr>
        <w:t xml:space="preserve"> 成员1的全称 </w:t>
      </w:r>
      <w:r>
        <w:rPr>
          <w:color w:val="auto"/>
          <w:highlight w:val="none"/>
        </w:rPr>
        <w:t>）的合同金额占合同总额的</w:t>
      </w:r>
      <w:r>
        <w:rPr>
          <w:color w:val="auto"/>
          <w:highlight w:val="none"/>
          <w:u w:val="single"/>
        </w:rPr>
        <w:t>　　</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三、联合体各方约定：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2、联合体各方约定由</w:t>
      </w:r>
      <w:r>
        <w:rPr>
          <w:color w:val="auto"/>
          <w:highlight w:val="none"/>
          <w:u w:val="single"/>
        </w:rPr>
        <w:t>（填写“牵头方的全称”）代表联合体办理投标保证金事宜。</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五、本协议自签署之日起生效，政府采购合同履行完毕后自动失效。</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（以下无正文）</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牵头方：</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法定代表人或其委托代理人：</w:t>
      </w:r>
      <w:r>
        <w:rPr>
          <w:color w:val="auto"/>
          <w:highlight w:val="none"/>
          <w:u w:val="single"/>
        </w:rPr>
        <w:t xml:space="preserve"> （签字或盖章）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成员一：</w:t>
      </w:r>
      <w:r>
        <w:rPr>
          <w:color w:val="auto"/>
          <w:highlight w:val="none"/>
          <w:u w:val="single"/>
        </w:rPr>
        <w:t>（全称并加盖成员一的单位公章）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法定代表人或其委托代理人：</w:t>
      </w:r>
      <w:r>
        <w:rPr>
          <w:color w:val="auto"/>
          <w:highlight w:val="none"/>
          <w:u w:val="single"/>
        </w:rPr>
        <w:t xml:space="preserve"> （签字或盖章）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成员**：</w:t>
      </w:r>
      <w:r>
        <w:rPr>
          <w:color w:val="auto"/>
          <w:highlight w:val="none"/>
          <w:u w:val="single"/>
        </w:rPr>
        <w:t>（全称并加盖成员**的单位公章）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法定代表人或其委托代理人：</w:t>
      </w:r>
      <w:r>
        <w:rPr>
          <w:color w:val="auto"/>
          <w:highlight w:val="none"/>
          <w:u w:val="single"/>
        </w:rPr>
        <w:t xml:space="preserve"> （签字或盖章）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签署日期：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1、招标文件接受联合体投标且投标人为联合体的，投标人应提供本协议；否则无须提供。</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2、本协议由委托代理人签字或盖章的，应按照本章载明的格式提供“单位授权书”。</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3、在以联合体形式落实中小企业预留份额项目中，投标人除了要提供《中小企业声明函》，还需提供本协议。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二-11分包意向协议（若有）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甲方（总包方）：</w:t>
      </w:r>
      <w:r>
        <w:rPr>
          <w:color w:val="auto"/>
          <w:highlight w:val="none"/>
          <w:u w:val="single"/>
        </w:rPr>
        <w:t>　　　　　　　</w:t>
      </w:r>
      <w:r>
        <w:rPr>
          <w:color w:val="auto"/>
          <w:highlight w:val="none"/>
        </w:rPr>
        <w:t>（即本项目的投标人）</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乙方（分包方）：</w:t>
      </w:r>
      <w:r>
        <w:rPr>
          <w:color w:val="auto"/>
          <w:highlight w:val="none"/>
          <w:u w:val="single"/>
        </w:rPr>
        <w:t>　　　　　　　</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兹有甲方参加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一、分包标的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u w:val="single"/>
        </w:rPr>
        <w:t>（根据双方的意向填写，可以是表格或文字描述）。</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二、分包合同金额占比</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分包合同价占投标总价的比例：</w:t>
      </w:r>
      <w:r>
        <w:rPr>
          <w:color w:val="auto"/>
          <w:highlight w:val="none"/>
          <w:u w:val="single"/>
        </w:rPr>
        <w:t>　　　　　</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三、其他条款</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甲方：</w:t>
            </w:r>
          </w:p>
        </w:tc>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住所：</w:t>
            </w:r>
          </w:p>
        </w:tc>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单位负责人或委托代理人：</w:t>
            </w:r>
          </w:p>
        </w:tc>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联系方法：</w:t>
            </w:r>
          </w:p>
        </w:tc>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开户银行：</w:t>
            </w:r>
          </w:p>
        </w:tc>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账号：</w:t>
            </w:r>
          </w:p>
        </w:tc>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23"/>
              <w:keepNext w:val="0"/>
              <w:keepLines w:val="0"/>
              <w:pageBreakBefore w:val="0"/>
              <w:kinsoku/>
              <w:wordWrap/>
              <w:overflowPunct/>
              <w:topLinePunct w:val="0"/>
              <w:autoSpaceDE/>
              <w:autoSpaceDN/>
              <w:bidi w:val="0"/>
              <w:adjustRightInd/>
              <w:snapToGrid/>
              <w:jc w:val="right"/>
              <w:textAlignment w:val="auto"/>
              <w:outlineLvl w:val="9"/>
              <w:rPr>
                <w:rFonts w:hint="default"/>
                <w:color w:val="auto"/>
                <w:highlight w:val="none"/>
              </w:rPr>
            </w:pPr>
            <w:r>
              <w:rPr>
                <w:color w:val="auto"/>
                <w:highlight w:val="none"/>
              </w:rPr>
              <w:t>签订地点：</w:t>
            </w:r>
            <w:r>
              <w:rPr>
                <w:color w:val="auto"/>
                <w:highlight w:val="none"/>
                <w:u w:val="single"/>
              </w:rPr>
              <w:t>　　　　　　　　　　</w:t>
            </w:r>
          </w:p>
          <w:p>
            <w:pPr>
              <w:pStyle w:val="23"/>
              <w:keepNext w:val="0"/>
              <w:keepLines w:val="0"/>
              <w:pageBreakBefore w:val="0"/>
              <w:kinsoku/>
              <w:wordWrap/>
              <w:overflowPunct/>
              <w:topLinePunct w:val="0"/>
              <w:autoSpaceDE/>
              <w:autoSpaceDN/>
              <w:bidi w:val="0"/>
              <w:adjustRightInd/>
              <w:snapToGrid/>
              <w:jc w:val="right"/>
              <w:textAlignment w:val="auto"/>
              <w:outlineLvl w:val="9"/>
              <w:rPr>
                <w:rFonts w:hint="default"/>
                <w:color w:val="auto"/>
                <w:highlight w:val="none"/>
              </w:rPr>
            </w:pPr>
            <w:r>
              <w:rPr>
                <w:color w:val="auto"/>
                <w:highlight w:val="none"/>
              </w:rPr>
              <w:t>签约日期：</w:t>
            </w:r>
            <w:r>
              <w:rPr>
                <w:color w:val="auto"/>
                <w:highlight w:val="none"/>
                <w:u w:val="single"/>
              </w:rPr>
              <w:t>　　年　　月　　日</w:t>
            </w:r>
          </w:p>
        </w:tc>
      </w:tr>
    </w:tbl>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1.招标文件接受合同分包且投标人拟将合同分包的，应提供本协议；否则无须提供。</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2.本协议由委托代理人签字或盖章的，应按照本章载明的格式提供“单位授权书”。</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3.在以合同分包形式落实中小企业预留份额项目中，投标人除了要提供《中小企业声明函》，还需提供本协议。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二-12其他资格证明文件（若有）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二-12-①具备履行合同所必需设备和专业技术能力专项证明材料（若有）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现附上我方具备履行合同所必需的设备和专业技术能力的专项证明材料复印件（具体附后），上述证明材料真实有效，否则我方负全部责任。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1、招标文件要求投标人提供“具备履行合同所必需的设备和专业技术能力专项证明材料”的，投标人应按照招标文件规定在此项下提供相应证明材料复印件。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2、投标人提供的相应证明材料复印件均应符合：内容完整、清晰、整洁，并由投标人加盖其单位公章。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二-12-②招标文件规定的其他资格证明文件（若有）</w:t>
      </w:r>
    </w:p>
    <w:p>
      <w:pPr>
        <w:pStyle w:val="23"/>
        <w:keepNext w:val="0"/>
        <w:keepLines w:val="0"/>
        <w:pageBreakBefore w:val="0"/>
        <w:kinsoku/>
        <w:wordWrap/>
        <w:overflowPunct/>
        <w:topLinePunct w:val="0"/>
        <w:autoSpaceDE/>
        <w:autoSpaceDN/>
        <w:bidi w:val="0"/>
        <w:adjustRightInd/>
        <w:snapToGrid/>
        <w:ind w:firstLine="480"/>
        <w:jc w:val="center"/>
        <w:textAlignment w:val="auto"/>
        <w:outlineLvl w:val="9"/>
        <w:rPr>
          <w:rFonts w:hint="default"/>
          <w:color w:val="auto"/>
          <w:highlight w:val="none"/>
        </w:rPr>
      </w:pPr>
      <w:r>
        <w:rPr>
          <w:color w:val="auto"/>
          <w:highlight w:val="none"/>
        </w:rPr>
        <w:t>编制说明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三、投标保证金</w:t>
      </w:r>
    </w:p>
    <w:p>
      <w:pPr>
        <w:pStyle w:val="23"/>
        <w:keepNext w:val="0"/>
        <w:keepLines w:val="0"/>
        <w:pageBreakBefore w:val="0"/>
        <w:kinsoku/>
        <w:wordWrap/>
        <w:overflowPunct/>
        <w:topLinePunct w:val="0"/>
        <w:autoSpaceDE/>
        <w:autoSpaceDN/>
        <w:bidi w:val="0"/>
        <w:adjustRightInd/>
        <w:snapToGrid/>
        <w:ind w:firstLine="480"/>
        <w:jc w:val="center"/>
        <w:textAlignment w:val="auto"/>
        <w:outlineLvl w:val="9"/>
        <w:rPr>
          <w:rFonts w:hint="default"/>
          <w:color w:val="auto"/>
          <w:highlight w:val="none"/>
        </w:rPr>
      </w:pPr>
      <w:r>
        <w:rPr>
          <w:color w:val="auto"/>
          <w:highlight w:val="none"/>
        </w:rPr>
        <w:t>编制说明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1、在此项下提交的“投标保证金”材料可使用转账凭证复印件或从福建省政府采购网上公开信息系统中下载的有关原始页面的打印件。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2、投标保证金是否已提交的认定按照招标文件第三章规定执行。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封面格式(报价部分)</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福建省政府采购投标文件</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（项目名称：（由投标人填写）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（备案编号：（由投标人填写）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（项目编号：（由投标人填写）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投标人：（填写“全称”）</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（由投标人填写）年（由投标人填写）月</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索引</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一、开标（报价）一览表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二、投标（响应）报价明细表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三、招标文件规定的价格扣除证明材料（若有）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48"/>
          <w:highlight w:val="none"/>
        </w:rPr>
        <w:t>开标（报价）一览表</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公司名称：</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包号：1</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项目编号：</w:t>
      </w:r>
      <w:r>
        <w:rPr>
          <w:color w:val="auto"/>
          <w:highlight w:val="none"/>
          <w:lang w:eastAsia="zh-CN"/>
        </w:rPr>
        <w:t xml:space="preserve"> </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项目名称：</w:t>
      </w:r>
      <w:r>
        <w:rPr>
          <w:color w:val="auto"/>
          <w:highlight w:val="none"/>
          <w:lang w:eastAsia="zh-CN"/>
        </w:rPr>
        <w:t xml:space="preserve"> </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p>
    <w:tbl>
      <w:tblPr>
        <w:tblStyle w:val="1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序号</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报价内容</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最高限价</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响应报价</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bl>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备注：无</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时间：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签章：                     </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48"/>
          <w:highlight w:val="none"/>
        </w:rPr>
        <w:t>投标（响应）报价明细表</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公司名称：</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包号：1</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项目编号：项目名称：</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p>
    <w:tbl>
      <w:tblPr>
        <w:tblStyle w:val="1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76" w:hRule="atLeast"/>
        </w:trPr>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序号</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货物名称</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规格型号</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品牌</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制造商名称</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产地</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最高限价</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单价</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数量</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计量单位</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总价</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是否环境标志产品</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是否节能产品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bl>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合计：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备注：无</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时间：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签章：                     </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三、招标文件规定的价格扣除证明材料（若有）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三-1优先类节能产品、环境标志产品价格扣除证明材料（若有）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三-1-①优先类节能产品、环境标志产品统计表（价格扣除适用，若有）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项目编号：</w:t>
      </w:r>
      <w:r>
        <w:rPr>
          <w:color w:val="auto"/>
          <w:highlight w:val="none"/>
          <w:u w:val="single"/>
        </w:rPr>
        <w:t>　　　　　　　　</w:t>
      </w:r>
    </w:p>
    <w:tbl>
      <w:tblPr>
        <w:tblStyle w:val="1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7122" w:type="dxa"/>
            <w:gridSpan w:val="4"/>
          </w:tcPr>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color w:val="auto"/>
                <w:highlight w:val="none"/>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品目号</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产品名称</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3561" w:type="dxa"/>
        </w:trPr>
        <w:tc>
          <w:tcPr>
            <w:tcW w:w="1187" w:type="dxa"/>
            <w:vMerge w:val="continue"/>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备注</w:t>
            </w:r>
          </w:p>
        </w:tc>
        <w:tc>
          <w:tcPr>
            <w:tcW w:w="3561" w:type="dxa"/>
            <w:gridSpan w:val="3"/>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bl>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1、对节能、环境标志产品计算价格扣除时，只依据电子投标（响应）文件“投标（响应）报价明细表”以及“优先类节能产品、环境标志产品证明材料（价格扣除适用，若有）。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2、本表以采购包为单位，不同采购包请分别填写；同一采购包请按照其品目号顺序分别填写。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3、具体统计、计算：</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3.1若同一采购包内的单个或多个货物取得或同时取得节能、环境标志产品等两项或多项认证的，均按照单个货物对应一项认证的原则统计、计算1次。</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3.2计算结果若除不尽，可四舍五入保留到小数点后两位。</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3.3投标人(供应商)按照采购文件要求认真统计、计算。</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3.4若无节能、环境标志产品，不填写本表。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3.5强制类节能产品不享受价格扣除。</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三-1-②优先类节能产品、环境标志产品证明材料（价格扣除适用，若有）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三-2小型、微型企业产品等价格扣除证明材料（若有）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三-2-①中小企业声明函（价格扣除适用，若有）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中小企业声明函（货物）</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本企业对上述声明内容的真实性负责。如有虚假，将依法承担相应责任。</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1、从业人员、营业收入、资产总额填报上一年度数据，无上一年度数据的新成立企业可不填报。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中小企业声明函（工程、服务）</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本企业对上述声明内容的真实性负责。如有虚假，将依法承担相应责任。</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1、从业人员、营业收入、资产总额填报上一年度数据，无上一年度数据的新成立企业可不填报。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三-2-②小型、微型企业等证明材料（价格扣除适用，若有）</w:t>
      </w:r>
    </w:p>
    <w:p>
      <w:pPr>
        <w:pStyle w:val="23"/>
        <w:keepNext w:val="0"/>
        <w:keepLines w:val="0"/>
        <w:pageBreakBefore w:val="0"/>
        <w:kinsoku/>
        <w:wordWrap/>
        <w:overflowPunct/>
        <w:topLinePunct w:val="0"/>
        <w:autoSpaceDE/>
        <w:autoSpaceDN/>
        <w:bidi w:val="0"/>
        <w:adjustRightInd/>
        <w:snapToGrid/>
        <w:ind w:firstLine="480"/>
        <w:jc w:val="center"/>
        <w:textAlignment w:val="auto"/>
        <w:outlineLvl w:val="9"/>
        <w:rPr>
          <w:rFonts w:hint="default"/>
          <w:color w:val="auto"/>
          <w:highlight w:val="none"/>
        </w:rPr>
      </w:pPr>
      <w:r>
        <w:rPr>
          <w:color w:val="auto"/>
          <w:highlight w:val="none"/>
        </w:rPr>
        <w:t>编制说明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1、投标人应按照招标文件要求提供相应证明材料，证明材料应与《中小企业声明函》的内容相一致，否则视为《中小企业声明函》内容不真实。</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附：</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残疾人福利性单位声明函（价格扣除适用，若有）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）由本投标人承建的（填写“所投采购包、品目号”）工程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）由本投标人承接的（填写“所投采购包、品目号”）服务；</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本投标人对上述声明的真实性负责。如有虚假，将依法承担相应责任。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备注：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1、请投标人按照实际情况编制填写本声明函，并在相应的（）中打“√”。</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2、若《残疾人福利性单位声明函》内容不真实，视为提供虚假材料。</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附：</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监狱企业证明材料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三-3招标文件规定的其他价格扣除证明材料（若有）</w:t>
      </w:r>
    </w:p>
    <w:p>
      <w:pPr>
        <w:pStyle w:val="23"/>
        <w:keepNext w:val="0"/>
        <w:keepLines w:val="0"/>
        <w:pageBreakBefore w:val="0"/>
        <w:kinsoku/>
        <w:wordWrap/>
        <w:overflowPunct/>
        <w:topLinePunct w:val="0"/>
        <w:autoSpaceDE/>
        <w:autoSpaceDN/>
        <w:bidi w:val="0"/>
        <w:adjustRightInd/>
        <w:snapToGrid/>
        <w:ind w:firstLine="480"/>
        <w:jc w:val="center"/>
        <w:textAlignment w:val="auto"/>
        <w:outlineLvl w:val="9"/>
        <w:rPr>
          <w:rFonts w:hint="default"/>
          <w:color w:val="auto"/>
          <w:highlight w:val="none"/>
        </w:rPr>
      </w:pPr>
      <w:r>
        <w:rPr>
          <w:color w:val="auto"/>
          <w:highlight w:val="none"/>
        </w:rPr>
        <w:t>编制说明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封面格式(技术商务部分)</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福建省政府采购投标文件</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（项目名称：（由投标人填写）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（备案编号：（由投标人填写）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（项目编号：（由投标人填写）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投标人：（填写“全称”）</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（由投标人填写）年（由投标人填写）月</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索引</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一、标的说明一览表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二、技术和服务要求响应表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三、商务条件响应表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四、投标人提交的其他资料（若有）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技术商务部分中不得出现报价部分的全部或部分的投标报价信息（或组成资料），否则符合性审查不合格。</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一、标的说明一览表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项目编号：</w:t>
      </w:r>
      <w:r>
        <w:rPr>
          <w:color w:val="auto"/>
          <w:highlight w:val="none"/>
          <w:u w:val="single"/>
        </w:rPr>
        <w:t>　　　　　　　　</w:t>
      </w:r>
    </w:p>
    <w:tbl>
      <w:tblPr>
        <w:tblStyle w:val="1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品目号</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投标标的</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数量</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规格</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来源地</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bl>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1、本表应按照下列规定填写：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1.1“采购包”、“品目号”、“投标标的”及“数量”应与招标文件《采购标的一览表》中的有关内容（“采购包”、“品目号”、“采购标的”及“数量”）保持一致。</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3、电子投标文件中涉及“投标标的”、“数量”、“规格”、“来源地”的内容若不一致，应以本表为准。</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二、技术和服务要求响应表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项目编号：</w:t>
      </w:r>
      <w:r>
        <w:rPr>
          <w:color w:val="auto"/>
          <w:highlight w:val="none"/>
          <w:u w:val="single"/>
        </w:rPr>
        <w:t>　　　　　　　　</w:t>
      </w:r>
    </w:p>
    <w:tbl>
      <w:tblPr>
        <w:tblStyle w:val="1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品目号</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技术和服务要求</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投标响应</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bl>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1、本表应按照下列规定填写：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1.1“技术和服务要求”项下填写的内容应与招标文件第五章“技术和服务要求”的内容保持一致。</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1.3“是否偏离及说明”项下应按下列规定填写：优于的，填写“正偏离”；符合的，填写“无偏离”；低于的，填写“负偏离”。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三、商务条件响应表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项目编号：</w:t>
      </w:r>
      <w:r>
        <w:rPr>
          <w:color w:val="auto"/>
          <w:highlight w:val="none"/>
          <w:u w:val="single"/>
        </w:rPr>
        <w:t>　　　　　　　　</w:t>
      </w:r>
    </w:p>
    <w:tbl>
      <w:tblPr>
        <w:tblStyle w:val="1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品目号</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商务条件</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投标响应</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bl>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1、本表应按照下列规定填写：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1.1“商务条件”项下填写的内容应与招标文件第五章“商务条件”的内容保持一致。</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1.3“是否偏离及说明”项下应按下列规定填写：优于的，填写“正偏离”；符合的，填写“无偏离”；低于的，填写“负偏离”。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四、投标人提交的其他资料（若有）</w:t>
      </w:r>
    </w:p>
    <w:p>
      <w:pPr>
        <w:pStyle w:val="23"/>
        <w:keepNext w:val="0"/>
        <w:keepLines w:val="0"/>
        <w:pageBreakBefore w:val="0"/>
        <w:kinsoku/>
        <w:wordWrap/>
        <w:overflowPunct/>
        <w:topLinePunct w:val="0"/>
        <w:autoSpaceDE/>
        <w:autoSpaceDN/>
        <w:bidi w:val="0"/>
        <w:adjustRightInd/>
        <w:snapToGrid/>
        <w:ind w:firstLine="480"/>
        <w:jc w:val="center"/>
        <w:textAlignment w:val="auto"/>
        <w:outlineLvl w:val="9"/>
        <w:rPr>
          <w:rFonts w:hint="default"/>
          <w:color w:val="auto"/>
          <w:highlight w:val="none"/>
        </w:rPr>
      </w:pPr>
      <w:r>
        <w:rPr>
          <w:color w:val="auto"/>
          <w:highlight w:val="none"/>
        </w:rPr>
        <w:t>编制说明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1、招标文件要求提交的除“资格及资信证明部分”、“报价部分”外的其他证明材料或资料加盖投标人的单位公章后应在此项下提交。</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2、招标文件要求投标人提供方案（包括但不限于：组织、实施、技术、服务方案等）的，投标人应在此项下提交。</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34008"/>
    <w:multiLevelType w:val="multilevel"/>
    <w:tmpl w:val="8B034008"/>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23BB9AB"/>
    <w:multiLevelType w:val="multilevel"/>
    <w:tmpl w:val="923BB9AB"/>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A3A8181"/>
    <w:multiLevelType w:val="multilevel"/>
    <w:tmpl w:val="BA3A8181"/>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96FA1CB"/>
    <w:multiLevelType w:val="multilevel"/>
    <w:tmpl w:val="E96FA1CB"/>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BEE002B"/>
    <w:multiLevelType w:val="singleLevel"/>
    <w:tmpl w:val="EBEE002B"/>
    <w:lvl w:ilvl="0" w:tentative="0">
      <w:start w:val="2"/>
      <w:numFmt w:val="chineseCounting"/>
      <w:suff w:val="nothing"/>
      <w:lvlText w:val="%1、"/>
      <w:lvlJc w:val="left"/>
      <w:rPr>
        <w:rFonts w:hint="eastAsia"/>
      </w:rPr>
    </w:lvl>
  </w:abstractNum>
  <w:abstractNum w:abstractNumId="5">
    <w:nsid w:val="F70E042B"/>
    <w:multiLevelType w:val="multilevel"/>
    <w:tmpl w:val="F70E042B"/>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7623B62"/>
    <w:multiLevelType w:val="multilevel"/>
    <w:tmpl w:val="F7623B62"/>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4B11F94"/>
    <w:multiLevelType w:val="multilevel"/>
    <w:tmpl w:val="04B11F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DAD74A"/>
    <w:multiLevelType w:val="multilevel"/>
    <w:tmpl w:val="0DDAD74A"/>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641913"/>
    <w:multiLevelType w:val="multilevel"/>
    <w:tmpl w:val="17641913"/>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501935"/>
    <w:multiLevelType w:val="multilevel"/>
    <w:tmpl w:val="1A5019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709CB4"/>
    <w:multiLevelType w:val="multilevel"/>
    <w:tmpl w:val="1E709CB4"/>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C12132"/>
    <w:multiLevelType w:val="multilevel"/>
    <w:tmpl w:val="25C12132"/>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8707EB"/>
    <w:multiLevelType w:val="multilevel"/>
    <w:tmpl w:val="2C8707EB"/>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1E884EA"/>
    <w:multiLevelType w:val="multilevel"/>
    <w:tmpl w:val="31E884EA"/>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09E9DD"/>
    <w:multiLevelType w:val="multilevel"/>
    <w:tmpl w:val="3909E9DD"/>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AE06047"/>
    <w:multiLevelType w:val="singleLevel"/>
    <w:tmpl w:val="3AE06047"/>
    <w:lvl w:ilvl="0" w:tentative="0">
      <w:start w:val="1"/>
      <w:numFmt w:val="chineseCounting"/>
      <w:suff w:val="nothing"/>
      <w:lvlText w:val="%1"/>
      <w:lvlJc w:val="left"/>
      <w:pPr>
        <w:tabs>
          <w:tab w:val="left" w:pos="0"/>
        </w:tabs>
        <w:ind w:left="0" w:firstLine="420"/>
      </w:pPr>
      <w:rPr>
        <w:rFonts w:hint="eastAsia"/>
      </w:rPr>
    </w:lvl>
  </w:abstractNum>
  <w:abstractNum w:abstractNumId="17">
    <w:nsid w:val="467403AA"/>
    <w:multiLevelType w:val="multilevel"/>
    <w:tmpl w:val="467403AA"/>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FBC13E5"/>
    <w:multiLevelType w:val="multilevel"/>
    <w:tmpl w:val="4FBC13E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05DE1DE"/>
    <w:multiLevelType w:val="singleLevel"/>
    <w:tmpl w:val="505DE1DE"/>
    <w:lvl w:ilvl="0" w:tentative="0">
      <w:start w:val="1"/>
      <w:numFmt w:val="chineseCounting"/>
      <w:suff w:val="nothing"/>
      <w:lvlText w:val="%1"/>
      <w:lvlJc w:val="left"/>
      <w:pPr>
        <w:tabs>
          <w:tab w:val="left" w:pos="0"/>
        </w:tabs>
        <w:ind w:left="0" w:firstLine="420"/>
      </w:pPr>
      <w:rPr>
        <w:rFonts w:hint="eastAsia"/>
      </w:rPr>
    </w:lvl>
  </w:abstractNum>
  <w:abstractNum w:abstractNumId="20">
    <w:nsid w:val="549C3444"/>
    <w:multiLevelType w:val="multilevel"/>
    <w:tmpl w:val="549C3444"/>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3BCD1E3"/>
    <w:multiLevelType w:val="multilevel"/>
    <w:tmpl w:val="63BCD1E3"/>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24226B"/>
    <w:multiLevelType w:val="singleLevel"/>
    <w:tmpl w:val="6724226B"/>
    <w:lvl w:ilvl="0" w:tentative="0">
      <w:start w:val="1"/>
      <w:numFmt w:val="decimal"/>
      <w:suff w:val="nothing"/>
      <w:lvlText w:val="%1、"/>
      <w:lvlJc w:val="left"/>
    </w:lvl>
  </w:abstractNum>
  <w:abstractNum w:abstractNumId="23">
    <w:nsid w:val="6BEC3631"/>
    <w:multiLevelType w:val="multilevel"/>
    <w:tmpl w:val="6BEC3631"/>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F7E125A"/>
    <w:multiLevelType w:val="multilevel"/>
    <w:tmpl w:val="6F7E125A"/>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6F12981"/>
    <w:multiLevelType w:val="singleLevel"/>
    <w:tmpl w:val="76F12981"/>
    <w:lvl w:ilvl="0" w:tentative="0">
      <w:start w:val="1"/>
      <w:numFmt w:val="decimal"/>
      <w:suff w:val="nothing"/>
      <w:lvlText w:val="%1、"/>
      <w:lvlJc w:val="left"/>
    </w:lvl>
  </w:abstractNum>
  <w:num w:numId="1">
    <w:abstractNumId w:val="4"/>
  </w:num>
  <w:num w:numId="2">
    <w:abstractNumId w:val="19"/>
  </w:num>
  <w:num w:numId="3">
    <w:abstractNumId w:val="7"/>
  </w:num>
  <w:num w:numId="4">
    <w:abstractNumId w:val="24"/>
  </w:num>
  <w:num w:numId="5">
    <w:abstractNumId w:val="15"/>
  </w:num>
  <w:num w:numId="6">
    <w:abstractNumId w:val="3"/>
  </w:num>
  <w:num w:numId="7">
    <w:abstractNumId w:val="9"/>
  </w:num>
  <w:num w:numId="8">
    <w:abstractNumId w:val="14"/>
  </w:num>
  <w:num w:numId="9">
    <w:abstractNumId w:val="5"/>
  </w:num>
  <w:num w:numId="10">
    <w:abstractNumId w:val="8"/>
  </w:num>
  <w:num w:numId="11">
    <w:abstractNumId w:val="13"/>
  </w:num>
  <w:num w:numId="12">
    <w:abstractNumId w:val="0"/>
  </w:num>
  <w:num w:numId="13">
    <w:abstractNumId w:val="6"/>
  </w:num>
  <w:num w:numId="14">
    <w:abstractNumId w:val="25"/>
  </w:num>
  <w:num w:numId="15">
    <w:abstractNumId w:val="16"/>
  </w:num>
  <w:num w:numId="16">
    <w:abstractNumId w:val="10"/>
  </w:num>
  <w:num w:numId="17">
    <w:abstractNumId w:val="12"/>
  </w:num>
  <w:num w:numId="18">
    <w:abstractNumId w:val="1"/>
  </w:num>
  <w:num w:numId="19">
    <w:abstractNumId w:val="2"/>
  </w:num>
  <w:num w:numId="20">
    <w:abstractNumId w:val="17"/>
  </w:num>
  <w:num w:numId="21">
    <w:abstractNumId w:val="21"/>
  </w:num>
  <w:num w:numId="22">
    <w:abstractNumId w:val="23"/>
  </w:num>
  <w:num w:numId="23">
    <w:abstractNumId w:val="18"/>
  </w:num>
  <w:num w:numId="24">
    <w:abstractNumId w:val="20"/>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zFjNDA1NTZjMzMyNDAwNzI0NTc2OTZiOWU0NDYifQ=="/>
  </w:docVars>
  <w:rsids>
    <w:rsidRoot w:val="53B52B8D"/>
    <w:rsid w:val="00082C1D"/>
    <w:rsid w:val="000E351D"/>
    <w:rsid w:val="001017FC"/>
    <w:rsid w:val="001750F3"/>
    <w:rsid w:val="00286BE9"/>
    <w:rsid w:val="00344A50"/>
    <w:rsid w:val="00370EB8"/>
    <w:rsid w:val="0038123E"/>
    <w:rsid w:val="00515561"/>
    <w:rsid w:val="0055457B"/>
    <w:rsid w:val="006F455A"/>
    <w:rsid w:val="007716EC"/>
    <w:rsid w:val="00793E24"/>
    <w:rsid w:val="00805D60"/>
    <w:rsid w:val="00996E8C"/>
    <w:rsid w:val="00A40D1F"/>
    <w:rsid w:val="00A71BA9"/>
    <w:rsid w:val="00C021F9"/>
    <w:rsid w:val="00CC4024"/>
    <w:rsid w:val="00F3166C"/>
    <w:rsid w:val="00F90EFB"/>
    <w:rsid w:val="02590EA6"/>
    <w:rsid w:val="02A10F94"/>
    <w:rsid w:val="033D4CA7"/>
    <w:rsid w:val="047A3A4A"/>
    <w:rsid w:val="054B313A"/>
    <w:rsid w:val="05542555"/>
    <w:rsid w:val="063D765B"/>
    <w:rsid w:val="06795B8A"/>
    <w:rsid w:val="06A02F57"/>
    <w:rsid w:val="0B0E0ECA"/>
    <w:rsid w:val="0C807CFC"/>
    <w:rsid w:val="0D565CAF"/>
    <w:rsid w:val="123166D1"/>
    <w:rsid w:val="1480678D"/>
    <w:rsid w:val="14902D90"/>
    <w:rsid w:val="16412862"/>
    <w:rsid w:val="177F50ED"/>
    <w:rsid w:val="1B762D8F"/>
    <w:rsid w:val="1E7B061E"/>
    <w:rsid w:val="239125F4"/>
    <w:rsid w:val="25AD38A8"/>
    <w:rsid w:val="25D801EF"/>
    <w:rsid w:val="277B60A8"/>
    <w:rsid w:val="287078B4"/>
    <w:rsid w:val="2A4A57F5"/>
    <w:rsid w:val="2D39235B"/>
    <w:rsid w:val="2E3D3C49"/>
    <w:rsid w:val="2E954DE4"/>
    <w:rsid w:val="2EC56484"/>
    <w:rsid w:val="2F73680F"/>
    <w:rsid w:val="33F200A8"/>
    <w:rsid w:val="359A5E8A"/>
    <w:rsid w:val="365A6D65"/>
    <w:rsid w:val="384F0C8B"/>
    <w:rsid w:val="443A1CFD"/>
    <w:rsid w:val="47311CE0"/>
    <w:rsid w:val="4A8F1308"/>
    <w:rsid w:val="4E965FED"/>
    <w:rsid w:val="50DF4246"/>
    <w:rsid w:val="52166418"/>
    <w:rsid w:val="53B52B8D"/>
    <w:rsid w:val="552A15DD"/>
    <w:rsid w:val="584E5E1A"/>
    <w:rsid w:val="59BE0E51"/>
    <w:rsid w:val="5A480819"/>
    <w:rsid w:val="5ACC20E8"/>
    <w:rsid w:val="5AE30584"/>
    <w:rsid w:val="5BE55598"/>
    <w:rsid w:val="5D2B6EEA"/>
    <w:rsid w:val="5F732996"/>
    <w:rsid w:val="5FF1731A"/>
    <w:rsid w:val="602F44FD"/>
    <w:rsid w:val="603509CD"/>
    <w:rsid w:val="612F7302"/>
    <w:rsid w:val="62563BA1"/>
    <w:rsid w:val="626F56F8"/>
    <w:rsid w:val="66492952"/>
    <w:rsid w:val="67D66C49"/>
    <w:rsid w:val="69EB0FD9"/>
    <w:rsid w:val="6C1C0028"/>
    <w:rsid w:val="70641093"/>
    <w:rsid w:val="70D75F53"/>
    <w:rsid w:val="73F7224E"/>
    <w:rsid w:val="76C13240"/>
    <w:rsid w:val="7707638C"/>
    <w:rsid w:val="77F79321"/>
    <w:rsid w:val="789B57E4"/>
    <w:rsid w:val="7A9419A9"/>
    <w:rsid w:val="7E2373B0"/>
    <w:rsid w:val="7F71407E"/>
    <w:rsid w:val="7FC771F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160" w:after="160" w:line="360" w:lineRule="auto"/>
      <w:jc w:val="center"/>
      <w:outlineLvl w:val="0"/>
    </w:pPr>
    <w:rPr>
      <w:rFonts w:eastAsia="宋体" w:asciiTheme="minorAscii" w:hAnsiTheme="minorAscii"/>
      <w:b/>
      <w:bCs/>
      <w:kern w:val="44"/>
      <w:sz w:val="32"/>
      <w:szCs w:val="44"/>
    </w:rPr>
  </w:style>
  <w:style w:type="paragraph" w:styleId="4">
    <w:name w:val="heading 2"/>
    <w:basedOn w:val="1"/>
    <w:next w:val="1"/>
    <w:link w:val="3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sz w:val="28"/>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tabs>
        <w:tab w:val="left" w:pos="480"/>
      </w:tabs>
      <w:spacing w:before="80" w:after="80"/>
    </w:pPr>
    <w:rPr>
      <w:rFonts w:ascii="Arial" w:hAnsi="Arial" w:eastAsia="仿宋_GB2312" w:cs="Arial"/>
      <w:spacing w:val="10"/>
      <w:sz w:val="28"/>
      <w:szCs w:val="28"/>
    </w:rPr>
  </w:style>
  <w:style w:type="paragraph" w:styleId="7">
    <w:name w:val="table of authorities"/>
    <w:basedOn w:val="1"/>
    <w:next w:val="1"/>
    <w:qFormat/>
    <w:uiPriority w:val="0"/>
    <w:pPr>
      <w:ind w:left="200" w:leftChars="200"/>
    </w:pPr>
  </w:style>
  <w:style w:type="paragraph" w:styleId="8">
    <w:name w:val="Normal Indent"/>
    <w:basedOn w:val="1"/>
    <w:next w:val="1"/>
    <w:qFormat/>
    <w:uiPriority w:val="0"/>
    <w:pPr>
      <w:ind w:firstLine="420" w:firstLineChars="200"/>
    </w:pPr>
    <w:rPr>
      <w:rFonts w:ascii="Times New Roman" w:hAnsi="Times New Roman" w:eastAsia="宋体" w:cs="Times New Roman"/>
      <w:szCs w:val="24"/>
    </w:rPr>
  </w:style>
  <w:style w:type="paragraph" w:styleId="9">
    <w:name w:val="annotation text"/>
    <w:basedOn w:val="1"/>
    <w:next w:val="7"/>
    <w:qFormat/>
    <w:uiPriority w:val="99"/>
    <w:pPr>
      <w:jc w:val="left"/>
    </w:pPr>
    <w:rPr>
      <w:lang w:val="zh-CN"/>
    </w:rPr>
  </w:style>
  <w:style w:type="paragraph" w:styleId="10">
    <w:name w:val="Body Text"/>
    <w:basedOn w:val="1"/>
    <w:qFormat/>
    <w:uiPriority w:val="1"/>
    <w:rPr>
      <w:sz w:val="24"/>
      <w:szCs w:val="24"/>
    </w:rPr>
  </w:style>
  <w:style w:type="paragraph" w:styleId="11">
    <w:name w:val="Body Text Indent"/>
    <w:basedOn w:val="1"/>
    <w:next w:val="1"/>
    <w:qFormat/>
    <w:uiPriority w:val="99"/>
    <w:pPr>
      <w:ind w:firstLine="645"/>
    </w:pPr>
    <w:rPr>
      <w:rFonts w:ascii="楷体_GB2312" w:hAnsi="Calibri" w:eastAsia="楷体_GB2312"/>
      <w:sz w:val="32"/>
      <w:szCs w:val="20"/>
    </w:rPr>
  </w:style>
  <w:style w:type="paragraph" w:styleId="12">
    <w:name w:val="toc 3"/>
    <w:basedOn w:val="1"/>
    <w:next w:val="1"/>
    <w:qFormat/>
    <w:uiPriority w:val="0"/>
    <w:pPr>
      <w:ind w:left="840" w:leftChars="400"/>
    </w:pPr>
  </w:style>
  <w:style w:type="paragraph" w:styleId="13">
    <w:name w:val="footer"/>
    <w:basedOn w:val="1"/>
    <w:link w:val="30"/>
    <w:qFormat/>
    <w:uiPriority w:val="0"/>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link w:val="29"/>
    <w:qFormat/>
    <w:uiPriority w:val="0"/>
    <w:pP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First Indent 2"/>
    <w:basedOn w:val="11"/>
    <w:next w:val="9"/>
    <w:qFormat/>
    <w:uiPriority w:val="99"/>
    <w:pPr>
      <w:spacing w:line="360" w:lineRule="auto"/>
      <w:ind w:firstLine="420" w:firstLineChars="200"/>
    </w:pPr>
    <w:rPr>
      <w:rFonts w:ascii="宋体" w:hAnsi="宋体"/>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0"/>
    <w:rPr>
      <w:sz w:val="21"/>
      <w:szCs w:val="21"/>
    </w:rPr>
  </w:style>
  <w:style w:type="paragraph" w:customStyle="1" w:styleId="23">
    <w:name w:val="null3"/>
    <w:hidden/>
    <w:qFormat/>
    <w:uiPriority w:val="0"/>
    <w:rPr>
      <w:rFonts w:hint="eastAsia" w:asciiTheme="minorHAnsi" w:hAnsiTheme="minorHAnsi" w:eastAsiaTheme="minorEastAsia" w:cstheme="minorBidi"/>
      <w:lang w:val="en-US" w:eastAsia="zh-Hans" w:bidi="ar-SA"/>
    </w:rPr>
  </w:style>
  <w:style w:type="paragraph" w:customStyle="1" w:styleId="24">
    <w:name w:val="正文缩进_3"/>
    <w:basedOn w:val="1"/>
    <w:unhideWhenUsed/>
    <w:qFormat/>
    <w:uiPriority w:val="99"/>
    <w:pPr>
      <w:ind w:firstLine="420" w:firstLineChars="200"/>
    </w:pPr>
    <w:rPr>
      <w:rFonts w:ascii="Calibri" w:hAnsi="Calibri" w:eastAsia="宋体" w:cs="Times New Roman"/>
      <w:sz w:val="28"/>
      <w:szCs w:val="28"/>
    </w:rPr>
  </w:style>
  <w:style w:type="paragraph" w:styleId="25">
    <w:name w:val="List Paragraph"/>
    <w:basedOn w:val="1"/>
    <w:qFormat/>
    <w:uiPriority w:val="34"/>
    <w:pPr>
      <w:ind w:firstLine="420" w:firstLineChars="200"/>
    </w:pPr>
  </w:style>
  <w:style w:type="paragraph" w:customStyle="1" w:styleId="26">
    <w:name w:val="表格"/>
    <w:basedOn w:val="1"/>
    <w:qFormat/>
    <w:uiPriority w:val="0"/>
    <w:pPr>
      <w:spacing w:line="288" w:lineRule="auto"/>
      <w:ind w:firstLine="337" w:firstLineChars="120"/>
      <w:jc w:val="left"/>
    </w:pPr>
    <w:rPr>
      <w:rFonts w:hint="eastAsia" w:ascii="宋体" w:hAnsi="宋体" w:eastAsia="宋体" w:cs="宋体"/>
      <w:szCs w:val="21"/>
    </w:rPr>
  </w:style>
  <w:style w:type="paragraph" w:customStyle="1" w:styleId="27">
    <w:name w:val="列出段落1"/>
    <w:basedOn w:val="1"/>
    <w:qFormat/>
    <w:uiPriority w:val="0"/>
    <w:pPr>
      <w:ind w:firstLine="420" w:firstLineChars="200"/>
    </w:pPr>
  </w:style>
  <w:style w:type="paragraph" w:customStyle="1" w:styleId="28">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9">
    <w:name w:val="页眉 字符"/>
    <w:basedOn w:val="21"/>
    <w:link w:val="15"/>
    <w:qFormat/>
    <w:uiPriority w:val="0"/>
    <w:rPr>
      <w:rFonts w:asciiTheme="minorHAnsi" w:hAnsiTheme="minorHAnsi" w:eastAsiaTheme="minorEastAsia" w:cstheme="minorBidi"/>
      <w:kern w:val="2"/>
      <w:sz w:val="18"/>
      <w:szCs w:val="18"/>
    </w:rPr>
  </w:style>
  <w:style w:type="character" w:customStyle="1" w:styleId="30">
    <w:name w:val="页脚 字符"/>
    <w:basedOn w:val="21"/>
    <w:link w:val="13"/>
    <w:qFormat/>
    <w:uiPriority w:val="0"/>
    <w:rPr>
      <w:rFonts w:asciiTheme="minorHAnsi" w:hAnsiTheme="minorHAnsi" w:eastAsiaTheme="minorEastAsia" w:cstheme="minorBidi"/>
      <w:kern w:val="2"/>
      <w:sz w:val="18"/>
      <w:szCs w:val="18"/>
    </w:rPr>
  </w:style>
  <w:style w:type="character" w:customStyle="1" w:styleId="31">
    <w:name w:val="标题 2 Char"/>
    <w:link w:val="4"/>
    <w:qFormat/>
    <w:uiPriority w:val="0"/>
    <w:rPr>
      <w:rFonts w:ascii="Arial" w:hAnsi="Arial" w:eastAsia="宋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1519</Words>
  <Characters>1579</Characters>
  <Lines>703</Lines>
  <Paragraphs>198</Paragraphs>
  <TotalTime>20</TotalTime>
  <ScaleCrop>false</ScaleCrop>
  <LinksUpToDate>false</LinksUpToDate>
  <CharactersWithSpaces>1632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2025-05-27T02:05:27Z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EBAA995A6E5F4A43B8A8F0E908A4763E</vt:lpwstr>
  </property>
</Properties>
</file>