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湖里区购买社会工作服务项目立项申请表</w:t>
      </w:r>
    </w:p>
    <w:p>
      <w:pPr>
        <w:spacing w:line="400" w:lineRule="exact"/>
        <w:jc w:val="center"/>
        <w:rPr>
          <w:rFonts w:hint="eastAsia" w:ascii="Times New Roman" w:hAnsi="Times New Roman" w:eastAsia="方正小标宋_GBK"/>
          <w:sz w:val="36"/>
          <w:szCs w:val="36"/>
        </w:rPr>
      </w:pPr>
    </w:p>
    <w:tbl>
      <w:tblPr>
        <w:tblStyle w:val="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759"/>
        <w:gridCol w:w="162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购买主体</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（申报单位）</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12" w:lineRule="auto"/>
              <w:jc w:val="center"/>
              <w:rPr>
                <w:rFonts w:hint="eastAsia" w:ascii="CESI仿宋-GB2312" w:hAnsi="CESI仿宋-GB2312" w:eastAsia="CESI仿宋-GB2312" w:cs="CESI仿宋-GB2312"/>
                <w:kern w:val="2"/>
                <w:sz w:val="24"/>
                <w:lang w:eastAsia="zh-CN"/>
              </w:rPr>
            </w:pPr>
            <w:r>
              <w:rPr>
                <w:rFonts w:hint="eastAsia" w:ascii="CESI仿宋-GB2312" w:hAnsi="CESI仿宋-GB2312" w:eastAsia="CESI仿宋-GB2312" w:cs="CESI仿宋-GB2312"/>
                <w:kern w:val="2"/>
                <w:sz w:val="24"/>
                <w:lang w:eastAsia="zh-CN"/>
              </w:rPr>
              <w:t>江头街道办事处（吕厝社区）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服务需求</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（项目名称）</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12" w:lineRule="auto"/>
              <w:jc w:val="center"/>
              <w:rPr>
                <w:rFonts w:hint="eastAsia" w:ascii="CESI仿宋-GB2312" w:hAnsi="CESI仿宋-GB2312" w:eastAsia="CESI仿宋-GB2312" w:cs="CESI仿宋-GB2312"/>
                <w:b w:val="0"/>
                <w:bCs w:val="0"/>
                <w:kern w:val="2"/>
                <w:sz w:val="22"/>
                <w:szCs w:val="22"/>
                <w:lang w:val="en-US" w:eastAsia="zh-CN"/>
              </w:rPr>
            </w:pPr>
            <w:r>
              <w:rPr>
                <w:rFonts w:hint="eastAsia" w:ascii="CESI仿宋-GB2312" w:hAnsi="CESI仿宋-GB2312" w:eastAsia="CESI仿宋-GB2312" w:cs="CESI仿宋-GB2312"/>
                <w:b w:val="0"/>
                <w:bCs w:val="0"/>
                <w:kern w:val="2"/>
                <w:sz w:val="22"/>
                <w:szCs w:val="22"/>
                <w:lang w:val="en-US" w:eastAsia="zh-CN"/>
              </w:rPr>
              <w:t>“党建引领，街区共治”吕厝社区近邻服务社会工作项目</w:t>
            </w:r>
          </w:p>
          <w:p>
            <w:pPr>
              <w:spacing w:line="312" w:lineRule="auto"/>
              <w:jc w:val="center"/>
              <w:rPr>
                <w:rFonts w:hint="eastAsia" w:ascii="CESI仿宋-GB2312" w:hAnsi="CESI仿宋-GB2312" w:eastAsia="CESI仿宋-GB2312" w:cs="CESI仿宋-GB2312"/>
                <w:b/>
                <w:bCs/>
                <w:kern w:val="2"/>
                <w:sz w:val="24"/>
                <w:lang w:eastAsia="zh-CN"/>
              </w:rPr>
            </w:pPr>
            <w:r>
              <w:rPr>
                <w:rFonts w:hint="eastAsia" w:ascii="CESI仿宋-GB2312" w:hAnsi="CESI仿宋-GB2312" w:eastAsia="CESI仿宋-GB2312" w:cs="CESI仿宋-GB2312"/>
                <w:b w:val="0"/>
                <w:bCs w:val="0"/>
                <w:kern w:val="2"/>
                <w:sz w:val="22"/>
                <w:szCs w:val="22"/>
              </w:rPr>
              <w:t>（</w:t>
            </w:r>
            <w:r>
              <w:rPr>
                <w:rFonts w:hint="eastAsia" w:ascii="CESI仿宋-GB2312" w:hAnsi="CESI仿宋-GB2312" w:eastAsia="CESI仿宋-GB2312" w:cs="CESI仿宋-GB2312"/>
                <w:b w:val="0"/>
                <w:bCs w:val="0"/>
                <w:kern w:val="2"/>
                <w:sz w:val="22"/>
                <w:szCs w:val="22"/>
                <w:lang w:val="en-US" w:eastAsia="zh-CN"/>
              </w:rPr>
              <w:t>第一期</w:t>
            </w:r>
            <w:r>
              <w:rPr>
                <w:rFonts w:hint="eastAsia" w:ascii="CESI仿宋-GB2312" w:hAnsi="CESI仿宋-GB2312" w:eastAsia="CESI仿宋-GB2312" w:cs="CESI仿宋-GB2312"/>
                <w:b w:val="0"/>
                <w:bCs w:val="0"/>
                <w:kern w:val="2"/>
                <w:sz w:val="22"/>
                <w:szCs w:val="22"/>
                <w:lang w:eastAsia="zh-CN"/>
              </w:rPr>
              <w:t>，名称暂定）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服务期限</w:t>
            </w:r>
          </w:p>
        </w:tc>
        <w:tc>
          <w:tcPr>
            <w:tcW w:w="275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b/>
                <w:bCs/>
                <w:kern w:val="2"/>
                <w:sz w:val="24"/>
                <w:lang w:val="en-US" w:eastAsia="zh-CN"/>
              </w:rPr>
            </w:pPr>
            <w:r>
              <w:rPr>
                <w:rFonts w:hint="eastAsia" w:ascii="CESI仿宋-GB2312" w:hAnsi="CESI仿宋-GB2312" w:eastAsia="CESI仿宋-GB2312" w:cs="CESI仿宋-GB2312"/>
                <w:kern w:val="2"/>
                <w:sz w:val="24"/>
                <w:lang w:val="en-US" w:eastAsia="zh-CN"/>
              </w:rPr>
              <w:t>2025.3.1-2026.2.28</w:t>
            </w:r>
          </w:p>
        </w:tc>
        <w:tc>
          <w:tcPr>
            <w:tcW w:w="162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项目经费</w:t>
            </w:r>
          </w:p>
        </w:tc>
        <w:tc>
          <w:tcPr>
            <w:tcW w:w="25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b/>
                <w:bCs/>
                <w:kern w:val="2"/>
                <w:sz w:val="24"/>
                <w:lang w:val="en-US" w:eastAsia="zh-CN"/>
              </w:rPr>
            </w:pPr>
            <w:r>
              <w:rPr>
                <w:rFonts w:hint="eastAsia" w:ascii="CESI仿宋-GB2312" w:hAnsi="CESI仿宋-GB2312" w:eastAsia="CESI仿宋-GB2312" w:cs="CESI仿宋-GB2312"/>
                <w:kern w:val="2"/>
                <w:sz w:val="24"/>
                <w:lang w:val="en-US" w:eastAsia="zh-CN"/>
              </w:rPr>
              <w:t>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申报理由</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（可另附页）</w:t>
            </w:r>
          </w:p>
        </w:tc>
        <w:tc>
          <w:tcPr>
            <w:tcW w:w="6914" w:type="dxa"/>
            <w:gridSpan w:val="3"/>
            <w:tcBorders>
              <w:top w:val="single" w:color="auto" w:sz="4" w:space="0"/>
              <w:left w:val="nil"/>
              <w:bottom w:val="single" w:color="auto" w:sz="4" w:space="0"/>
              <w:right w:val="single" w:color="auto" w:sz="4" w:space="0"/>
            </w:tcBorders>
            <w:noWrap w:val="0"/>
            <w:vAlign w:val="center"/>
          </w:tcPr>
          <w:p>
            <w:pPr>
              <w:pStyle w:val="10"/>
              <w:rPr>
                <w:rFonts w:hint="eastAsia" w:ascii="CESI仿宋-GB2312" w:hAnsi="CESI仿宋-GB2312" w:eastAsia="CESI仿宋-GB2312" w:cs="CESI仿宋-GB2312"/>
                <w:sz w:val="24"/>
                <w:szCs w:val="24"/>
                <w:lang w:val="en-US" w:eastAsia="zh-CN"/>
              </w:rPr>
            </w:pPr>
          </w:p>
          <w:p>
            <w:pPr>
              <w:pStyle w:val="10"/>
              <w:rPr>
                <w:rFonts w:hint="eastAsia" w:ascii="CESI仿宋-GB2312" w:hAnsi="CESI仿宋-GB2312" w:eastAsia="CESI仿宋-GB2312" w:cs="CESI仿宋-GB2312"/>
                <w:sz w:val="24"/>
                <w:szCs w:val="24"/>
                <w:lang w:val="en-US" w:eastAsia="zh-CN"/>
              </w:rPr>
            </w:pPr>
          </w:p>
          <w:p>
            <w:pPr>
              <w:pStyle w:val="10"/>
              <w:rPr>
                <w:rFonts w:hint="eastAsia" w:ascii="CESI仿宋-GB2312" w:hAnsi="CESI仿宋-GB2312" w:eastAsia="CESI仿宋-GB2312" w:cs="CESI仿宋-GB2312"/>
                <w:sz w:val="24"/>
                <w:szCs w:val="24"/>
                <w:lang w:val="en-US" w:eastAsia="zh-CN"/>
              </w:rPr>
            </w:pPr>
          </w:p>
          <w:p>
            <w:pPr>
              <w:pStyle w:val="10"/>
              <w:rPr>
                <w:rFonts w:hint="eastAsia" w:ascii="CESI仿宋-GB2312" w:hAnsi="CESI仿宋-GB2312" w:eastAsia="CESI仿宋-GB2312" w:cs="CESI仿宋-GB2312"/>
                <w:sz w:val="24"/>
              </w:rPr>
            </w:pPr>
            <w:r>
              <w:rPr>
                <w:rFonts w:hint="eastAsia" w:ascii="CESI仿宋-GB2312" w:hAnsi="CESI仿宋-GB2312" w:eastAsia="CESI仿宋-GB2312" w:cs="CESI仿宋-GB2312"/>
                <w:sz w:val="24"/>
                <w:szCs w:val="24"/>
                <w:lang w:val="en-US" w:eastAsia="zh-CN"/>
              </w:rPr>
              <w:t>详见附件一。</w:t>
            </w:r>
          </w:p>
          <w:p>
            <w:pPr>
              <w:pStyle w:val="2"/>
              <w:ind w:left="0" w:leftChars="0" w:firstLine="0" w:firstLineChars="0"/>
              <w:rPr>
                <w:rFonts w:hint="eastAsia" w:ascii="CESI仿宋-GB2312" w:hAnsi="CESI仿宋-GB2312" w:eastAsia="CESI仿宋-GB2312" w:cs="CESI仿宋-GB2312"/>
                <w:b/>
                <w:bCs/>
                <w:sz w:val="24"/>
                <w:lang w:val="en-US" w:eastAsia="zh-CN"/>
              </w:rPr>
            </w:pPr>
          </w:p>
          <w:p>
            <w:pPr>
              <w:pStyle w:val="2"/>
              <w:ind w:left="0" w:leftChars="0" w:firstLine="0" w:firstLineChars="0"/>
              <w:rPr>
                <w:rFonts w:hint="eastAsia" w:ascii="CESI仿宋-GB2312" w:hAnsi="CESI仿宋-GB2312" w:eastAsia="CESI仿宋-GB2312" w:cs="CESI仿宋-GB2312"/>
                <w:b/>
                <w:bCs/>
                <w:sz w:val="24"/>
                <w:lang w:val="en-US" w:eastAsia="zh-CN"/>
              </w:rPr>
            </w:pPr>
          </w:p>
          <w:p>
            <w:pPr>
              <w:keepNext w:val="0"/>
              <w:keepLines w:val="0"/>
              <w:pageBreakBefore w:val="0"/>
              <w:widowControl w:val="0"/>
              <w:tabs>
                <w:tab w:val="left" w:pos="4821"/>
                <w:tab w:val="left" w:pos="5466"/>
              </w:tabs>
              <w:kinsoku/>
              <w:wordWrap/>
              <w:overflowPunct/>
              <w:topLinePunct w:val="0"/>
              <w:autoSpaceDE/>
              <w:autoSpaceDN/>
              <w:bidi w:val="0"/>
              <w:adjustRightInd/>
              <w:snapToGrid/>
              <w:spacing w:line="320" w:lineRule="exact"/>
              <w:ind w:firstLine="640" w:firstLineChars="200"/>
              <w:textAlignment w:val="auto"/>
              <w:rPr>
                <w:rFonts w:hint="eastAsia"/>
              </w:rPr>
            </w:pPr>
          </w:p>
          <w:p>
            <w:pPr>
              <w:keepNext w:val="0"/>
              <w:keepLines w:val="0"/>
              <w:pageBreakBefore w:val="0"/>
              <w:widowControl w:val="0"/>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rPr>
              <w:t xml:space="preserve">    </w:t>
            </w:r>
            <w:r>
              <w:rPr>
                <w:rFonts w:hint="eastAsia" w:ascii="CESI仿宋-GB2312" w:hAnsi="CESI仿宋-GB2312" w:eastAsia="CESI仿宋-GB2312" w:cs="CESI仿宋-GB2312"/>
                <w:sz w:val="24"/>
                <w:lang w:val="en-US" w:eastAsia="zh-CN"/>
              </w:rPr>
              <w:t xml:space="preserve">                                    </w:t>
            </w:r>
          </w:p>
          <w:p>
            <w:pPr>
              <w:keepNext w:val="0"/>
              <w:keepLines w:val="0"/>
              <w:pageBreakBefore w:val="0"/>
              <w:widowControl w:val="0"/>
              <w:tabs>
                <w:tab w:val="left" w:pos="4821"/>
                <w:tab w:val="left" w:pos="5466"/>
              </w:tabs>
              <w:kinsoku/>
              <w:wordWrap/>
              <w:overflowPunct/>
              <w:topLinePunct w:val="0"/>
              <w:autoSpaceDE/>
              <w:autoSpaceDN/>
              <w:bidi w:val="0"/>
              <w:adjustRightInd/>
              <w:snapToGrid/>
              <w:spacing w:line="320" w:lineRule="exact"/>
              <w:ind w:firstLine="4800" w:firstLineChars="20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盖  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rPr>
            </w:pPr>
          </w:p>
          <w:p>
            <w:pPr>
              <w:keepNext w:val="0"/>
              <w:keepLines w:val="0"/>
              <w:pageBreakBefore w:val="0"/>
              <w:widowControl w:val="0"/>
              <w:tabs>
                <w:tab w:val="left" w:pos="4389"/>
                <w:tab w:val="left" w:pos="5871"/>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 xml:space="preserve">                             </w:t>
            </w:r>
            <w:r>
              <w:rPr>
                <w:rFonts w:hint="eastAsia" w:ascii="CESI仿宋-GB2312" w:hAnsi="CESI仿宋-GB2312" w:eastAsia="CESI仿宋-GB2312" w:cs="CESI仿宋-GB2312"/>
                <w:sz w:val="24"/>
                <w:lang w:val="en-US" w:eastAsia="zh-CN"/>
              </w:rPr>
              <w:t xml:space="preserve">     </w:t>
            </w:r>
            <w:r>
              <w:rPr>
                <w:rFonts w:hint="eastAsia" w:ascii="CESI仿宋-GB2312" w:hAnsi="CESI仿宋-GB2312" w:eastAsia="CESI仿宋-GB2312" w:cs="CESI仿宋-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项目主管部门、</w:t>
            </w:r>
          </w:p>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财</w:t>
            </w:r>
            <w:r>
              <w:rPr>
                <w:rFonts w:hint="eastAsia" w:ascii="CESI仿宋-GB2312" w:hAnsi="CESI仿宋-GB2312" w:eastAsia="CESI仿宋-GB2312" w:cs="CESI仿宋-GB2312"/>
                <w:spacing w:val="-6"/>
                <w:sz w:val="24"/>
              </w:rPr>
              <w:t>政局审核意见</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CESI仿宋-GB2312" w:hAnsi="CESI仿宋-GB2312" w:eastAsia="CESI仿宋-GB2312" w:cs="CESI仿宋-GB2312"/>
                <w:sz w:val="24"/>
              </w:rPr>
            </w:pPr>
          </w:p>
          <w:p>
            <w:pPr>
              <w:spacing w:line="320" w:lineRule="exact"/>
              <w:rPr>
                <w:rFonts w:hint="eastAsia" w:ascii="CESI仿宋-GB2312" w:hAnsi="CESI仿宋-GB2312" w:eastAsia="CESI仿宋-GB2312" w:cs="CESI仿宋-GB2312"/>
                <w:sz w:val="24"/>
              </w:rPr>
            </w:pPr>
          </w:p>
          <w:p>
            <w:pPr>
              <w:spacing w:line="320" w:lineRule="exact"/>
              <w:rPr>
                <w:rFonts w:hint="eastAsia" w:ascii="CESI仿宋-GB2312" w:hAnsi="CESI仿宋-GB2312" w:eastAsia="CESI仿宋-GB2312" w:cs="CESI仿宋-GB2312"/>
                <w:sz w:val="24"/>
              </w:rPr>
            </w:pPr>
          </w:p>
          <w:p>
            <w:pPr>
              <w:spacing w:line="320" w:lineRule="exact"/>
              <w:rPr>
                <w:rFonts w:hint="eastAsia" w:ascii="CESI仿宋-GB2312" w:hAnsi="CESI仿宋-GB2312" w:eastAsia="CESI仿宋-GB2312" w:cs="CESI仿宋-GB2312"/>
                <w:sz w:val="24"/>
              </w:rPr>
            </w:pPr>
          </w:p>
          <w:p>
            <w:pPr>
              <w:tabs>
                <w:tab w:val="left" w:pos="4686"/>
              </w:tabs>
              <w:spacing w:line="320" w:lineRule="exact"/>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盖  章                            盖  章</w:t>
            </w:r>
          </w:p>
          <w:p>
            <w:pPr>
              <w:spacing w:line="320" w:lineRule="exact"/>
              <w:rPr>
                <w:rFonts w:hint="eastAsia" w:ascii="CESI仿宋-GB2312" w:hAnsi="CESI仿宋-GB2312" w:eastAsia="CESI仿宋-GB2312" w:cs="CESI仿宋-GB2312"/>
                <w:sz w:val="24"/>
              </w:rPr>
            </w:pPr>
          </w:p>
          <w:p>
            <w:pPr>
              <w:tabs>
                <w:tab w:val="left" w:pos="4596"/>
                <w:tab w:val="left" w:pos="5856"/>
              </w:tabs>
              <w:spacing w:line="320" w:lineRule="exact"/>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 xml:space="preserve">     年   月    日                 </w:t>
            </w:r>
            <w:r>
              <w:rPr>
                <w:rFonts w:hint="eastAsia" w:ascii="CESI仿宋-GB2312" w:hAnsi="CESI仿宋-GB2312" w:eastAsia="CESI仿宋-GB2312" w:cs="CESI仿宋-GB2312"/>
                <w:sz w:val="24"/>
                <w:lang w:val="en-US" w:eastAsia="zh-CN"/>
              </w:rPr>
              <w:t xml:space="preserve">  </w:t>
            </w:r>
            <w:r>
              <w:rPr>
                <w:rFonts w:hint="eastAsia" w:ascii="CESI仿宋-GB2312" w:hAnsi="CESI仿宋-GB2312" w:eastAsia="CESI仿宋-GB2312" w:cs="CESI仿宋-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备  注</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20" w:lineRule="exact"/>
              <w:rPr>
                <w:rFonts w:hint="eastAsia" w:ascii="CESI仿宋-GB2312" w:hAnsi="CESI仿宋-GB2312" w:eastAsia="CESI仿宋-GB2312" w:cs="CESI仿宋-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说  明</w:t>
            </w:r>
          </w:p>
        </w:tc>
        <w:tc>
          <w:tcPr>
            <w:tcW w:w="6914" w:type="dxa"/>
            <w:gridSpan w:val="3"/>
            <w:tcBorders>
              <w:top w:val="single" w:color="auto" w:sz="4" w:space="0"/>
              <w:left w:val="nil"/>
              <w:bottom w:val="single" w:color="auto" w:sz="4" w:space="0"/>
              <w:right w:val="single" w:color="auto" w:sz="4" w:space="0"/>
            </w:tcBorders>
            <w:noWrap w:val="0"/>
            <w:vAlign w:val="center"/>
          </w:tcPr>
          <w:p>
            <w:pPr>
              <w:spacing w:line="340" w:lineRule="exact"/>
              <w:rPr>
                <w:rFonts w:hint="eastAsia" w:ascii="CESI仿宋-GB2312" w:hAnsi="CESI仿宋-GB2312" w:eastAsia="CESI仿宋-GB2312" w:cs="CESI仿宋-GB2312"/>
                <w:kern w:val="2"/>
                <w:sz w:val="24"/>
              </w:rPr>
            </w:pPr>
            <w:r>
              <w:rPr>
                <w:rFonts w:hint="eastAsia" w:ascii="CESI仿宋-GB2312" w:hAnsi="CESI仿宋-GB2312" w:eastAsia="CESI仿宋-GB2312" w:cs="CESI仿宋-GB2312"/>
                <w:sz w:val="24"/>
              </w:rPr>
              <w:t>1．申报理由主要填写征求居民意见情况，购买服务对象的数量、需求等,经街道办研究汇总后盖章上报。</w:t>
            </w:r>
          </w:p>
          <w:p>
            <w:pPr>
              <w:spacing w:line="340" w:lineRule="exact"/>
              <w:jc w:val="left"/>
              <w:rPr>
                <w:rFonts w:hint="eastAsia" w:ascii="CESI仿宋-GB2312" w:hAnsi="CESI仿宋-GB2312" w:eastAsia="CESI仿宋-GB2312" w:cs="CESI仿宋-GB2312"/>
                <w:b/>
                <w:bCs/>
                <w:kern w:val="2"/>
                <w:sz w:val="24"/>
              </w:rPr>
            </w:pPr>
            <w:r>
              <w:rPr>
                <w:rFonts w:hint="eastAsia" w:ascii="CESI仿宋-GB2312" w:hAnsi="CESI仿宋-GB2312" w:eastAsia="CESI仿宋-GB2312" w:cs="CESI仿宋-GB2312"/>
                <w:sz w:val="24"/>
              </w:rPr>
              <w:t>2．本表一式</w:t>
            </w:r>
            <w:r>
              <w:rPr>
                <w:rFonts w:hint="eastAsia" w:ascii="CESI仿宋-GB2312" w:hAnsi="CESI仿宋-GB2312" w:eastAsia="CESI仿宋-GB2312" w:cs="CESI仿宋-GB2312"/>
                <w:sz w:val="24"/>
                <w:lang w:eastAsia="zh-CN"/>
              </w:rPr>
              <w:t>两</w:t>
            </w:r>
            <w:bookmarkStart w:id="0" w:name="_GoBack"/>
            <w:bookmarkEnd w:id="0"/>
            <w:r>
              <w:rPr>
                <w:rFonts w:hint="eastAsia" w:ascii="CESI仿宋-GB2312" w:hAnsi="CESI仿宋-GB2312" w:eastAsia="CESI仿宋-GB2312" w:cs="CESI仿宋-GB2312"/>
                <w:sz w:val="24"/>
              </w:rPr>
              <w:t>份，申报单位、项目主管部门各一份。</w:t>
            </w:r>
          </w:p>
        </w:tc>
      </w:tr>
    </w:tbl>
    <w:p>
      <w:pPr>
        <w:sectPr>
          <w:pgSz w:w="11906" w:h="16838"/>
          <w:pgMar w:top="1440" w:right="1800" w:bottom="1440" w:left="1800" w:header="851" w:footer="992" w:gutter="0"/>
          <w:cols w:space="720" w:num="1"/>
          <w:docGrid w:type="lines" w:linePitch="312" w:charSpace="0"/>
        </w:sectPr>
      </w:pPr>
    </w:p>
    <w:p>
      <w:pPr>
        <w:spacing w:line="320" w:lineRule="exact"/>
        <w:rPr>
          <w:rFonts w:hint="eastAsia" w:ascii="仿宋" w:hAnsi="仿宋" w:eastAsia="仿宋" w:cs="FangSong_GB2312"/>
          <w:b w:val="0"/>
          <w:bCs w:val="0"/>
          <w:sz w:val="24"/>
          <w:szCs w:val="24"/>
        </w:rPr>
      </w:pPr>
      <w:r>
        <w:rPr>
          <w:rFonts w:hint="eastAsia" w:ascii="仿宋" w:hAnsi="仿宋" w:eastAsia="仿宋" w:cs="FangSong_GB2312"/>
          <w:b w:val="0"/>
          <w:bCs w:val="0"/>
          <w:sz w:val="24"/>
          <w:szCs w:val="24"/>
        </w:rPr>
        <w:t>附件一</w:t>
      </w:r>
    </w:p>
    <w:p>
      <w:pPr>
        <w:pStyle w:val="2"/>
        <w:rPr>
          <w:rFonts w:hint="eastAsia"/>
        </w:rPr>
      </w:pPr>
    </w:p>
    <w:p>
      <w:pPr>
        <w:keepNext w:val="0"/>
        <w:keepLines w:val="0"/>
        <w:pageBreakBefore w:val="0"/>
        <w:widowControl w:val="0"/>
        <w:numPr>
          <w:ilvl w:val="0"/>
          <w:numId w:val="1"/>
        </w:numPr>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b/>
          <w:bCs/>
          <w:sz w:val="24"/>
          <w:lang w:val="en-US" w:eastAsia="zh-CN"/>
        </w:rPr>
      </w:pPr>
      <w:r>
        <w:rPr>
          <w:rFonts w:hint="eastAsia" w:ascii="CESI仿宋-GB2312" w:hAnsi="CESI仿宋-GB2312" w:eastAsia="CESI仿宋-GB2312" w:cs="CESI仿宋-GB2312"/>
          <w:b/>
          <w:bCs/>
          <w:sz w:val="24"/>
          <w:lang w:val="en-US" w:eastAsia="zh-CN"/>
        </w:rPr>
        <w:t>社区基本情况</w:t>
      </w:r>
    </w:p>
    <w:p>
      <w:pPr>
        <w:keepNext w:val="0"/>
        <w:keepLines w:val="0"/>
        <w:pageBreakBefore w:val="0"/>
        <w:widowControl w:val="0"/>
        <w:numPr>
          <w:ilvl w:val="0"/>
          <w:numId w:val="0"/>
        </w:numPr>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color w:val="auto"/>
          <w:kern w:val="2"/>
          <w:sz w:val="24"/>
        </w:rPr>
      </w:pPr>
      <w:r>
        <w:rPr>
          <w:rFonts w:hint="eastAsia" w:ascii="CESI仿宋-GB2312" w:hAnsi="CESI仿宋-GB2312" w:eastAsia="CESI仿宋-GB2312" w:cs="CESI仿宋-GB2312"/>
          <w:color w:val="auto"/>
          <w:kern w:val="2"/>
          <w:sz w:val="24"/>
        </w:rPr>
        <w:t>厦门市湖里区江头街道吕厝社区面积约0.6平方公里，位于厦门岛内的几何中心，地理位置优越，是岛内交通最为便捷的生活区。社区由13个生活小区组成，有4栋商业楼宇</w:t>
      </w:r>
      <w:r>
        <w:rPr>
          <w:rFonts w:hint="eastAsia" w:ascii="CESI仿宋-GB2312" w:hAnsi="CESI仿宋-GB2312" w:eastAsia="CESI仿宋-GB2312" w:cs="CESI仿宋-GB2312"/>
          <w:color w:val="auto"/>
          <w:kern w:val="2"/>
          <w:sz w:val="24"/>
          <w:lang w:eastAsia="zh-CN"/>
        </w:rPr>
        <w:t>、</w:t>
      </w:r>
      <w:r>
        <w:rPr>
          <w:rFonts w:hint="eastAsia" w:ascii="CESI仿宋-GB2312" w:hAnsi="CESI仿宋-GB2312" w:eastAsia="CESI仿宋-GB2312" w:cs="CESI仿宋-GB2312"/>
          <w:color w:val="auto"/>
          <w:kern w:val="2"/>
          <w:sz w:val="24"/>
        </w:rPr>
        <w:t>2栋商住两用楼宇、近1000家沿街店铺和1个公园，呈现人口密度高、商铺多、商居共用的特点。社区党委下设</w:t>
      </w:r>
      <w:r>
        <w:rPr>
          <w:rFonts w:hint="eastAsia" w:ascii="CESI仿宋-GB2312" w:hAnsi="CESI仿宋-GB2312" w:eastAsia="CESI仿宋-GB2312" w:cs="CESI仿宋-GB2312"/>
          <w:color w:val="auto"/>
          <w:kern w:val="2"/>
          <w:sz w:val="24"/>
          <w:lang w:val="en-US" w:eastAsia="zh-CN"/>
        </w:rPr>
        <w:t>18</w:t>
      </w:r>
      <w:r>
        <w:rPr>
          <w:rFonts w:hint="eastAsia" w:ascii="CESI仿宋-GB2312" w:hAnsi="CESI仿宋-GB2312" w:eastAsia="CESI仿宋-GB2312" w:cs="CESI仿宋-GB2312"/>
          <w:color w:val="auto"/>
          <w:kern w:val="2"/>
          <w:sz w:val="24"/>
        </w:rPr>
        <w:t>个党支部，党员总数2</w:t>
      </w:r>
      <w:r>
        <w:rPr>
          <w:rFonts w:hint="eastAsia" w:ascii="CESI仿宋-GB2312" w:hAnsi="CESI仿宋-GB2312" w:eastAsia="CESI仿宋-GB2312" w:cs="CESI仿宋-GB2312"/>
          <w:color w:val="auto"/>
          <w:kern w:val="2"/>
          <w:sz w:val="24"/>
          <w:lang w:val="en-US" w:eastAsia="zh-CN"/>
        </w:rPr>
        <w:t>31</w:t>
      </w:r>
      <w:r>
        <w:rPr>
          <w:rFonts w:hint="eastAsia" w:ascii="CESI仿宋-GB2312" w:hAnsi="CESI仿宋-GB2312" w:eastAsia="CESI仿宋-GB2312" w:cs="CESI仿宋-GB2312"/>
          <w:color w:val="auto"/>
          <w:kern w:val="2"/>
          <w:sz w:val="24"/>
        </w:rPr>
        <w:t>人。</w:t>
      </w:r>
    </w:p>
    <w:p>
      <w:pPr>
        <w:keepNext w:val="0"/>
        <w:keepLines w:val="0"/>
        <w:pageBreakBefore w:val="0"/>
        <w:widowControl w:val="0"/>
        <w:numPr>
          <w:ilvl w:val="0"/>
          <w:numId w:val="0"/>
        </w:numPr>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kern w:val="2"/>
          <w:sz w:val="24"/>
          <w:lang w:val="en-US" w:eastAsia="zh-CN"/>
        </w:rPr>
      </w:pPr>
      <w:r>
        <w:rPr>
          <w:rFonts w:hint="eastAsia" w:ascii="CESI仿宋-GB2312" w:hAnsi="CESI仿宋-GB2312" w:eastAsia="CESI仿宋-GB2312" w:cs="CESI仿宋-GB2312"/>
          <w:color w:val="auto"/>
          <w:kern w:val="2"/>
          <w:sz w:val="24"/>
          <w:lang w:val="en-US" w:eastAsia="zh-CN"/>
        </w:rPr>
        <w:t>吕厝社区作为厦门岛的重要商住综合区，拥有丰富的商业资源。辖区内有新景建材城、国联材料城等商城，形成了远近闻名的建材一条街。此外，还有天地</w:t>
      </w:r>
      <w:r>
        <w:rPr>
          <w:rFonts w:hint="eastAsia" w:ascii="CESI仿宋-GB2312" w:hAnsi="CESI仿宋-GB2312" w:eastAsia="CESI仿宋-GB2312" w:cs="CESI仿宋-GB2312"/>
          <w:kern w:val="2"/>
          <w:sz w:val="24"/>
          <w:lang w:val="en-US" w:eastAsia="zh-CN"/>
        </w:rPr>
        <w:t>花园美食一条街、台湾街金融一条街、江头北路日用品一条街、江头西路手机市场等。</w:t>
      </w:r>
    </w:p>
    <w:p>
      <w:pPr>
        <w:keepNext w:val="0"/>
        <w:keepLines w:val="0"/>
        <w:pageBreakBefore w:val="0"/>
        <w:widowControl w:val="0"/>
        <w:numPr>
          <w:ilvl w:val="0"/>
          <w:numId w:val="1"/>
        </w:numPr>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b/>
          <w:bCs/>
          <w:sz w:val="24"/>
          <w:lang w:val="en-US" w:eastAsia="zh-CN"/>
        </w:rPr>
      </w:pPr>
      <w:r>
        <w:rPr>
          <w:rFonts w:hint="eastAsia" w:ascii="CESI仿宋-GB2312" w:hAnsi="CESI仿宋-GB2312" w:eastAsia="CESI仿宋-GB2312" w:cs="CESI仿宋-GB2312"/>
          <w:b/>
          <w:bCs/>
          <w:sz w:val="24"/>
          <w:lang w:val="en-US" w:eastAsia="zh-CN"/>
        </w:rPr>
        <w:t>上一周期服务成效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kern w:val="2"/>
          <w:sz w:val="24"/>
          <w:lang w:val="en-US" w:eastAsia="zh-CN"/>
        </w:rPr>
      </w:pPr>
      <w:r>
        <w:rPr>
          <w:rFonts w:hint="eastAsia" w:ascii="CESI仿宋-GB2312" w:hAnsi="CESI仿宋-GB2312" w:eastAsia="CESI仿宋-GB2312" w:cs="CESI仿宋-GB2312"/>
          <w:kern w:val="2"/>
          <w:sz w:val="24"/>
          <w:lang w:val="en-US" w:eastAsia="zh-CN"/>
        </w:rPr>
        <w:t>为了解决</w:t>
      </w:r>
      <w:r>
        <w:rPr>
          <w:rFonts w:hint="eastAsia" w:ascii="CESI仿宋-GB2312" w:hAnsi="CESI仿宋-GB2312" w:eastAsia="CESI仿宋-GB2312" w:cs="CESI仿宋-GB2312"/>
          <w:kern w:val="2"/>
          <w:sz w:val="24"/>
        </w:rPr>
        <w:t>商家、居民、社区彼此之间缺乏交流、互动和合作，参与社区治理的积极性偏低</w:t>
      </w:r>
      <w:r>
        <w:rPr>
          <w:rFonts w:hint="eastAsia" w:ascii="CESI仿宋-GB2312" w:hAnsi="CESI仿宋-GB2312" w:eastAsia="CESI仿宋-GB2312" w:cs="CESI仿宋-GB2312"/>
          <w:kern w:val="2"/>
          <w:sz w:val="24"/>
          <w:lang w:val="en-US" w:eastAsia="zh-CN"/>
        </w:rPr>
        <w:t>等问题，通过购买社工服务项目，</w:t>
      </w:r>
      <w:r>
        <w:rPr>
          <w:rFonts w:hint="eastAsia" w:ascii="CESI仿宋-GB2312" w:hAnsi="CESI仿宋-GB2312" w:eastAsia="CESI仿宋-GB2312" w:cs="CESI仿宋-GB2312"/>
          <w:kern w:val="2"/>
          <w:sz w:val="24"/>
        </w:rPr>
        <w:t>激发商家自治活力，带动居民参与服务、议事，促进商居共治，增强商家、居民对社区的归属感与认同感</w:t>
      </w:r>
      <w:r>
        <w:rPr>
          <w:rFonts w:hint="eastAsia" w:ascii="CESI仿宋-GB2312" w:hAnsi="CESI仿宋-GB2312" w:eastAsia="CESI仿宋-GB2312" w:cs="CESI仿宋-GB2312"/>
          <w:kern w:val="2"/>
          <w:sz w:val="24"/>
          <w:lang w:eastAsia="zh-CN"/>
        </w:rPr>
        <w:t>，社区目</w:t>
      </w:r>
      <w:r>
        <w:rPr>
          <w:rFonts w:hint="eastAsia" w:ascii="CESI仿宋-GB2312" w:hAnsi="CESI仿宋-GB2312" w:eastAsia="CESI仿宋-GB2312" w:cs="CESI仿宋-GB2312"/>
          <w:kern w:val="2"/>
          <w:sz w:val="24"/>
          <w:lang w:val="en-US" w:eastAsia="zh-CN"/>
        </w:rPr>
        <w:t>前已有的成效如下：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kern w:val="2"/>
          <w:sz w:val="24"/>
          <w:lang w:val="en-US" w:eastAsia="zh-CN"/>
        </w:rPr>
      </w:pPr>
      <w:r>
        <w:rPr>
          <w:rFonts w:hint="eastAsia" w:ascii="CESI仿宋-GB2312" w:hAnsi="CESI仿宋-GB2312" w:eastAsia="CESI仿宋-GB2312" w:cs="CESI仿宋-GB2312"/>
          <w:kern w:val="2"/>
          <w:sz w:val="24"/>
          <w:lang w:val="en-US" w:eastAsia="zh-CN"/>
        </w:rPr>
        <w:t>第一，多元主体参与意识显著提高，治理过程呈现出参与——互助——融合——自治的发展趋向，实现了从“被动接受”到“主动参与”的积极转变。项目团队在广泛搜集社情民意需求后，开展一系列促进多元主体互动交流、丰富日常的活动，突破了各主体之间原有的独立系统和分离状态。先通过走访认识、普适性活动开展，如包粽子比赛、商圈运动会、公益市集等服务，带动参与，通过文明实践课堂、文明倡导等方式，提升商家、居民在商圈环境保护中的文明意识；每个月探访弱势群体志愿活动和季度高龄老人生日会重塑了对社区共同体的认识，让多元主体协作的同时，对社区产生集体认同感和归属感等等。</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kern w:val="2"/>
          <w:sz w:val="24"/>
          <w:lang w:val="en-US" w:eastAsia="zh-CN"/>
        </w:rPr>
      </w:pPr>
      <w:r>
        <w:rPr>
          <w:rFonts w:hint="eastAsia" w:ascii="CESI仿宋-GB2312" w:hAnsi="CESI仿宋-GB2312" w:eastAsia="CESI仿宋-GB2312" w:cs="CESI仿宋-GB2312"/>
          <w:kern w:val="2"/>
          <w:sz w:val="24"/>
          <w:lang w:val="en-US" w:eastAsia="zh-CN"/>
        </w:rPr>
        <w:t>赋能培育“公益合伙人”，在“合伙人平台”实现互促，实现治理效能稳步提升。以“公益合伙人”签约、建立“公益合伙人”工作室等方式，目前共吸纳80个公益资源参与到社区服务当中，为小区改造、助老帮困等工作贡献力量，共同营造“人人参与公益，人人享有公益”的良好氛围，累计开展公益服务百余次，其价值累计达12万元。通过《公益合伙人运营管理制度》、座谈交流、培训学习等方式，极大增进多元主体的相互了解，提升大家的服务技能，提升公益合伙人的积极性与能动性，为公益服务持续开展奠定基础。</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sz w:val="24"/>
          <w:lang w:val="en-US" w:eastAsia="zh-CN"/>
        </w:rPr>
      </w:pPr>
      <w:r>
        <w:rPr>
          <w:rFonts w:hint="eastAsia" w:ascii="CESI仿宋-GB2312" w:hAnsi="CESI仿宋-GB2312" w:eastAsia="CESI仿宋-GB2312" w:cs="CESI仿宋-GB2312"/>
          <w:kern w:val="2"/>
          <w:sz w:val="24"/>
          <w:lang w:val="en-US" w:eastAsia="zh-CN"/>
        </w:rPr>
        <w:t>搭建完善“友邻超市”，促进了“多元协作”，满足社区发展治理需求。在近邻党建引领下，项目团队结合社区特点，利用社区多方优势，打造“友邻超市”，通过积分兑换的方式，促进社区多元力量参与，激发社区治理活力，助推基层社会治理发展。并以“友邻超市”为平台，开展多个公益微行动，广泛吸纳多元主体参与到社区治理，社区多维关系得到明显改善，多元主体之间的共商共治能力不断增强。如文明实践课堂、空间运营管理、</w:t>
      </w:r>
      <w:r>
        <w:rPr>
          <w:rFonts w:hint="eastAsia" w:ascii="CESI仿宋-GB2312" w:hAnsi="CESI仿宋-GB2312" w:eastAsia="CESI仿宋-GB2312" w:cs="CESI仿宋-GB2312"/>
          <w:sz w:val="24"/>
          <w:lang w:val="en-US" w:eastAsia="zh-CN"/>
        </w:rPr>
        <w:t>“温暖星期五”红船义诊、厝边生日会、青少年职业体验营等。</w:t>
      </w:r>
    </w:p>
    <w:p>
      <w:pPr>
        <w:keepNext w:val="0"/>
        <w:keepLines w:val="0"/>
        <w:pageBreakBefore w:val="0"/>
        <w:widowControl w:val="0"/>
        <w:numPr>
          <w:ilvl w:val="0"/>
          <w:numId w:val="1"/>
        </w:numPr>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b/>
          <w:bCs/>
          <w:sz w:val="24"/>
          <w:lang w:val="en-US" w:eastAsia="zh-CN"/>
        </w:rPr>
      </w:pPr>
      <w:r>
        <w:rPr>
          <w:rFonts w:hint="eastAsia" w:ascii="CESI仿宋-GB2312" w:hAnsi="CESI仿宋-GB2312" w:eastAsia="CESI仿宋-GB2312" w:cs="CESI仿宋-GB2312"/>
          <w:b/>
          <w:bCs/>
          <w:sz w:val="24"/>
          <w:lang w:val="en-US" w:eastAsia="zh-CN"/>
        </w:rPr>
        <w:t>新一阶段服务需求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kern w:val="2"/>
          <w:sz w:val="24"/>
          <w:lang w:val="en-US" w:eastAsia="zh-CN"/>
        </w:rPr>
      </w:pPr>
      <w:r>
        <w:rPr>
          <w:rFonts w:hint="eastAsia" w:ascii="CESI仿宋-GB2312" w:hAnsi="CESI仿宋-GB2312" w:eastAsia="CESI仿宋-GB2312" w:cs="CESI仿宋-GB2312"/>
          <w:sz w:val="24"/>
          <w:lang w:val="en-US" w:eastAsia="zh-CN"/>
        </w:rPr>
        <w:t>1.巩固往年服务成果，进一步深化“友邻超市”在社区治理中的功能，不断培育发展“公益合伙人”以及“好厝边智囊团”，提升街区、小区内多元主体的治理能力，以满足社区治理的精细化以及人民日益增长的美好生活需要和个性化需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default"/>
          <w:lang w:val="en-US" w:eastAsia="zh-CN"/>
        </w:rPr>
      </w:pPr>
      <w:r>
        <w:rPr>
          <w:rFonts w:hint="eastAsia" w:ascii="CESI仿宋-GB2312" w:hAnsi="CESI仿宋-GB2312" w:eastAsia="CESI仿宋-GB2312" w:cs="CESI仿宋-GB2312"/>
          <w:kern w:val="2"/>
          <w:sz w:val="24"/>
          <w:lang w:val="en-US" w:eastAsia="zh-CN"/>
        </w:rPr>
        <w:t>2.立足社区商居共住的特点，通过党建引领街区共治，发挥日用品一条街、美食一条街、金融一条街、建材市场一条街商圈作用，整合街区、小区内的各类资源，发挥商圈党支部作用，组织党员、志愿者开展党建活动，在“商户、居民等群体的主体责任如何落实”“长期存在的矛盾纠纷如何化解”方面起到润滑调解作用，增进企业店面与辖区各主体部门间的融合，助力小区、社区治理的精细化，创造更好的街区营商环境，形成小区、街区相互共联、共建、共管的良好局面。</w:t>
      </w:r>
    </w:p>
    <w:p>
      <w:pPr>
        <w:keepNext w:val="0"/>
        <w:keepLines w:val="0"/>
        <w:pageBreakBefore w:val="0"/>
        <w:widowControl w:val="0"/>
        <w:numPr>
          <w:ilvl w:val="0"/>
          <w:numId w:val="1"/>
        </w:numPr>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default" w:ascii="CESI仿宋-GB2312" w:hAnsi="CESI仿宋-GB2312" w:eastAsia="CESI仿宋-GB2312" w:cs="CESI仿宋-GB2312"/>
          <w:b/>
          <w:bCs/>
          <w:sz w:val="24"/>
          <w:lang w:val="en-US" w:eastAsia="zh-CN"/>
        </w:rPr>
      </w:pPr>
      <w:r>
        <w:rPr>
          <w:rFonts w:hint="eastAsia" w:ascii="CESI仿宋-GB2312" w:hAnsi="CESI仿宋-GB2312" w:eastAsia="CESI仿宋-GB2312" w:cs="CESI仿宋-GB2312"/>
          <w:b/>
          <w:bCs/>
          <w:sz w:val="24"/>
          <w:lang w:val="en-US" w:eastAsia="zh-CN"/>
        </w:rPr>
        <w:t>下一步计划</w:t>
      </w:r>
    </w:p>
    <w:p>
      <w:pPr>
        <w:keepNext w:val="0"/>
        <w:keepLines w:val="0"/>
        <w:pageBreakBefore w:val="0"/>
        <w:widowControl w:val="0"/>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lang w:val="en-US" w:eastAsia="zh-CN"/>
        </w:rPr>
        <w:t>1.</w:t>
      </w:r>
      <w:r>
        <w:rPr>
          <w:rFonts w:hint="eastAsia" w:ascii="CESI仿宋-GB2312" w:hAnsi="CESI仿宋-GB2312" w:eastAsia="CESI仿宋-GB2312" w:cs="CESI仿宋-GB2312"/>
          <w:sz w:val="24"/>
        </w:rPr>
        <w:t>以培育“街区共同体”为主要目标，构建协商机制，搭建“1+</w:t>
      </w: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rPr>
        <w:t>+N”的“党建+自治+共治”长效治理体系。“1”即党建引领；“</w:t>
      </w: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rPr>
        <w:t>”即街区</w:t>
      </w:r>
      <w:r>
        <w:rPr>
          <w:rFonts w:hint="eastAsia" w:ascii="CESI仿宋-GB2312" w:hAnsi="CESI仿宋-GB2312" w:eastAsia="CESI仿宋-GB2312" w:cs="CESI仿宋-GB2312"/>
          <w:sz w:val="24"/>
          <w:lang w:val="en-US" w:eastAsia="zh-CN"/>
        </w:rPr>
        <w:t>代表</w:t>
      </w:r>
      <w:r>
        <w:rPr>
          <w:rFonts w:hint="eastAsia" w:ascii="CESI仿宋-GB2312" w:hAnsi="CESI仿宋-GB2312" w:eastAsia="CESI仿宋-GB2312" w:cs="CESI仿宋-GB2312"/>
          <w:sz w:val="24"/>
        </w:rPr>
        <w:t>（</w:t>
      </w:r>
      <w:r>
        <w:rPr>
          <w:rFonts w:hint="eastAsia" w:ascii="CESI仿宋-GB2312" w:hAnsi="CESI仿宋-GB2312" w:eastAsia="CESI仿宋-GB2312" w:cs="CESI仿宋-GB2312"/>
          <w:sz w:val="24"/>
          <w:lang w:val="en-US" w:eastAsia="zh-CN"/>
        </w:rPr>
        <w:t>即“公益合伙人”：街区</w:t>
      </w:r>
      <w:r>
        <w:rPr>
          <w:rFonts w:hint="eastAsia" w:ascii="CESI仿宋-GB2312" w:hAnsi="CESI仿宋-GB2312" w:eastAsia="CESI仿宋-GB2312" w:cs="CESI仿宋-GB2312"/>
          <w:sz w:val="24"/>
        </w:rPr>
        <w:t>经营者、社会</w:t>
      </w:r>
      <w:r>
        <w:rPr>
          <w:rFonts w:hint="eastAsia" w:ascii="CESI仿宋-GB2312" w:hAnsi="CESI仿宋-GB2312" w:eastAsia="CESI仿宋-GB2312" w:cs="CESI仿宋-GB2312"/>
          <w:sz w:val="24"/>
          <w:lang w:val="en-US" w:eastAsia="zh-CN"/>
        </w:rPr>
        <w:t>组织或</w:t>
      </w:r>
      <w:r>
        <w:rPr>
          <w:rFonts w:hint="eastAsia" w:ascii="CESI仿宋-GB2312" w:hAnsi="CESI仿宋-GB2312" w:eastAsia="CESI仿宋-GB2312" w:cs="CESI仿宋-GB2312"/>
          <w:sz w:val="24"/>
        </w:rPr>
        <w:t>团体）、</w:t>
      </w:r>
      <w:r>
        <w:rPr>
          <w:rFonts w:hint="eastAsia" w:ascii="CESI仿宋-GB2312" w:hAnsi="CESI仿宋-GB2312" w:eastAsia="CESI仿宋-GB2312" w:cs="CESI仿宋-GB2312"/>
          <w:sz w:val="24"/>
          <w:lang w:val="en-US" w:eastAsia="zh-CN"/>
        </w:rPr>
        <w:t>小区代表</w:t>
      </w:r>
      <w:r>
        <w:rPr>
          <w:rFonts w:hint="eastAsia" w:ascii="CESI仿宋-GB2312" w:hAnsi="CESI仿宋-GB2312" w:eastAsia="CESI仿宋-GB2312" w:cs="CESI仿宋-GB2312"/>
          <w:sz w:val="24"/>
        </w:rPr>
        <w:t>（</w:t>
      </w:r>
      <w:r>
        <w:rPr>
          <w:rFonts w:hint="eastAsia" w:ascii="CESI仿宋-GB2312" w:hAnsi="CESI仿宋-GB2312" w:eastAsia="CESI仿宋-GB2312" w:cs="CESI仿宋-GB2312"/>
          <w:sz w:val="24"/>
          <w:lang w:val="en-US" w:eastAsia="zh-CN"/>
        </w:rPr>
        <w:t>即“好厝边智囊团”</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lang w:val="en-US" w:eastAsia="zh-CN"/>
        </w:rPr>
        <w:t>居住小区的能人骨干、热心居民</w:t>
      </w:r>
      <w:r>
        <w:rPr>
          <w:rFonts w:hint="eastAsia" w:ascii="CESI仿宋-GB2312" w:hAnsi="CESI仿宋-GB2312" w:eastAsia="CESI仿宋-GB2312" w:cs="CESI仿宋-GB2312"/>
          <w:sz w:val="24"/>
        </w:rPr>
        <w:t>）组成的治理核心；“N”即</w:t>
      </w:r>
      <w:r>
        <w:rPr>
          <w:rFonts w:hint="eastAsia" w:ascii="CESI仿宋-GB2312" w:hAnsi="CESI仿宋-GB2312" w:eastAsia="CESI仿宋-GB2312" w:cs="CESI仿宋-GB2312"/>
          <w:sz w:val="24"/>
          <w:lang w:val="en-US" w:eastAsia="zh-CN"/>
        </w:rPr>
        <w:t>形成的多个治理微项目（如活力街区、青年友好、健康助老、童享未来、友邻志愿等）</w:t>
      </w:r>
      <w:r>
        <w:rPr>
          <w:rFonts w:hint="eastAsia" w:ascii="CESI仿宋-GB2312" w:hAnsi="CESI仿宋-GB2312" w:eastAsia="CESI仿宋-GB2312" w:cs="CESI仿宋-GB2312"/>
          <w:sz w:val="24"/>
        </w:rPr>
        <w:t>。</w:t>
      </w:r>
    </w:p>
    <w:p>
      <w:pPr>
        <w:keepNext w:val="0"/>
        <w:keepLines w:val="0"/>
        <w:pageBreakBefore w:val="0"/>
        <w:widowControl w:val="0"/>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lang w:eastAsia="zh-CN"/>
        </w:rPr>
      </w:pP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rPr>
        <w:t>形成“党建引领+</w:t>
      </w:r>
      <w:r>
        <w:rPr>
          <w:rFonts w:hint="eastAsia" w:ascii="CESI仿宋-GB2312" w:hAnsi="CESI仿宋-GB2312" w:eastAsia="CESI仿宋-GB2312" w:cs="CESI仿宋-GB2312"/>
          <w:sz w:val="24"/>
          <w:lang w:val="en-US" w:eastAsia="zh-CN"/>
        </w:rPr>
        <w:t>街区合伙人</w:t>
      </w:r>
      <w:r>
        <w:rPr>
          <w:rFonts w:hint="eastAsia" w:ascii="CESI仿宋-GB2312" w:hAnsi="CESI仿宋-GB2312" w:eastAsia="CESI仿宋-GB2312" w:cs="CESI仿宋-GB2312"/>
          <w:sz w:val="24"/>
        </w:rPr>
        <w:t>”的共治共建平台，制定覆盖“社区—街区—小区—专题”的</w:t>
      </w:r>
      <w:r>
        <w:rPr>
          <w:rFonts w:hint="eastAsia" w:ascii="CESI仿宋-GB2312" w:hAnsi="CESI仿宋-GB2312" w:eastAsia="CESI仿宋-GB2312" w:cs="CESI仿宋-GB2312"/>
          <w:sz w:val="24"/>
          <w:lang w:val="en-US" w:eastAsia="zh-CN"/>
        </w:rPr>
        <w:t>沟通</w:t>
      </w:r>
      <w:r>
        <w:rPr>
          <w:rFonts w:hint="eastAsia" w:ascii="CESI仿宋-GB2312" w:hAnsi="CESI仿宋-GB2312" w:eastAsia="CESI仿宋-GB2312" w:cs="CESI仿宋-GB2312"/>
          <w:sz w:val="24"/>
        </w:rPr>
        <w:t>议事制度，着力打造特色</w:t>
      </w:r>
      <w:r>
        <w:rPr>
          <w:rFonts w:hint="eastAsia" w:ascii="CESI仿宋-GB2312" w:hAnsi="CESI仿宋-GB2312" w:eastAsia="CESI仿宋-GB2312" w:cs="CESI仿宋-GB2312"/>
          <w:sz w:val="24"/>
          <w:lang w:val="en-US" w:eastAsia="zh-CN"/>
        </w:rPr>
        <w:t>街区</w:t>
      </w:r>
      <w:r>
        <w:rPr>
          <w:rFonts w:hint="eastAsia" w:ascii="CESI仿宋-GB2312" w:hAnsi="CESI仿宋-GB2312" w:eastAsia="CESI仿宋-GB2312" w:cs="CESI仿宋-GB2312"/>
          <w:sz w:val="24"/>
        </w:rPr>
        <w:t>党建品牌</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围绕公共领域</w:t>
      </w:r>
      <w:r>
        <w:rPr>
          <w:rFonts w:hint="eastAsia" w:ascii="CESI仿宋-GB2312" w:hAnsi="CESI仿宋-GB2312" w:eastAsia="CESI仿宋-GB2312" w:cs="CESI仿宋-GB2312"/>
          <w:sz w:val="24"/>
          <w:lang w:val="en-US" w:eastAsia="zh-CN"/>
        </w:rPr>
        <w:t>开展协商交流</w:t>
      </w:r>
      <w:r>
        <w:rPr>
          <w:rFonts w:hint="eastAsia" w:ascii="CESI仿宋-GB2312" w:hAnsi="CESI仿宋-GB2312" w:eastAsia="CESI仿宋-GB2312" w:cs="CESI仿宋-GB2312"/>
          <w:sz w:val="24"/>
        </w:rPr>
        <w:t>活动</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切实加强街区内党组织和</w:t>
      </w:r>
      <w:r>
        <w:rPr>
          <w:rFonts w:hint="eastAsia" w:ascii="CESI仿宋-GB2312" w:hAnsi="CESI仿宋-GB2312" w:eastAsia="CESI仿宋-GB2312" w:cs="CESI仿宋-GB2312"/>
          <w:sz w:val="24"/>
          <w:lang w:val="en-US" w:eastAsia="zh-CN"/>
        </w:rPr>
        <w:t>社会团体</w:t>
      </w:r>
      <w:r>
        <w:rPr>
          <w:rFonts w:hint="eastAsia" w:ascii="CESI仿宋-GB2312" w:hAnsi="CESI仿宋-GB2312" w:eastAsia="CESI仿宋-GB2312" w:cs="CESI仿宋-GB2312"/>
          <w:sz w:val="24"/>
        </w:rPr>
        <w:t>组织的凝聚力。围绕需求做、奔着问题去</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积极探索</w:t>
      </w:r>
      <w:r>
        <w:rPr>
          <w:rFonts w:hint="eastAsia" w:ascii="CESI仿宋-GB2312" w:hAnsi="CESI仿宋-GB2312" w:eastAsia="CESI仿宋-GB2312" w:cs="CESI仿宋-GB2312"/>
          <w:sz w:val="24"/>
          <w:lang w:val="en-US" w:eastAsia="zh-CN"/>
        </w:rPr>
        <w:t>街区</w:t>
      </w:r>
      <w:r>
        <w:rPr>
          <w:rFonts w:hint="eastAsia" w:ascii="CESI仿宋-GB2312" w:hAnsi="CESI仿宋-GB2312" w:eastAsia="CESI仿宋-GB2312" w:cs="CESI仿宋-GB2312"/>
          <w:sz w:val="24"/>
        </w:rPr>
        <w:t>治理新模式</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推动</w:t>
      </w:r>
      <w:r>
        <w:rPr>
          <w:rFonts w:hint="eastAsia" w:ascii="CESI仿宋-GB2312" w:hAnsi="CESI仿宋-GB2312" w:eastAsia="CESI仿宋-GB2312" w:cs="CESI仿宋-GB2312"/>
          <w:sz w:val="24"/>
          <w:lang w:val="en-US" w:eastAsia="zh-CN"/>
        </w:rPr>
        <w:t>街区</w:t>
      </w:r>
      <w:r>
        <w:rPr>
          <w:rFonts w:hint="eastAsia" w:ascii="CESI仿宋-GB2312" w:hAnsi="CESI仿宋-GB2312" w:eastAsia="CESI仿宋-GB2312" w:cs="CESI仿宋-GB2312"/>
          <w:sz w:val="24"/>
        </w:rPr>
        <w:t>管理从“一家管”走向“大家管”的新局面</w:t>
      </w:r>
      <w:r>
        <w:rPr>
          <w:rFonts w:hint="eastAsia" w:ascii="CESI仿宋-GB2312" w:hAnsi="CESI仿宋-GB2312" w:eastAsia="CESI仿宋-GB2312" w:cs="CESI仿宋-GB2312"/>
          <w:sz w:val="24"/>
          <w:lang w:eastAsia="zh-CN"/>
        </w:rPr>
        <w:t>。</w:t>
      </w:r>
    </w:p>
    <w:p>
      <w:pPr>
        <w:keepNext w:val="0"/>
        <w:keepLines w:val="0"/>
        <w:pageBreakBefore w:val="0"/>
        <w:widowControl w:val="0"/>
        <w:tabs>
          <w:tab w:val="left" w:pos="4821"/>
          <w:tab w:val="left" w:pos="5466"/>
        </w:tabs>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3.创新特色街区氛围，促进商居融合共治，挖掘台湾街百年老街古韵、提升周边餐饮业态，不定期举办美食节、两岸特色市集等活动，打造“活力街区”，激活街区治理新活力。</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3738D"/>
    <w:multiLevelType w:val="singleLevel"/>
    <w:tmpl w:val="9A53738D"/>
    <w:lvl w:ilvl="0" w:tentative="0">
      <w:start w:val="1"/>
      <w:numFmt w:val="chineseCounting"/>
      <w:suff w:val="nothing"/>
      <w:lvlText w:val="%1、"/>
      <w:lvlJc w:val="left"/>
      <w:rPr>
        <w:rFonts w:hint="eastAsia"/>
      </w:rPr>
    </w:lvl>
  </w:abstractNum>
  <w:abstractNum w:abstractNumId="1">
    <w:nsid w:val="B0AA1903"/>
    <w:multiLevelType w:val="singleLevel"/>
    <w:tmpl w:val="B0AA1903"/>
    <w:lvl w:ilvl="0" w:tentative="0">
      <w:start w:val="2"/>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QzN2I2MDVjZmI2YjcwMGIzZDE4NjY5Nzg3NzUifQ=="/>
  </w:docVars>
  <w:rsids>
    <w:rsidRoot w:val="00000000"/>
    <w:rsid w:val="00412B10"/>
    <w:rsid w:val="048E7480"/>
    <w:rsid w:val="06152D6D"/>
    <w:rsid w:val="0732424B"/>
    <w:rsid w:val="10F20D97"/>
    <w:rsid w:val="11EB7CC0"/>
    <w:rsid w:val="15997A33"/>
    <w:rsid w:val="18217447"/>
    <w:rsid w:val="195F1FAD"/>
    <w:rsid w:val="1D444728"/>
    <w:rsid w:val="1D475CC0"/>
    <w:rsid w:val="1EF4790F"/>
    <w:rsid w:val="21166B8E"/>
    <w:rsid w:val="2395487F"/>
    <w:rsid w:val="24A26CC4"/>
    <w:rsid w:val="267A740D"/>
    <w:rsid w:val="276C4FA7"/>
    <w:rsid w:val="31CA1248"/>
    <w:rsid w:val="36AD7785"/>
    <w:rsid w:val="36EA20AF"/>
    <w:rsid w:val="38341B11"/>
    <w:rsid w:val="3DFCEDDA"/>
    <w:rsid w:val="415648A7"/>
    <w:rsid w:val="44B02520"/>
    <w:rsid w:val="4735791C"/>
    <w:rsid w:val="4D95A0A7"/>
    <w:rsid w:val="57FFE343"/>
    <w:rsid w:val="58003EC8"/>
    <w:rsid w:val="586C69AF"/>
    <w:rsid w:val="5F8623A3"/>
    <w:rsid w:val="66576847"/>
    <w:rsid w:val="66A7157D"/>
    <w:rsid w:val="67797071"/>
    <w:rsid w:val="677F1B0F"/>
    <w:rsid w:val="751C3136"/>
    <w:rsid w:val="753E5865"/>
    <w:rsid w:val="772378A7"/>
    <w:rsid w:val="7AC41F7B"/>
    <w:rsid w:val="BFBF72D0"/>
    <w:rsid w:val="F27C0631"/>
    <w:rsid w:val="F99FD073"/>
    <w:rsid w:val="FF1F9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96"/>
      <w:sz w:val="32"/>
      <w:szCs w:val="24"/>
      <w:lang w:val="en-US" w:eastAsia="zh-CN" w:bidi="ar-SA"/>
    </w:rPr>
  </w:style>
  <w:style w:type="paragraph" w:styleId="4">
    <w:name w:val="heading 2"/>
    <w:basedOn w:val="1"/>
    <w:next w:val="1"/>
    <w:qFormat/>
    <w:uiPriority w:val="0"/>
    <w:pPr>
      <w:keepNext/>
      <w:keepLines/>
      <w:spacing w:line="560" w:lineRule="exact"/>
      <w:outlineLvl w:val="1"/>
    </w:pPr>
    <w:rPr>
      <w:rFonts w:ascii="Arial" w:hAnsi="Arial" w:eastAsia="楷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1.正文"/>
    <w:basedOn w:val="1"/>
    <w:qFormat/>
    <w:uiPriority w:val="0"/>
    <w:rPr>
      <w:rFonts w:ascii="Calibri" w:hAnsi="Times New Roman" w:eastAsia="宋体"/>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2029</Words>
  <Characters>2067</Characters>
  <Lines>0</Lines>
  <Paragraphs>0</Paragraphs>
  <TotalTime>11</TotalTime>
  <ScaleCrop>false</ScaleCrop>
  <LinksUpToDate>false</LinksUpToDate>
  <CharactersWithSpaces>2239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dc:creator>
  <cp:lastModifiedBy>xmadmin</cp:lastModifiedBy>
  <cp:lastPrinted>2025-01-15T22:53:00Z</cp:lastPrinted>
  <dcterms:modified xsi:type="dcterms:W3CDTF">2025-02-06T16:06:39Z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F480FB867272470AA41C30B6F2AB4026_13</vt:lpwstr>
  </property>
</Properties>
</file>